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7F3A" w14:textId="77777777" w:rsidR="0098398B" w:rsidRPr="00AE16B6" w:rsidRDefault="00AC5B57" w:rsidP="0053145B">
      <w:pPr>
        <w:snapToGrid w:val="0"/>
        <w:rPr>
          <w:b/>
          <w:bCs/>
        </w:rPr>
      </w:pPr>
      <w:r w:rsidRPr="00AE16B6">
        <w:rPr>
          <w:noProof/>
        </w:rPr>
        <w:drawing>
          <wp:anchor distT="0" distB="0" distL="114300" distR="114300" simplePos="0" relativeHeight="251659264" behindDoc="0" locked="0" layoutInCell="1" allowOverlap="1" wp14:anchorId="582AF4FD" wp14:editId="03056AC0">
            <wp:simplePos x="0" y="0"/>
            <wp:positionH relativeFrom="margin">
              <wp:align>left</wp:align>
            </wp:positionH>
            <wp:positionV relativeFrom="paragraph">
              <wp:posOffset>-95250</wp:posOffset>
            </wp:positionV>
            <wp:extent cx="1762125" cy="504825"/>
            <wp:effectExtent l="0" t="0" r="9525" b="9525"/>
            <wp:wrapNone/>
            <wp:docPr id="1" name="logo" descr="http://www.publishwhatyoupay.org/sites/publishwhatyoupay.org/themes/pwyp/images/logo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publishwhatyoupay.org/sites/publishwhatyoupay.org/themes/pwyp/images/logo_fr.png"/>
                    <pic:cNvPicPr>
                      <a:picLocks noChangeAspect="1" noChangeArrowheads="1"/>
                    </pic:cNvPicPr>
                  </pic:nvPicPr>
                  <pic:blipFill>
                    <a:blip r:embed="rId8" r:link="rId9"/>
                    <a:srcRect/>
                    <a:stretch>
                      <a:fillRect/>
                    </a:stretch>
                  </pic:blipFill>
                  <pic:spPr bwMode="auto">
                    <a:xfrm>
                      <a:off x="0" y="0"/>
                      <a:ext cx="1762125" cy="504825"/>
                    </a:xfrm>
                    <a:prstGeom prst="rect">
                      <a:avLst/>
                    </a:prstGeom>
                    <a:noFill/>
                    <a:ln w="9525">
                      <a:noFill/>
                      <a:miter lim="800000"/>
                      <a:headEnd/>
                      <a:tailEnd/>
                    </a:ln>
                  </pic:spPr>
                </pic:pic>
              </a:graphicData>
            </a:graphic>
            <wp14:sizeRelH relativeFrom="margin">
              <wp14:pctWidth>0</wp14:pctWidth>
            </wp14:sizeRelH>
          </wp:anchor>
        </w:drawing>
      </w:r>
      <w:r w:rsidRPr="00AE16B6">
        <w:rPr>
          <w:b/>
          <w:bCs/>
        </w:rPr>
        <w:t>Coalition Malienne__________</w:t>
      </w:r>
      <w:r w:rsidR="0098398B" w:rsidRPr="00AE16B6">
        <w:rPr>
          <w:b/>
          <w:bCs/>
        </w:rPr>
        <w:t xml:space="preserve">                                                        </w:t>
      </w:r>
      <w:r w:rsidRPr="00AE16B6">
        <w:rPr>
          <w:b/>
          <w:bCs/>
        </w:rPr>
        <w:t xml:space="preserve">  </w:t>
      </w:r>
      <w:r w:rsidR="0098398B" w:rsidRPr="00AE16B6">
        <w:rPr>
          <w:noProof/>
        </w:rPr>
        <w:drawing>
          <wp:inline distT="0" distB="0" distL="0" distR="0" wp14:anchorId="01DCFD41" wp14:editId="15EC4E41">
            <wp:extent cx="1438275" cy="628650"/>
            <wp:effectExtent l="0" t="0" r="9525" b="0"/>
            <wp:docPr id="3" name="Image 3" descr="C:\Users\PCQVP\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QVP\Desktop\télécharge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628650"/>
                    </a:xfrm>
                    <a:prstGeom prst="rect">
                      <a:avLst/>
                    </a:prstGeom>
                    <a:noFill/>
                    <a:ln>
                      <a:noFill/>
                    </a:ln>
                  </pic:spPr>
                </pic:pic>
              </a:graphicData>
            </a:graphic>
          </wp:inline>
        </w:drawing>
      </w:r>
    </w:p>
    <w:p w14:paraId="4FA5D612" w14:textId="77777777" w:rsidR="00662B20" w:rsidRPr="00AE16B6" w:rsidRDefault="00AC5B57" w:rsidP="0053145B">
      <w:pPr>
        <w:snapToGrid w:val="0"/>
        <w:rPr>
          <w:b/>
          <w:bCs/>
        </w:rPr>
      </w:pPr>
      <w:r w:rsidRPr="00AE16B6">
        <w:rPr>
          <w:b/>
          <w:bCs/>
        </w:rPr>
        <w:t xml:space="preserve">                                                        </w:t>
      </w:r>
    </w:p>
    <w:p w14:paraId="28125013" w14:textId="19D69444" w:rsidR="00AC5B57" w:rsidRPr="00AE16B6" w:rsidRDefault="00AC5B57" w:rsidP="0053145B">
      <w:pPr>
        <w:snapToGrid w:val="0"/>
        <w:rPr>
          <w:b/>
          <w:bCs/>
        </w:rPr>
      </w:pPr>
      <w:r w:rsidRPr="00AE16B6">
        <w:rPr>
          <w:b/>
          <w:bCs/>
        </w:rPr>
        <w:t xml:space="preserve">Projet de Termes de Références </w:t>
      </w:r>
      <w:r w:rsidR="00DB220E" w:rsidRPr="00AE16B6">
        <w:rPr>
          <w:b/>
          <w:bCs/>
        </w:rPr>
        <w:t xml:space="preserve">des </w:t>
      </w:r>
      <w:r w:rsidR="002A08AD" w:rsidRPr="00AE16B6">
        <w:rPr>
          <w:b/>
          <w:bCs/>
        </w:rPr>
        <w:t>Atelier</w:t>
      </w:r>
      <w:r w:rsidR="00DB220E" w:rsidRPr="00AE16B6">
        <w:rPr>
          <w:b/>
          <w:bCs/>
        </w:rPr>
        <w:t>s</w:t>
      </w:r>
      <w:r w:rsidR="002A08AD" w:rsidRPr="00AE16B6">
        <w:rPr>
          <w:b/>
          <w:bCs/>
        </w:rPr>
        <w:t xml:space="preserve"> </w:t>
      </w:r>
      <w:r w:rsidR="00DB220E" w:rsidRPr="00AE16B6">
        <w:rPr>
          <w:b/>
        </w:rPr>
        <w:t>de Dissémination communale du rapport final de l’étude</w:t>
      </w:r>
      <w:r w:rsidRPr="00AE16B6">
        <w:rPr>
          <w:rFonts w:eastAsiaTheme="minorHAnsi"/>
          <w:b/>
          <w:lang w:eastAsia="en-US"/>
        </w:rPr>
        <w:t xml:space="preserve"> sur le respect des obligations légales de l’Etat envers les collectivités dans le cadre de l’octroi des exonérations fiscales au Mali dans son secteur Minier</w:t>
      </w:r>
      <w:r w:rsidR="00DB220E" w:rsidRPr="00AE16B6">
        <w:rPr>
          <w:rFonts w:eastAsiaTheme="minorHAnsi"/>
          <w:b/>
          <w:lang w:eastAsia="en-US"/>
        </w:rPr>
        <w:t xml:space="preserve">. </w:t>
      </w:r>
    </w:p>
    <w:p w14:paraId="6196B314" w14:textId="77777777" w:rsidR="00FE4EC8" w:rsidRPr="00AE16B6" w:rsidRDefault="003D0FDB" w:rsidP="00662B20">
      <w:pPr>
        <w:pStyle w:val="TableContents"/>
        <w:numPr>
          <w:ilvl w:val="0"/>
          <w:numId w:val="9"/>
        </w:numPr>
        <w:snapToGrid w:val="0"/>
        <w:rPr>
          <w:rFonts w:ascii="Times New Roman" w:hAnsi="Times New Roman" w:cs="Times New Roman"/>
          <w:b/>
          <w:bCs/>
          <w:u w:val="single"/>
          <w:lang w:val="fr-FR"/>
        </w:rPr>
      </w:pPr>
      <w:r w:rsidRPr="00AE16B6">
        <w:rPr>
          <w:rFonts w:ascii="Times New Roman" w:hAnsi="Times New Roman" w:cs="Times New Roman"/>
          <w:b/>
          <w:bCs/>
          <w:u w:val="single"/>
          <w:lang w:val="fr-FR"/>
        </w:rPr>
        <w:t>Contexte :</w:t>
      </w:r>
    </w:p>
    <w:p w14:paraId="6D60FFB9" w14:textId="41FC396A" w:rsidR="001D1B53" w:rsidRPr="00AE16B6" w:rsidRDefault="00426660" w:rsidP="00FE4EC8">
      <w:pPr>
        <w:jc w:val="both"/>
      </w:pPr>
      <w:r w:rsidRPr="00AE16B6">
        <w:t xml:space="preserve">La Coalition Malienne  Publiez Ce Que Vous Payez  a été créée le 30 avril 2008 et enregistrée sous le N° 349/G-DB du Récépissé de déclaration d’Association en date du 08 Mai 2009. Elle est un réseau d’organisations légalement constitué regroupant seize (16) organisations de la société civile </w:t>
      </w:r>
      <w:r w:rsidR="00FE4EC8" w:rsidRPr="00AE16B6">
        <w:t>évoluant dans les domaines : des droits humains, du développement socio-économique, de l’environnement, de</w:t>
      </w:r>
      <w:r w:rsidR="0066069D" w:rsidRPr="00AE16B6">
        <w:t xml:space="preserve"> la consommation, de</w:t>
      </w:r>
      <w:r w:rsidR="00FE4EC8" w:rsidRPr="00AE16B6">
        <w:t xml:space="preserve"> la presse, des études et de la formation. Elle est apolitique, non confessionnelle, à but non lucratif. Elle œuvre pour la gestion transparente, responsable et efficace des revenus des  activités minières, gazière</w:t>
      </w:r>
      <w:r w:rsidR="009F205E" w:rsidRPr="00AE16B6">
        <w:t>s</w:t>
      </w:r>
      <w:r w:rsidR="00FE4EC8" w:rsidRPr="00AE16B6">
        <w:t xml:space="preserve"> et pétrolières  pour un développement </w:t>
      </w:r>
      <w:r w:rsidR="003D0FDB" w:rsidRPr="00AE16B6">
        <w:t>harmonieux</w:t>
      </w:r>
      <w:r w:rsidR="00FE4EC8" w:rsidRPr="00AE16B6">
        <w:t xml:space="preserve"> au </w:t>
      </w:r>
      <w:r w:rsidR="001D1B53" w:rsidRPr="00AE16B6">
        <w:t>Mali.</w:t>
      </w:r>
    </w:p>
    <w:p w14:paraId="3D3F46E8" w14:textId="47019B64" w:rsidR="00FE4EC8" w:rsidRPr="00AE16B6" w:rsidRDefault="00426660" w:rsidP="00FE4EC8">
      <w:pPr>
        <w:jc w:val="both"/>
      </w:pPr>
      <w:r w:rsidRPr="00AE16B6">
        <w:t>La Coalition œuvre pour la transparence dans l’exploitation des ressources tirées des Industries Extractives. La promotion de la transparence et de la responsabilité dans la gestion des ressources naturelles à travers l'accès et l'appropriation des politiques, et leurs mécanismes de mise en œuvre, la veille citoyenne et de la mobilisation des recettes fiscales</w:t>
      </w:r>
      <w:r w:rsidR="00FE4EC8" w:rsidRPr="00AE16B6">
        <w:t xml:space="preserve">. </w:t>
      </w:r>
    </w:p>
    <w:p w14:paraId="3F8FFEEF" w14:textId="77777777" w:rsidR="00FE4EC8" w:rsidRPr="00AE16B6" w:rsidRDefault="00FE4EC8" w:rsidP="00FE4EC8">
      <w:r w:rsidRPr="00AE16B6">
        <w:t xml:space="preserve">Sans être un Eldorado, le Mali a toujours été perçu comme un pays à potentiel minier important, en témoigne une activité minière artisanale multiséculaire  encore intense de nos jours. Depuis les temps immémoriaux, de grandes quantités d’or étaient extraites du Bourré et du Bambouk  faisant la fierté des anciens empires du Mali. </w:t>
      </w:r>
    </w:p>
    <w:p w14:paraId="7BBDDE91" w14:textId="77777777" w:rsidR="00DB220E" w:rsidRPr="00AE16B6" w:rsidRDefault="00FE4EC8" w:rsidP="00DB220E">
      <w:pPr>
        <w:jc w:val="both"/>
      </w:pPr>
      <w:r w:rsidRPr="00AE16B6">
        <w:t>A côté de cet orpaillage multiséculaire, l’exploitation industrielle de l’or a fait son apparition au Mali en 1984 avec l’ouverture de la première unité de production industrielle  à Kalana exploitée par</w:t>
      </w:r>
      <w:r w:rsidR="005250D5" w:rsidRPr="00AE16B6">
        <w:t xml:space="preserve"> la SOGEMORK et le pays compte de</w:t>
      </w:r>
      <w:r w:rsidRPr="00AE16B6">
        <w:t xml:space="preserve"> nos jours 11 mines d’or industrielles en activité. Cette industrialisation a amené le gouvernement de la République du Mali a adhéré à l’Initiative pour la Transparence dans les Industries Extractives (ITIE) le 02 août 2006 afin de promouvoir une meilleure gouvernance du secteur extractif et faire de ce secteur un levier de croissance durable pour l’économie nationale et un important facteur de réduction de la pauvreté. Si l’adhésion à l’ITIE a été un signal fort de l’engagement des plus hautes autorités du pays de faire de la transparence sur la répartition des revenus provenant des industries extractives, la mise en œuvre correcte de l’ITIE au Mali en 2019 demeure encore sujet à discussion. </w:t>
      </w:r>
    </w:p>
    <w:p w14:paraId="6C992774" w14:textId="3E105018" w:rsidR="00FE4EC8" w:rsidRPr="00AE16B6" w:rsidRDefault="00FE4EC8" w:rsidP="00DB220E">
      <w:pPr>
        <w:jc w:val="both"/>
      </w:pPr>
      <w:r w:rsidRPr="00AE16B6">
        <w:t xml:space="preserve">Une étude initiée par PCQVP-Mali, en août 2015, </w:t>
      </w:r>
      <w:r w:rsidR="0066069D" w:rsidRPr="00AE16B6">
        <w:t xml:space="preserve">intitulée </w:t>
      </w:r>
      <w:r w:rsidRPr="00AE16B6">
        <w:t xml:space="preserve">« Analyse comparative des contrats miniers », a étalé de long en large les difficultés du secteur minier malien dont leurs </w:t>
      </w:r>
      <w:r w:rsidR="001D1B53" w:rsidRPr="00AE16B6">
        <w:t>prises en compte sont</w:t>
      </w:r>
      <w:r w:rsidRPr="00AE16B6">
        <w:t xml:space="preserve"> une urgence absolue. Les conclusions de cette étude ne sont guère reluisantes : </w:t>
      </w:r>
    </w:p>
    <w:p w14:paraId="4A8B8C85" w14:textId="31BDF56A" w:rsidR="00FE4EC8" w:rsidRPr="00AE16B6" w:rsidRDefault="00FE4EC8" w:rsidP="00FE4EC8">
      <w:pPr>
        <w:tabs>
          <w:tab w:val="left" w:pos="2630"/>
        </w:tabs>
      </w:pPr>
      <w:r w:rsidRPr="00AE16B6">
        <w:t xml:space="preserve">- L’opacité des contrats miniers font qu’ils demeurent encore méconnus du </w:t>
      </w:r>
      <w:r w:rsidR="002E227E" w:rsidRPr="00AE16B6">
        <w:t xml:space="preserve">grand </w:t>
      </w:r>
      <w:r w:rsidRPr="00AE16B6">
        <w:t xml:space="preserve">public et même de beaucoup de décideurs et d’agents, notamment </w:t>
      </w:r>
      <w:r w:rsidR="001D1B53" w:rsidRPr="00AE16B6">
        <w:t xml:space="preserve">dans </w:t>
      </w:r>
      <w:r w:rsidRPr="00AE16B6">
        <w:t>les zones minières ;</w:t>
      </w:r>
    </w:p>
    <w:p w14:paraId="669A9C10" w14:textId="77777777" w:rsidR="00FE4EC8" w:rsidRPr="00AE16B6" w:rsidRDefault="00FE4EC8" w:rsidP="00FE4EC8">
      <w:pPr>
        <w:tabs>
          <w:tab w:val="left" w:pos="2630"/>
        </w:tabs>
      </w:pPr>
      <w:r w:rsidRPr="00AE16B6">
        <w:t>- Les clauses économiques et financières, de ces contrats sont à la base de plusieurs problèmes qui sont à l’origine de manques à gagner co</w:t>
      </w:r>
      <w:r w:rsidR="00641200" w:rsidRPr="00AE16B6">
        <w:t>nsidérables pour l’Etat malien :</w:t>
      </w:r>
      <w:r w:rsidR="003D0FDB" w:rsidRPr="00AE16B6">
        <w:t xml:space="preserve"> p</w:t>
      </w:r>
      <w:r w:rsidRPr="00AE16B6">
        <w:t>armi ces problèmes, on peut citer les nombreuses exonérations accordées aux sociétés minières, ainsi que les clauses de stabilité contenues dans les contrats miniers ;</w:t>
      </w:r>
    </w:p>
    <w:p w14:paraId="5461F22B" w14:textId="77777777" w:rsidR="00FE4EC8" w:rsidRPr="00AE16B6" w:rsidRDefault="00FE4EC8" w:rsidP="00FE4EC8">
      <w:pPr>
        <w:tabs>
          <w:tab w:val="left" w:pos="2630"/>
        </w:tabs>
      </w:pPr>
      <w:r w:rsidRPr="00AE16B6">
        <w:t xml:space="preserve">La résolution de toutes ces questions est liée, d’une part, à la relecture des textes et des conventions qui doivent tenir compte des </w:t>
      </w:r>
      <w:r w:rsidR="00475410" w:rsidRPr="00AE16B6">
        <w:t>p</w:t>
      </w:r>
      <w:r w:rsidR="00482B71" w:rsidRPr="00AE16B6">
        <w:t xml:space="preserve">réoccupations légitimes </w:t>
      </w:r>
      <w:r w:rsidR="003D0FDB" w:rsidRPr="00AE16B6">
        <w:t xml:space="preserve">de développement durable </w:t>
      </w:r>
      <w:r w:rsidR="00482B71" w:rsidRPr="00AE16B6">
        <w:t xml:space="preserve">des communautés riveraines des sites miniers. </w:t>
      </w:r>
    </w:p>
    <w:p w14:paraId="4C944C17" w14:textId="2D497424" w:rsidR="00475410" w:rsidRPr="00AE16B6" w:rsidRDefault="00482B71" w:rsidP="00475410">
      <w:pPr>
        <w:jc w:val="both"/>
        <w:rPr>
          <w:strike/>
          <w:color w:val="000000"/>
        </w:rPr>
      </w:pPr>
      <w:r w:rsidRPr="00AE16B6">
        <w:rPr>
          <w:rStyle w:val="A2"/>
          <w:sz w:val="24"/>
          <w:szCs w:val="24"/>
        </w:rPr>
        <w:t>L</w:t>
      </w:r>
      <w:r w:rsidR="00FE4EC8" w:rsidRPr="00AE16B6">
        <w:rPr>
          <w:rStyle w:val="A2"/>
          <w:sz w:val="24"/>
          <w:szCs w:val="24"/>
        </w:rPr>
        <w:t xml:space="preserve">’Etat </w:t>
      </w:r>
      <w:r w:rsidRPr="00AE16B6">
        <w:rPr>
          <w:rStyle w:val="A2"/>
          <w:sz w:val="24"/>
          <w:szCs w:val="24"/>
        </w:rPr>
        <w:t>du Mali, en accordant</w:t>
      </w:r>
      <w:r w:rsidR="0018114E" w:rsidRPr="00AE16B6">
        <w:rPr>
          <w:rStyle w:val="A2"/>
          <w:sz w:val="24"/>
          <w:szCs w:val="24"/>
        </w:rPr>
        <w:t xml:space="preserve"> c</w:t>
      </w:r>
      <w:r w:rsidR="00FE4EC8" w:rsidRPr="00AE16B6">
        <w:rPr>
          <w:rStyle w:val="A2"/>
          <w:sz w:val="24"/>
          <w:szCs w:val="24"/>
        </w:rPr>
        <w:t>es exonérations fiscales et douanièr</w:t>
      </w:r>
      <w:r w:rsidR="00475410" w:rsidRPr="00AE16B6">
        <w:rPr>
          <w:rStyle w:val="A2"/>
          <w:sz w:val="24"/>
          <w:szCs w:val="24"/>
        </w:rPr>
        <w:t xml:space="preserve">es spécifiques à ces compagnies en exploitation, pose en substance un problème de droit à notre avis. La patente </w:t>
      </w:r>
      <w:r w:rsidR="00475410" w:rsidRPr="00AE16B6">
        <w:rPr>
          <w:rStyle w:val="A2"/>
          <w:sz w:val="24"/>
          <w:szCs w:val="24"/>
        </w:rPr>
        <w:lastRenderedPageBreak/>
        <w:t xml:space="preserve">fait partie </w:t>
      </w:r>
      <w:r w:rsidR="00475410" w:rsidRPr="00AE16B6">
        <w:rPr>
          <w:rStyle w:val="A2"/>
          <w:color w:val="000000" w:themeColor="text1"/>
          <w:sz w:val="24"/>
          <w:szCs w:val="24"/>
        </w:rPr>
        <w:t xml:space="preserve">des impôts exonérés </w:t>
      </w:r>
      <w:r w:rsidR="00217015" w:rsidRPr="00AE16B6">
        <w:rPr>
          <w:rStyle w:val="A2"/>
          <w:color w:val="000000" w:themeColor="text1"/>
          <w:sz w:val="24"/>
          <w:szCs w:val="24"/>
        </w:rPr>
        <w:t xml:space="preserve">pendant les phases de recherche et de développement </w:t>
      </w:r>
      <w:r w:rsidR="00475410" w:rsidRPr="00AE16B6">
        <w:rPr>
          <w:rStyle w:val="A2"/>
          <w:color w:val="000000" w:themeColor="text1"/>
          <w:sz w:val="24"/>
          <w:szCs w:val="24"/>
        </w:rPr>
        <w:t xml:space="preserve">au profit des compagnies minières, pourtant, elle est intégralement rétrocédée aux collectivités </w:t>
      </w:r>
      <w:r w:rsidR="00475410" w:rsidRPr="00AE16B6">
        <w:rPr>
          <w:rStyle w:val="A2"/>
          <w:sz w:val="24"/>
          <w:szCs w:val="24"/>
        </w:rPr>
        <w:t xml:space="preserve">(régions, cercles et communes) par l’Etat. Son exonération devrait en principe occasionner une compensation de la part </w:t>
      </w:r>
      <w:r w:rsidR="000D58DC" w:rsidRPr="00AE16B6">
        <w:rPr>
          <w:rStyle w:val="A2"/>
          <w:sz w:val="24"/>
          <w:szCs w:val="24"/>
        </w:rPr>
        <w:t xml:space="preserve">de l’Etat </w:t>
      </w:r>
      <w:r w:rsidR="00475410" w:rsidRPr="00AE16B6">
        <w:rPr>
          <w:rStyle w:val="A2"/>
          <w:sz w:val="24"/>
          <w:szCs w:val="24"/>
        </w:rPr>
        <w:t>conformément à l’esprit du code de la décentralisation.</w:t>
      </w:r>
      <w:r w:rsidR="00475410" w:rsidRPr="00AE16B6">
        <w:rPr>
          <w:rStyle w:val="A2"/>
          <w:strike/>
          <w:color w:val="FF0000"/>
          <w:sz w:val="24"/>
          <w:szCs w:val="24"/>
        </w:rPr>
        <w:t xml:space="preserve"> </w:t>
      </w:r>
    </w:p>
    <w:p w14:paraId="7037DA7B" w14:textId="0BACD2F4" w:rsidR="00FE4EC8" w:rsidRPr="00AE16B6" w:rsidRDefault="00475410" w:rsidP="00FE4EC8">
      <w:pPr>
        <w:autoSpaceDE w:val="0"/>
        <w:autoSpaceDN w:val="0"/>
        <w:adjustRightInd w:val="0"/>
        <w:spacing w:after="160" w:line="221" w:lineRule="atLeast"/>
        <w:jc w:val="both"/>
        <w:rPr>
          <w:rFonts w:eastAsiaTheme="minorHAnsi"/>
          <w:lang w:eastAsia="en-US"/>
        </w:rPr>
      </w:pPr>
      <w:r w:rsidRPr="00AE16B6">
        <w:t>Aussi</w:t>
      </w:r>
      <w:r w:rsidR="00FE4EC8" w:rsidRPr="00AE16B6">
        <w:t>, l</w:t>
      </w:r>
      <w:r w:rsidR="00FE4EC8" w:rsidRPr="00AE16B6">
        <w:rPr>
          <w:rFonts w:eastAsiaTheme="minorHAnsi"/>
          <w:lang w:eastAsia="en-US"/>
        </w:rPr>
        <w:t>’information sur les exonérations fiscales dans le cadre de l’exploitation des ressources minières n’est pas totalement accessible au public.</w:t>
      </w:r>
      <w:r w:rsidR="005518C5">
        <w:rPr>
          <w:rFonts w:eastAsiaTheme="minorHAnsi"/>
          <w:lang w:eastAsia="en-US"/>
        </w:rPr>
        <w:t xml:space="preserve"> C’est en </w:t>
      </w:r>
      <w:r w:rsidR="00A25422" w:rsidRPr="00AE16B6">
        <w:rPr>
          <w:rFonts w:eastAsiaTheme="minorHAnsi"/>
          <w:lang w:eastAsia="en-US"/>
        </w:rPr>
        <w:t>2013</w:t>
      </w:r>
      <w:r w:rsidR="00FE4EC8" w:rsidRPr="00AE16B6">
        <w:rPr>
          <w:rFonts w:eastAsiaTheme="minorHAnsi"/>
          <w:lang w:eastAsia="en-US"/>
        </w:rPr>
        <w:t xml:space="preserve"> que le Gouvernement, sur recommandation des partenaires au développement, a entamé une véritable politique d’estimation et de publication des dépenses fiscales. </w:t>
      </w:r>
    </w:p>
    <w:p w14:paraId="1B1F1438" w14:textId="77777777" w:rsidR="00FE4EC8" w:rsidRPr="00AE16B6" w:rsidRDefault="00FE4EC8" w:rsidP="00FE4EC8">
      <w:pPr>
        <w:autoSpaceDE w:val="0"/>
        <w:autoSpaceDN w:val="0"/>
        <w:adjustRightInd w:val="0"/>
        <w:spacing w:after="160" w:line="221" w:lineRule="atLeast"/>
        <w:jc w:val="both"/>
        <w:rPr>
          <w:rFonts w:eastAsiaTheme="minorHAnsi"/>
          <w:lang w:eastAsia="en-US"/>
        </w:rPr>
      </w:pPr>
      <w:r w:rsidRPr="00AE16B6">
        <w:rPr>
          <w:rFonts w:eastAsiaTheme="minorHAnsi"/>
          <w:lang w:eastAsia="en-US"/>
        </w:rPr>
        <w:t>On comprend dans ces conditions que l’information fiscale ne soit pas rendue</w:t>
      </w:r>
      <w:r w:rsidR="00A25422" w:rsidRPr="00AE16B6">
        <w:rPr>
          <w:rFonts w:eastAsiaTheme="minorHAnsi"/>
          <w:lang w:eastAsia="en-US"/>
        </w:rPr>
        <w:t xml:space="preserve"> publique de façon officielle</w:t>
      </w:r>
      <w:r w:rsidRPr="00AE16B6">
        <w:rPr>
          <w:rFonts w:eastAsiaTheme="minorHAnsi"/>
          <w:lang w:eastAsia="en-US"/>
        </w:rPr>
        <w:t xml:space="preserve">. </w:t>
      </w:r>
      <w:r w:rsidR="00A25422" w:rsidRPr="00AE16B6">
        <w:rPr>
          <w:rFonts w:eastAsiaTheme="minorHAnsi"/>
          <w:lang w:eastAsia="en-US"/>
        </w:rPr>
        <w:t>Et pourtant, l</w:t>
      </w:r>
      <w:r w:rsidRPr="00AE16B6">
        <w:rPr>
          <w:rFonts w:eastAsiaTheme="minorHAnsi"/>
          <w:lang w:eastAsia="en-US"/>
        </w:rPr>
        <w:t>e droit à l’information est constitutionnel. Il est signe d’une transparence fiscale forte et une relative transparence dans la gestion des ressources publiques.</w:t>
      </w:r>
    </w:p>
    <w:p w14:paraId="12575F58" w14:textId="08CD9C9B" w:rsidR="00B43C1E" w:rsidRPr="00AE16B6" w:rsidRDefault="00B43C1E" w:rsidP="00B43C1E">
      <w:pPr>
        <w:autoSpaceDE w:val="0"/>
        <w:autoSpaceDN w:val="0"/>
        <w:adjustRightInd w:val="0"/>
        <w:rPr>
          <w:rFonts w:eastAsiaTheme="minorHAnsi"/>
          <w:b/>
          <w:color w:val="000000" w:themeColor="text1"/>
          <w:lang w:eastAsia="en-US"/>
        </w:rPr>
      </w:pPr>
      <w:r w:rsidRPr="00AE16B6">
        <w:rPr>
          <w:rFonts w:eastAsiaTheme="minorHAnsi"/>
          <w:color w:val="000000" w:themeColor="text1"/>
          <w:lang w:eastAsia="en-US"/>
        </w:rPr>
        <w:t>C’est justement p</w:t>
      </w:r>
      <w:r w:rsidR="002A08AD" w:rsidRPr="00AE16B6">
        <w:rPr>
          <w:rFonts w:eastAsiaTheme="minorHAnsi"/>
          <w:color w:val="000000" w:themeColor="text1"/>
          <w:lang w:eastAsia="en-US"/>
        </w:rPr>
        <w:t>our évaluer la perte subie par l</w:t>
      </w:r>
      <w:r w:rsidRPr="00AE16B6">
        <w:rPr>
          <w:rFonts w:eastAsiaTheme="minorHAnsi"/>
          <w:color w:val="000000" w:themeColor="text1"/>
          <w:lang w:eastAsia="en-US"/>
        </w:rPr>
        <w:t>es collectivités locales à l’occasion d’exonération de la patente</w:t>
      </w:r>
      <w:r w:rsidR="002A08AD" w:rsidRPr="00AE16B6">
        <w:rPr>
          <w:rFonts w:eastAsiaTheme="minorHAnsi"/>
          <w:color w:val="000000" w:themeColor="text1"/>
          <w:lang w:eastAsia="en-US"/>
        </w:rPr>
        <w:t xml:space="preserve"> et d’autres</w:t>
      </w:r>
      <w:r w:rsidR="00217015" w:rsidRPr="00AE16B6">
        <w:rPr>
          <w:rFonts w:eastAsiaTheme="minorHAnsi"/>
          <w:color w:val="000000" w:themeColor="text1"/>
          <w:lang w:eastAsia="en-US"/>
        </w:rPr>
        <w:t xml:space="preserve"> revenus destinés aux collectivités </w:t>
      </w:r>
      <w:r w:rsidR="002A08AD" w:rsidRPr="00AE16B6">
        <w:rPr>
          <w:rFonts w:eastAsiaTheme="minorHAnsi"/>
          <w:color w:val="000000" w:themeColor="text1"/>
          <w:lang w:eastAsia="en-US"/>
        </w:rPr>
        <w:t xml:space="preserve">(la taxe de voirie) </w:t>
      </w:r>
      <w:r w:rsidRPr="00AE16B6">
        <w:rPr>
          <w:rFonts w:eastAsiaTheme="minorHAnsi"/>
          <w:color w:val="000000" w:themeColor="text1"/>
          <w:lang w:eastAsia="en-US"/>
        </w:rPr>
        <w:t xml:space="preserve">au profit des nouvelles compagnies en exploitation,  que la Coalition "Publiez Ce Que Vous Payez"(PCQVP-Mali) </w:t>
      </w:r>
      <w:r w:rsidR="002A08AD" w:rsidRPr="00AE16B6">
        <w:rPr>
          <w:rFonts w:eastAsiaTheme="minorHAnsi"/>
          <w:color w:val="000000" w:themeColor="text1"/>
          <w:lang w:eastAsia="en-US"/>
        </w:rPr>
        <w:t>à</w:t>
      </w:r>
      <w:r w:rsidRPr="00AE16B6">
        <w:rPr>
          <w:rFonts w:eastAsiaTheme="minorHAnsi"/>
          <w:color w:val="000000" w:themeColor="text1"/>
          <w:lang w:eastAsia="en-US"/>
        </w:rPr>
        <w:t xml:space="preserve"> mener une </w:t>
      </w:r>
      <w:r w:rsidRPr="00AE16B6">
        <w:rPr>
          <w:rFonts w:eastAsiaTheme="minorHAnsi"/>
          <w:b/>
          <w:color w:val="000000" w:themeColor="text1"/>
          <w:lang w:eastAsia="en-US"/>
        </w:rPr>
        <w:t>Etude sur le respect des obligations légales de l’Etat envers les collectivités dans le cadre de l’octroi des exonérations fiscales au Mali dans son secteur Minier,</w:t>
      </w:r>
      <w:r w:rsidRPr="00AE16B6">
        <w:rPr>
          <w:rFonts w:eastAsiaTheme="minorHAnsi"/>
          <w:color w:val="000000" w:themeColor="text1"/>
          <w:lang w:eastAsia="en-US"/>
        </w:rPr>
        <w:t xml:space="preserve"> afin de déterminer les conditions réelles de l’octroi de ces exonérations à l’occasion de l’exploitation des ressources naturelles</w:t>
      </w:r>
      <w:r w:rsidR="003D3ABF" w:rsidRPr="00AE16B6">
        <w:rPr>
          <w:rFonts w:eastAsiaTheme="minorHAnsi"/>
          <w:color w:val="000000" w:themeColor="text1"/>
          <w:lang w:eastAsia="en-US"/>
        </w:rPr>
        <w:t>.</w:t>
      </w:r>
      <w:r w:rsidRPr="00AE16B6">
        <w:rPr>
          <w:rFonts w:eastAsiaTheme="minorHAnsi"/>
          <w:color w:val="000000" w:themeColor="text1"/>
          <w:lang w:eastAsia="en-US"/>
        </w:rPr>
        <w:t xml:space="preserve"> </w:t>
      </w:r>
    </w:p>
    <w:p w14:paraId="19CA23BB" w14:textId="0255A6C2" w:rsidR="006D4861" w:rsidRPr="00AE16B6" w:rsidRDefault="00714D0F" w:rsidP="00714D0F">
      <w:pPr>
        <w:autoSpaceDE w:val="0"/>
        <w:autoSpaceDN w:val="0"/>
        <w:adjustRightInd w:val="0"/>
      </w:pPr>
      <w:r w:rsidRPr="00AE16B6">
        <w:t xml:space="preserve">La présente activité rentre dans le cadre de la </w:t>
      </w:r>
      <w:r w:rsidR="005D6A40" w:rsidRPr="00AE16B6">
        <w:t>dissémination</w:t>
      </w:r>
      <w:r w:rsidRPr="00AE16B6">
        <w:t xml:space="preserve"> </w:t>
      </w:r>
      <w:r w:rsidR="005D6A40" w:rsidRPr="00AE16B6">
        <w:t xml:space="preserve">communale </w:t>
      </w:r>
      <w:r w:rsidRPr="00AE16B6">
        <w:t xml:space="preserve">du rapport </w:t>
      </w:r>
      <w:r w:rsidR="005D6A40" w:rsidRPr="00AE16B6">
        <w:t>final</w:t>
      </w:r>
      <w:r w:rsidRPr="00AE16B6">
        <w:t xml:space="preserve"> de cette étude </w:t>
      </w:r>
      <w:r w:rsidR="000C5E8C" w:rsidRPr="00AE16B6">
        <w:t xml:space="preserve">réalisée </w:t>
      </w:r>
      <w:r w:rsidRPr="00AE16B6">
        <w:rPr>
          <w:rFonts w:eastAsiaTheme="minorHAnsi"/>
          <w:color w:val="000000" w:themeColor="text1"/>
          <w:lang w:eastAsia="en-US"/>
        </w:rPr>
        <w:t xml:space="preserve">avec l’appui technique et financier </w:t>
      </w:r>
      <w:r w:rsidRPr="00AE16B6">
        <w:rPr>
          <w:rFonts w:eastAsiaTheme="minorHAnsi"/>
          <w:b/>
          <w:color w:val="000000" w:themeColor="text1"/>
          <w:lang w:eastAsia="en-US"/>
        </w:rPr>
        <w:t xml:space="preserve">d’OSIWA (Open Society </w:t>
      </w:r>
      <w:proofErr w:type="spellStart"/>
      <w:r w:rsidRPr="00AE16B6">
        <w:rPr>
          <w:rFonts w:eastAsiaTheme="minorHAnsi"/>
          <w:b/>
          <w:color w:val="000000" w:themeColor="text1"/>
          <w:lang w:eastAsia="en-US"/>
        </w:rPr>
        <w:t>Foundation</w:t>
      </w:r>
      <w:proofErr w:type="spellEnd"/>
      <w:r w:rsidRPr="00AE16B6">
        <w:rPr>
          <w:rFonts w:eastAsiaTheme="minorHAnsi"/>
          <w:b/>
          <w:color w:val="000000" w:themeColor="text1"/>
          <w:lang w:eastAsia="en-US"/>
        </w:rPr>
        <w:t xml:space="preserve"> for West </w:t>
      </w:r>
      <w:proofErr w:type="spellStart"/>
      <w:r w:rsidRPr="00AE16B6">
        <w:rPr>
          <w:rFonts w:eastAsiaTheme="minorHAnsi"/>
          <w:b/>
          <w:color w:val="000000" w:themeColor="text1"/>
          <w:lang w:eastAsia="en-US"/>
        </w:rPr>
        <w:t>Africa</w:t>
      </w:r>
      <w:proofErr w:type="spellEnd"/>
      <w:r w:rsidRPr="00AE16B6">
        <w:rPr>
          <w:rFonts w:eastAsiaTheme="minorHAnsi"/>
          <w:b/>
          <w:color w:val="000000" w:themeColor="text1"/>
          <w:lang w:eastAsia="en-US"/>
        </w:rPr>
        <w:t xml:space="preserve">) </w:t>
      </w:r>
      <w:r w:rsidR="00766222" w:rsidRPr="00AE16B6">
        <w:rPr>
          <w:rFonts w:eastAsiaTheme="minorHAnsi"/>
          <w:color w:val="000000" w:themeColor="text1"/>
          <w:lang w:eastAsia="en-US"/>
        </w:rPr>
        <w:t>sur le</w:t>
      </w:r>
      <w:r w:rsidRPr="00AE16B6">
        <w:rPr>
          <w:rFonts w:eastAsiaTheme="minorHAnsi"/>
          <w:color w:val="000000" w:themeColor="text1"/>
          <w:lang w:eastAsia="en-US"/>
        </w:rPr>
        <w:t xml:space="preserve"> </w:t>
      </w:r>
      <w:r w:rsidRPr="00AE16B6">
        <w:rPr>
          <w:rFonts w:eastAsiaTheme="minorHAnsi"/>
          <w:b/>
          <w:color w:val="000000" w:themeColor="text1"/>
          <w:lang w:eastAsia="en-US"/>
        </w:rPr>
        <w:t xml:space="preserve"> </w:t>
      </w:r>
      <w:r w:rsidR="00B43C1E" w:rsidRPr="00AE16B6">
        <w:rPr>
          <w:rFonts w:eastAsiaTheme="minorHAnsi"/>
          <w:b/>
          <w:color w:val="000000" w:themeColor="text1"/>
          <w:lang w:eastAsia="en-US"/>
        </w:rPr>
        <w:t xml:space="preserve">« </w:t>
      </w:r>
      <w:r w:rsidR="00933FD8" w:rsidRPr="00AE16B6">
        <w:rPr>
          <w:rFonts w:eastAsiaTheme="minorHAnsi"/>
          <w:b/>
          <w:color w:val="000000" w:themeColor="text1"/>
          <w:lang w:eastAsia="en-US"/>
        </w:rPr>
        <w:t>Programme d’Appui au processus de réforme du code Minier et à la protection des droits des collectivités et des communautés</w:t>
      </w:r>
      <w:r w:rsidR="00EE0917" w:rsidRPr="00AE16B6">
        <w:rPr>
          <w:rFonts w:eastAsiaTheme="minorHAnsi"/>
          <w:b/>
          <w:color w:val="000000" w:themeColor="text1"/>
          <w:lang w:eastAsia="en-US"/>
        </w:rPr>
        <w:t xml:space="preserve"> affectées par les opérations minières au Mali</w:t>
      </w:r>
      <w:r w:rsidR="00B43C1E" w:rsidRPr="00AE16B6">
        <w:rPr>
          <w:rFonts w:eastAsiaTheme="minorHAnsi"/>
          <w:b/>
          <w:color w:val="000000" w:themeColor="text1"/>
          <w:lang w:eastAsia="en-US"/>
        </w:rPr>
        <w:t xml:space="preserve"> »</w:t>
      </w:r>
      <w:r w:rsidR="006D4861" w:rsidRPr="00AE16B6">
        <w:t>. Ces activités auront</w:t>
      </w:r>
      <w:r w:rsidR="005518C5">
        <w:t xml:space="preserve"> lieu essentiellement dans les </w:t>
      </w:r>
      <w:r w:rsidR="006D4861" w:rsidRPr="00AE16B6">
        <w:t xml:space="preserve">régions minières (Kayes et </w:t>
      </w:r>
      <w:r w:rsidR="005518C5">
        <w:t>Bougouni</w:t>
      </w:r>
      <w:r w:rsidR="006D4861" w:rsidRPr="00AE16B6">
        <w:t xml:space="preserve">). </w:t>
      </w:r>
    </w:p>
    <w:p w14:paraId="12B6D03C" w14:textId="35BBD9F4" w:rsidR="0053145B" w:rsidRPr="00AE16B6" w:rsidRDefault="0053145B" w:rsidP="0053145B">
      <w:pPr>
        <w:pStyle w:val="Paragraphedeliste"/>
        <w:numPr>
          <w:ilvl w:val="0"/>
          <w:numId w:val="9"/>
        </w:numPr>
        <w:spacing w:before="100" w:beforeAutospacing="1" w:after="100" w:afterAutospacing="1"/>
        <w:jc w:val="both"/>
        <w:rPr>
          <w:b/>
          <w:color w:val="000000" w:themeColor="text1"/>
          <w:u w:val="single"/>
        </w:rPr>
      </w:pPr>
      <w:r w:rsidRPr="00AE16B6">
        <w:rPr>
          <w:b/>
          <w:color w:val="000000" w:themeColor="text1"/>
          <w:u w:val="single"/>
        </w:rPr>
        <w:t>O</w:t>
      </w:r>
      <w:r w:rsidR="00714D0F" w:rsidRPr="00AE16B6">
        <w:rPr>
          <w:b/>
          <w:color w:val="000000" w:themeColor="text1"/>
          <w:u w:val="single"/>
        </w:rPr>
        <w:t xml:space="preserve">bjectifs de la </w:t>
      </w:r>
      <w:r w:rsidR="00762CF9" w:rsidRPr="00AE16B6">
        <w:rPr>
          <w:b/>
          <w:color w:val="000000" w:themeColor="text1"/>
          <w:u w:val="single"/>
        </w:rPr>
        <w:t>dissémination communale</w:t>
      </w:r>
      <w:r w:rsidRPr="00AE16B6">
        <w:rPr>
          <w:b/>
          <w:color w:val="000000" w:themeColor="text1"/>
          <w:u w:val="single"/>
        </w:rPr>
        <w:t>:</w:t>
      </w:r>
    </w:p>
    <w:p w14:paraId="0A5F4D7D" w14:textId="6E86FCCD" w:rsidR="0053145B" w:rsidRPr="00AE16B6" w:rsidRDefault="0053145B" w:rsidP="0053145B">
      <w:pPr>
        <w:pStyle w:val="Paragraphedeliste"/>
        <w:numPr>
          <w:ilvl w:val="1"/>
          <w:numId w:val="10"/>
        </w:numPr>
        <w:spacing w:before="100" w:beforeAutospacing="1" w:after="100" w:afterAutospacing="1"/>
        <w:jc w:val="both"/>
        <w:rPr>
          <w:color w:val="000000" w:themeColor="text1"/>
          <w:u w:val="single"/>
        </w:rPr>
      </w:pPr>
      <w:r w:rsidRPr="00AE16B6">
        <w:rPr>
          <w:b/>
          <w:color w:val="000000" w:themeColor="text1"/>
          <w:u w:val="single"/>
        </w:rPr>
        <w:t xml:space="preserve"> Objectif général de l</w:t>
      </w:r>
      <w:r w:rsidR="00762CF9" w:rsidRPr="00AE16B6">
        <w:rPr>
          <w:b/>
          <w:color w:val="000000" w:themeColor="text1"/>
          <w:u w:val="single"/>
        </w:rPr>
        <w:t>a dissémina</w:t>
      </w:r>
      <w:r w:rsidR="00714D0F" w:rsidRPr="00AE16B6">
        <w:rPr>
          <w:b/>
          <w:color w:val="000000" w:themeColor="text1"/>
          <w:u w:val="single"/>
        </w:rPr>
        <w:t>tion</w:t>
      </w:r>
      <w:r w:rsidRPr="00AE16B6">
        <w:rPr>
          <w:b/>
          <w:color w:val="000000" w:themeColor="text1"/>
          <w:u w:val="single"/>
        </w:rPr>
        <w:t xml:space="preserve"> : </w:t>
      </w:r>
    </w:p>
    <w:p w14:paraId="052C7706" w14:textId="72C18115" w:rsidR="0053145B" w:rsidRPr="00AE16B6" w:rsidRDefault="00714D0F" w:rsidP="006A3F62">
      <w:pPr>
        <w:pStyle w:val="Paragraphedeliste"/>
        <w:spacing w:after="100" w:afterAutospacing="1"/>
        <w:ind w:left="360"/>
        <w:jc w:val="both"/>
        <w:rPr>
          <w:color w:val="000000" w:themeColor="text1"/>
        </w:rPr>
      </w:pPr>
      <w:r w:rsidRPr="00AE16B6">
        <w:t xml:space="preserve">Elle vise à partager le rapport </w:t>
      </w:r>
      <w:r w:rsidR="000F4D1C">
        <w:t xml:space="preserve">final </w:t>
      </w:r>
      <w:r w:rsidRPr="00AE16B6">
        <w:t>de recherche sur « </w:t>
      </w:r>
      <w:r w:rsidRPr="00AE16B6">
        <w:rPr>
          <w:rFonts w:eastAsiaTheme="minorHAnsi"/>
          <w:b/>
          <w:color w:val="000000" w:themeColor="text1"/>
          <w:lang w:eastAsia="en-US"/>
        </w:rPr>
        <w:t>le respect des obligations légales de l’Etat envers les collectivités dans le cadre de l’octroi des exonérations fiscales au Mali dans son secteur Minier</w:t>
      </w:r>
      <w:r w:rsidRPr="00AE16B6">
        <w:t xml:space="preserve"> »  avec les </w:t>
      </w:r>
      <w:r w:rsidR="00762CF9" w:rsidRPr="00AE16B6">
        <w:t>communautés, les élus locaux et les services techniques vivant sur les sites miniers du Mali</w:t>
      </w:r>
      <w:r w:rsidRPr="00AE16B6">
        <w:t>.</w:t>
      </w:r>
    </w:p>
    <w:p w14:paraId="15DEE704" w14:textId="68E52F40" w:rsidR="0053145B" w:rsidRPr="00AE16B6" w:rsidRDefault="0053145B" w:rsidP="0053145B">
      <w:pPr>
        <w:pStyle w:val="NormalWeb"/>
        <w:numPr>
          <w:ilvl w:val="1"/>
          <w:numId w:val="10"/>
        </w:numPr>
        <w:jc w:val="both"/>
        <w:rPr>
          <w:b/>
          <w:color w:val="000000" w:themeColor="text1"/>
          <w:u w:val="single"/>
        </w:rPr>
      </w:pPr>
      <w:r w:rsidRPr="00AE16B6">
        <w:rPr>
          <w:b/>
          <w:color w:val="000000" w:themeColor="text1"/>
          <w:u w:val="single"/>
        </w:rPr>
        <w:t xml:space="preserve">Objectifs spécifiques de </w:t>
      </w:r>
      <w:r w:rsidR="003C0E6F" w:rsidRPr="00AE16B6">
        <w:rPr>
          <w:b/>
          <w:color w:val="000000" w:themeColor="text1"/>
          <w:u w:val="single"/>
        </w:rPr>
        <w:t xml:space="preserve">la </w:t>
      </w:r>
      <w:r w:rsidR="00762CF9" w:rsidRPr="00AE16B6">
        <w:rPr>
          <w:b/>
          <w:color w:val="000000" w:themeColor="text1"/>
          <w:u w:val="single"/>
        </w:rPr>
        <w:t>dissémin</w:t>
      </w:r>
      <w:r w:rsidR="003C0E6F" w:rsidRPr="00AE16B6">
        <w:rPr>
          <w:b/>
          <w:color w:val="000000" w:themeColor="text1"/>
          <w:u w:val="single"/>
        </w:rPr>
        <w:t>ation</w:t>
      </w:r>
      <w:r w:rsidRPr="00AE16B6">
        <w:rPr>
          <w:b/>
          <w:color w:val="000000" w:themeColor="text1"/>
          <w:u w:val="single"/>
        </w:rPr>
        <w:t> :</w:t>
      </w:r>
    </w:p>
    <w:p w14:paraId="23514305" w14:textId="633785DA" w:rsidR="0053145B" w:rsidRPr="00AE16B6" w:rsidRDefault="00714D0F" w:rsidP="0053145B">
      <w:pPr>
        <w:spacing w:before="100" w:beforeAutospacing="1"/>
        <w:jc w:val="both"/>
        <w:rPr>
          <w:color w:val="000000" w:themeColor="text1"/>
        </w:rPr>
      </w:pPr>
      <w:r w:rsidRPr="00AE16B6">
        <w:rPr>
          <w:color w:val="000000" w:themeColor="text1"/>
        </w:rPr>
        <w:t xml:space="preserve">De façon spécifique, la </w:t>
      </w:r>
      <w:r w:rsidR="00762CF9" w:rsidRPr="00AE16B6">
        <w:rPr>
          <w:color w:val="000000" w:themeColor="text1"/>
        </w:rPr>
        <w:t>dissémination communale vise</w:t>
      </w:r>
      <w:r w:rsidR="0053145B" w:rsidRPr="00AE16B6">
        <w:rPr>
          <w:color w:val="000000" w:themeColor="text1"/>
        </w:rPr>
        <w:t xml:space="preserve"> à :</w:t>
      </w:r>
    </w:p>
    <w:p w14:paraId="274AA801" w14:textId="6416EB3D" w:rsidR="00714D0F" w:rsidRPr="00AE16B6" w:rsidRDefault="00714D0F" w:rsidP="00714D0F">
      <w:pPr>
        <w:pStyle w:val="Paragraphedeliste"/>
        <w:numPr>
          <w:ilvl w:val="0"/>
          <w:numId w:val="11"/>
        </w:numPr>
        <w:spacing w:after="100" w:afterAutospacing="1"/>
        <w:jc w:val="both"/>
      </w:pPr>
      <w:r w:rsidRPr="00AE16B6">
        <w:t>Partager avec les participants les conclusions de l’étude sur :</w:t>
      </w:r>
    </w:p>
    <w:p w14:paraId="282B6490" w14:textId="75546E56" w:rsidR="0053145B" w:rsidRPr="00AE16B6" w:rsidRDefault="00333A77" w:rsidP="0053145B">
      <w:pPr>
        <w:pStyle w:val="Paragraphedeliste"/>
        <w:numPr>
          <w:ilvl w:val="0"/>
          <w:numId w:val="2"/>
        </w:numPr>
        <w:spacing w:after="100" w:afterAutospacing="1"/>
        <w:jc w:val="both"/>
      </w:pPr>
      <w:r w:rsidRPr="00AE16B6">
        <w:rPr>
          <w:color w:val="000000" w:themeColor="text1"/>
        </w:rPr>
        <w:t xml:space="preserve">la situation des exonérations accordées </w:t>
      </w:r>
      <w:r w:rsidRPr="00AE16B6">
        <w:t xml:space="preserve">au regard de la </w:t>
      </w:r>
      <w:r w:rsidR="0053145B" w:rsidRPr="00AE16B6">
        <w:t xml:space="preserve"> </w:t>
      </w:r>
      <w:r w:rsidRPr="00AE16B6">
        <w:rPr>
          <w:rFonts w:eastAsiaTheme="minorHAnsi"/>
          <w:b/>
          <w:lang w:eastAsia="en-US"/>
        </w:rPr>
        <w:t>loi N°</w:t>
      </w:r>
      <w:r w:rsidRPr="00AE16B6">
        <w:rPr>
          <w:b/>
          <w:bCs/>
        </w:rPr>
        <w:t>2011-36 relative aux ressources fiscales des communes, cercles et régions</w:t>
      </w:r>
      <w:r w:rsidR="00714D0F" w:rsidRPr="00AE16B6">
        <w:rPr>
          <w:b/>
          <w:bCs/>
        </w:rPr>
        <w:t xml:space="preserve"> </w:t>
      </w:r>
      <w:r w:rsidRPr="00AE16B6">
        <w:rPr>
          <w:bCs/>
        </w:rPr>
        <w:t>;</w:t>
      </w:r>
    </w:p>
    <w:p w14:paraId="23BDA156" w14:textId="4319D878" w:rsidR="00333A77" w:rsidRPr="00AE16B6" w:rsidRDefault="00BE481F" w:rsidP="0053145B">
      <w:pPr>
        <w:pStyle w:val="Paragraphedeliste"/>
        <w:numPr>
          <w:ilvl w:val="0"/>
          <w:numId w:val="2"/>
        </w:numPr>
        <w:spacing w:after="100" w:afterAutospacing="1"/>
        <w:jc w:val="both"/>
      </w:pPr>
      <w:r w:rsidRPr="00AE16B6">
        <w:rPr>
          <w:bCs/>
        </w:rPr>
        <w:t>les conditions d’octroi des exonérations au regard de la</w:t>
      </w:r>
      <w:r w:rsidRPr="00AE16B6">
        <w:rPr>
          <w:b/>
          <w:color w:val="000000"/>
        </w:rPr>
        <w:t xml:space="preserve"> loi n°2017-052 du 02 octobre 2017 déterminant les conditions de la libre administration des collectivités territoriales ;</w:t>
      </w:r>
    </w:p>
    <w:p w14:paraId="3CE31C7C" w14:textId="6183448C" w:rsidR="00BE481F" w:rsidRPr="00AE16B6" w:rsidRDefault="00BE481F" w:rsidP="0053145B">
      <w:pPr>
        <w:pStyle w:val="Paragraphedeliste"/>
        <w:numPr>
          <w:ilvl w:val="0"/>
          <w:numId w:val="2"/>
        </w:numPr>
        <w:spacing w:after="100" w:afterAutospacing="1"/>
        <w:jc w:val="both"/>
      </w:pPr>
      <w:r w:rsidRPr="00AE16B6">
        <w:t xml:space="preserve">le coût estimatif des pertes subies par </w:t>
      </w:r>
      <w:r w:rsidR="00714D0F" w:rsidRPr="00AE16B6">
        <w:t>l</w:t>
      </w:r>
      <w:r w:rsidRPr="00AE16B6">
        <w:t xml:space="preserve">es collectivités à l’occasion de ces exonérations ; </w:t>
      </w:r>
    </w:p>
    <w:p w14:paraId="3140FFC4" w14:textId="2F972922" w:rsidR="009C1580" w:rsidRPr="00AE16B6" w:rsidRDefault="00714D0F" w:rsidP="009C1580">
      <w:pPr>
        <w:pStyle w:val="Paragraphedeliste"/>
        <w:numPr>
          <w:ilvl w:val="0"/>
          <w:numId w:val="2"/>
        </w:numPr>
        <w:spacing w:after="100" w:afterAutospacing="1"/>
        <w:jc w:val="both"/>
        <w:rPr>
          <w:color w:val="000000" w:themeColor="text1"/>
        </w:rPr>
      </w:pPr>
      <w:r w:rsidRPr="00AE16B6">
        <w:rPr>
          <w:color w:val="000000" w:themeColor="text1"/>
        </w:rPr>
        <w:t>l’impact</w:t>
      </w:r>
      <w:r w:rsidR="00BE481F" w:rsidRPr="00AE16B6">
        <w:rPr>
          <w:color w:val="000000" w:themeColor="text1"/>
        </w:rPr>
        <w:t xml:space="preserve"> du manque à gagner au nive</w:t>
      </w:r>
      <w:r w:rsidR="00217015" w:rsidRPr="00AE16B6">
        <w:rPr>
          <w:color w:val="000000" w:themeColor="text1"/>
        </w:rPr>
        <w:t>au des collectivités impactées pendant la période d’exonération ;</w:t>
      </w:r>
    </w:p>
    <w:p w14:paraId="508D0611" w14:textId="1C9E1B29" w:rsidR="0053145B" w:rsidRPr="00AE16B6" w:rsidRDefault="00714D0F" w:rsidP="009C1580">
      <w:pPr>
        <w:pStyle w:val="Paragraphedeliste"/>
        <w:numPr>
          <w:ilvl w:val="0"/>
          <w:numId w:val="2"/>
        </w:numPr>
        <w:spacing w:after="100" w:afterAutospacing="1"/>
        <w:jc w:val="both"/>
        <w:rPr>
          <w:color w:val="000000" w:themeColor="text1"/>
        </w:rPr>
      </w:pPr>
      <w:r w:rsidRPr="00AE16B6">
        <w:rPr>
          <w:color w:val="000000" w:themeColor="text1"/>
        </w:rPr>
        <w:t>et de recueillir</w:t>
      </w:r>
      <w:r w:rsidR="009D69CE" w:rsidRPr="00AE16B6">
        <w:rPr>
          <w:color w:val="000000" w:themeColor="text1"/>
        </w:rPr>
        <w:t xml:space="preserve"> leurs </w:t>
      </w:r>
      <w:r w:rsidR="00762CF9" w:rsidRPr="00AE16B6">
        <w:rPr>
          <w:color w:val="000000" w:themeColor="text1"/>
        </w:rPr>
        <w:t xml:space="preserve">commentaires </w:t>
      </w:r>
      <w:r w:rsidR="009D69CE" w:rsidRPr="00AE16B6">
        <w:rPr>
          <w:color w:val="000000" w:themeColor="text1"/>
        </w:rPr>
        <w:t xml:space="preserve">sur </w:t>
      </w:r>
      <w:r w:rsidR="009D69CE" w:rsidRPr="00251FF8">
        <w:t>les</w:t>
      </w:r>
      <w:r w:rsidRPr="00251FF8">
        <w:t xml:space="preserve"> proposi</w:t>
      </w:r>
      <w:r w:rsidR="009F205E" w:rsidRPr="00251FF8">
        <w:t>ti</w:t>
      </w:r>
      <w:r w:rsidRPr="00251FF8">
        <w:t xml:space="preserve">ons de </w:t>
      </w:r>
      <w:r w:rsidR="00217015" w:rsidRPr="00251FF8">
        <w:t xml:space="preserve">mécanisme </w:t>
      </w:r>
      <w:r w:rsidR="00217015" w:rsidRPr="00AE16B6">
        <w:rPr>
          <w:color w:val="000000" w:themeColor="text1"/>
        </w:rPr>
        <w:t>de compensation des revenus exonérés pendant les phases de recherche et de développement au profit  des collectivités</w:t>
      </w:r>
      <w:r w:rsidR="00762CF9" w:rsidRPr="00AE16B6">
        <w:rPr>
          <w:color w:val="000000" w:themeColor="text1"/>
        </w:rPr>
        <w:t>.</w:t>
      </w:r>
      <w:r w:rsidR="00217015" w:rsidRPr="00AE16B6">
        <w:rPr>
          <w:color w:val="000000" w:themeColor="text1"/>
        </w:rPr>
        <w:t xml:space="preserve"> </w:t>
      </w:r>
      <w:r w:rsidR="00EE6696" w:rsidRPr="00AE16B6">
        <w:rPr>
          <w:color w:val="000000" w:themeColor="text1"/>
          <w:highlight w:val="green"/>
        </w:rPr>
        <w:t xml:space="preserve"> </w:t>
      </w:r>
    </w:p>
    <w:p w14:paraId="63615050" w14:textId="77777777" w:rsidR="000A18A5" w:rsidRPr="00AE16B6" w:rsidRDefault="0053145B" w:rsidP="000A18A5">
      <w:pPr>
        <w:pStyle w:val="Paragraphedeliste"/>
        <w:numPr>
          <w:ilvl w:val="0"/>
          <w:numId w:val="9"/>
        </w:numPr>
        <w:spacing w:before="100" w:beforeAutospacing="1"/>
        <w:jc w:val="both"/>
        <w:rPr>
          <w:color w:val="000000" w:themeColor="text1"/>
          <w:u w:val="single"/>
        </w:rPr>
      </w:pPr>
      <w:r w:rsidRPr="00AE16B6">
        <w:rPr>
          <w:b/>
          <w:color w:val="000000" w:themeColor="text1"/>
          <w:u w:val="single"/>
        </w:rPr>
        <w:t>Résultats attendus de l</w:t>
      </w:r>
      <w:r w:rsidR="00EE6696" w:rsidRPr="00AE16B6">
        <w:rPr>
          <w:b/>
          <w:color w:val="000000" w:themeColor="text1"/>
          <w:u w:val="single"/>
        </w:rPr>
        <w:t>’étud</w:t>
      </w:r>
      <w:r w:rsidRPr="00AE16B6">
        <w:rPr>
          <w:b/>
          <w:color w:val="000000" w:themeColor="text1"/>
          <w:u w:val="single"/>
        </w:rPr>
        <w:t>e :</w:t>
      </w:r>
    </w:p>
    <w:p w14:paraId="106C9E0F" w14:textId="02186AC4" w:rsidR="0053145B" w:rsidRPr="00AE16B6" w:rsidRDefault="00762CF9" w:rsidP="000A18A5">
      <w:pPr>
        <w:pStyle w:val="Paragraphedeliste"/>
        <w:spacing w:before="100" w:beforeAutospacing="1"/>
        <w:jc w:val="both"/>
      </w:pPr>
      <w:r w:rsidRPr="00AE16B6">
        <w:t xml:space="preserve">Au terme de la dissémination communale </w:t>
      </w:r>
      <w:r w:rsidR="000A18A5" w:rsidRPr="00AE16B6">
        <w:t xml:space="preserve">du rapport de recherche, les </w:t>
      </w:r>
      <w:r w:rsidRPr="00AE16B6">
        <w:t>résultats suivants sont atteints</w:t>
      </w:r>
      <w:r w:rsidR="000A18A5" w:rsidRPr="00AE16B6">
        <w:t> :</w:t>
      </w:r>
    </w:p>
    <w:p w14:paraId="7DC489D0" w14:textId="77777777" w:rsidR="00762CF9" w:rsidRPr="00AE16B6" w:rsidRDefault="00762CF9" w:rsidP="000A18A5">
      <w:pPr>
        <w:pStyle w:val="Paragraphedeliste"/>
        <w:spacing w:before="100" w:beforeAutospacing="1"/>
        <w:jc w:val="both"/>
        <w:rPr>
          <w:color w:val="000000" w:themeColor="text1"/>
        </w:rPr>
      </w:pPr>
    </w:p>
    <w:p w14:paraId="5DCE328C" w14:textId="1FBD928E" w:rsidR="000A18A5" w:rsidRPr="00AE16B6" w:rsidRDefault="000A18A5" w:rsidP="000A18A5">
      <w:pPr>
        <w:pStyle w:val="Paragraphedeliste"/>
        <w:numPr>
          <w:ilvl w:val="0"/>
          <w:numId w:val="11"/>
        </w:numPr>
        <w:spacing w:after="100" w:afterAutospacing="1"/>
        <w:jc w:val="both"/>
        <w:rPr>
          <w:color w:val="00B050"/>
        </w:rPr>
      </w:pPr>
      <w:r w:rsidRPr="00AE16B6">
        <w:t>Les conclusions issues de la recherche sont partagés avec les participants</w:t>
      </w:r>
      <w:r w:rsidR="00802ADA" w:rsidRPr="00AE16B6">
        <w:t> </w:t>
      </w:r>
      <w:r w:rsidR="00762CF9" w:rsidRPr="00AE16B6">
        <w:t>et :</w:t>
      </w:r>
      <w:r w:rsidRPr="00AE16B6">
        <w:t xml:space="preserve">  </w:t>
      </w:r>
    </w:p>
    <w:p w14:paraId="1E5E9A72" w14:textId="548E819F" w:rsidR="00EE6696" w:rsidRPr="00AE16B6" w:rsidRDefault="00762CF9" w:rsidP="00EE6696">
      <w:pPr>
        <w:pStyle w:val="Paragraphedeliste"/>
        <w:numPr>
          <w:ilvl w:val="0"/>
          <w:numId w:val="2"/>
        </w:numPr>
        <w:spacing w:after="100" w:afterAutospacing="1"/>
        <w:jc w:val="both"/>
        <w:rPr>
          <w:color w:val="000000" w:themeColor="text1"/>
        </w:rPr>
      </w:pPr>
      <w:r w:rsidRPr="00AE16B6">
        <w:rPr>
          <w:color w:val="000000" w:themeColor="text1"/>
        </w:rPr>
        <w:t>Le</w:t>
      </w:r>
      <w:r w:rsidR="000A18A5" w:rsidRPr="00AE16B6">
        <w:rPr>
          <w:color w:val="000000" w:themeColor="text1"/>
        </w:rPr>
        <w:t xml:space="preserve"> point</w:t>
      </w:r>
      <w:r w:rsidRPr="00AE16B6">
        <w:rPr>
          <w:color w:val="000000" w:themeColor="text1"/>
        </w:rPr>
        <w:t xml:space="preserve"> est fait sur la situation des exonérations accordées </w:t>
      </w:r>
      <w:r w:rsidRPr="00AE16B6">
        <w:rPr>
          <w:bCs/>
          <w:color w:val="000000" w:themeColor="text1"/>
        </w:rPr>
        <w:t xml:space="preserve">au détriment des collectivités </w:t>
      </w:r>
      <w:r w:rsidRPr="00AE16B6">
        <w:rPr>
          <w:color w:val="000000" w:themeColor="text1"/>
        </w:rPr>
        <w:t>au regard</w:t>
      </w:r>
      <w:r w:rsidR="000A18A5" w:rsidRPr="00AE16B6">
        <w:rPr>
          <w:color w:val="000000" w:themeColor="text1"/>
        </w:rPr>
        <w:t xml:space="preserve"> </w:t>
      </w:r>
      <w:r w:rsidR="00EE6696" w:rsidRPr="00AE16B6">
        <w:rPr>
          <w:color w:val="000000" w:themeColor="text1"/>
        </w:rPr>
        <w:t xml:space="preserve">de la  </w:t>
      </w:r>
      <w:r w:rsidR="00EE6696" w:rsidRPr="00AE16B6">
        <w:rPr>
          <w:rFonts w:eastAsiaTheme="minorHAnsi"/>
          <w:b/>
          <w:color w:val="000000" w:themeColor="text1"/>
          <w:lang w:eastAsia="en-US"/>
        </w:rPr>
        <w:t>loi N°</w:t>
      </w:r>
      <w:r w:rsidR="00EE6696" w:rsidRPr="00AE16B6">
        <w:rPr>
          <w:b/>
          <w:bCs/>
          <w:color w:val="000000" w:themeColor="text1"/>
        </w:rPr>
        <w:t>2011-36 relative aux ressources fiscales des communes, cercles et régions</w:t>
      </w:r>
      <w:r w:rsidR="00EE6696" w:rsidRPr="00AE16B6">
        <w:rPr>
          <w:bCs/>
          <w:color w:val="000000" w:themeColor="text1"/>
        </w:rPr>
        <w:t> ;</w:t>
      </w:r>
    </w:p>
    <w:p w14:paraId="2E57CEAC" w14:textId="62D94BFE" w:rsidR="00EE6696" w:rsidRPr="00AE16B6" w:rsidRDefault="000A18A5" w:rsidP="00EE6696">
      <w:pPr>
        <w:pStyle w:val="Paragraphedeliste"/>
        <w:numPr>
          <w:ilvl w:val="0"/>
          <w:numId w:val="2"/>
        </w:numPr>
        <w:spacing w:after="100" w:afterAutospacing="1"/>
        <w:jc w:val="both"/>
        <w:rPr>
          <w:color w:val="000000" w:themeColor="text1"/>
        </w:rPr>
      </w:pPr>
      <w:r w:rsidRPr="00AE16B6">
        <w:rPr>
          <w:bCs/>
          <w:color w:val="000000" w:themeColor="text1"/>
        </w:rPr>
        <w:t xml:space="preserve">Les participants ont </w:t>
      </w:r>
      <w:r w:rsidR="00762CF9" w:rsidRPr="00AE16B6">
        <w:rPr>
          <w:bCs/>
          <w:color w:val="000000" w:themeColor="text1"/>
        </w:rPr>
        <w:t xml:space="preserve">pris connaissance </w:t>
      </w:r>
      <w:r w:rsidRPr="00AE16B6">
        <w:rPr>
          <w:bCs/>
          <w:color w:val="000000" w:themeColor="text1"/>
        </w:rPr>
        <w:t xml:space="preserve"> </w:t>
      </w:r>
      <w:r w:rsidR="00367902" w:rsidRPr="00AE16B6">
        <w:rPr>
          <w:bCs/>
        </w:rPr>
        <w:t>des conditions d’octroi des exonérations au regard de la</w:t>
      </w:r>
      <w:r w:rsidR="00367902" w:rsidRPr="00AE16B6">
        <w:rPr>
          <w:b/>
          <w:color w:val="000000"/>
        </w:rPr>
        <w:t xml:space="preserve"> loi n°2017-052 du 02 octobre 2017 déterminant les conditions de la libre administration des collectivités territoriales </w:t>
      </w:r>
      <w:r w:rsidR="00EE6696" w:rsidRPr="00AE16B6">
        <w:rPr>
          <w:b/>
          <w:color w:val="000000" w:themeColor="text1"/>
        </w:rPr>
        <w:t>;</w:t>
      </w:r>
    </w:p>
    <w:p w14:paraId="79A06C5B" w14:textId="4CE6A395" w:rsidR="00EE6696" w:rsidRPr="00AE16B6" w:rsidRDefault="00367902" w:rsidP="00EE6696">
      <w:pPr>
        <w:pStyle w:val="Paragraphedeliste"/>
        <w:numPr>
          <w:ilvl w:val="0"/>
          <w:numId w:val="2"/>
        </w:numPr>
        <w:spacing w:after="100" w:afterAutospacing="1"/>
        <w:jc w:val="both"/>
        <w:rPr>
          <w:color w:val="000000" w:themeColor="text1"/>
        </w:rPr>
      </w:pPr>
      <w:r w:rsidRPr="00AE16B6">
        <w:rPr>
          <w:color w:val="000000" w:themeColor="text1"/>
        </w:rPr>
        <w:t>Les participants ont pris connaissance du</w:t>
      </w:r>
      <w:r w:rsidR="00EE6696" w:rsidRPr="00AE16B6">
        <w:rPr>
          <w:color w:val="000000" w:themeColor="text1"/>
        </w:rPr>
        <w:t xml:space="preserve"> coût estimatif des pertes </w:t>
      </w:r>
      <w:r w:rsidR="00F46899" w:rsidRPr="00AE16B6">
        <w:rPr>
          <w:color w:val="000000" w:themeColor="text1"/>
        </w:rPr>
        <w:t xml:space="preserve">possibles </w:t>
      </w:r>
      <w:r w:rsidR="00EE6696" w:rsidRPr="00AE16B6">
        <w:rPr>
          <w:color w:val="000000" w:themeColor="text1"/>
        </w:rPr>
        <w:t xml:space="preserve">subies par ces collectivités à l’occasion </w:t>
      </w:r>
      <w:r w:rsidRPr="00AE16B6">
        <w:rPr>
          <w:color w:val="000000" w:themeColor="text1"/>
        </w:rPr>
        <w:t xml:space="preserve">de l’octroi </w:t>
      </w:r>
      <w:r w:rsidR="00EE6696" w:rsidRPr="00AE16B6">
        <w:rPr>
          <w:color w:val="000000" w:themeColor="text1"/>
        </w:rPr>
        <w:t>de ces exonérations</w:t>
      </w:r>
      <w:r w:rsidRPr="00AE16B6">
        <w:rPr>
          <w:color w:val="000000" w:themeColor="text1"/>
        </w:rPr>
        <w:t xml:space="preserve"> </w:t>
      </w:r>
      <w:r w:rsidR="00EE6696" w:rsidRPr="00AE16B6">
        <w:rPr>
          <w:color w:val="000000" w:themeColor="text1"/>
        </w:rPr>
        <w:t xml:space="preserve">; </w:t>
      </w:r>
    </w:p>
    <w:p w14:paraId="46869820" w14:textId="184ABFEA" w:rsidR="00EE6696" w:rsidRPr="00AE16B6" w:rsidRDefault="00367902" w:rsidP="006A3F62">
      <w:pPr>
        <w:pStyle w:val="Paragraphedeliste"/>
        <w:numPr>
          <w:ilvl w:val="0"/>
          <w:numId w:val="2"/>
        </w:numPr>
        <w:spacing w:after="100" w:afterAutospacing="1"/>
        <w:jc w:val="both"/>
        <w:rPr>
          <w:color w:val="000000" w:themeColor="text1"/>
        </w:rPr>
      </w:pPr>
      <w:r w:rsidRPr="00AE16B6">
        <w:rPr>
          <w:color w:val="000000" w:themeColor="text1"/>
        </w:rPr>
        <w:t>L’</w:t>
      </w:r>
      <w:r w:rsidR="000A18A5" w:rsidRPr="00AE16B6">
        <w:rPr>
          <w:color w:val="000000" w:themeColor="text1"/>
        </w:rPr>
        <w:t xml:space="preserve">impact </w:t>
      </w:r>
      <w:r w:rsidR="00EE6696" w:rsidRPr="00AE16B6">
        <w:rPr>
          <w:color w:val="000000" w:themeColor="text1"/>
        </w:rPr>
        <w:t xml:space="preserve">du manque à gagner au niveau des collectivités </w:t>
      </w:r>
      <w:r w:rsidRPr="00AE16B6">
        <w:rPr>
          <w:color w:val="000000" w:themeColor="text1"/>
        </w:rPr>
        <w:t>abritant les sites minier est présenté et discuté avec les participants ;</w:t>
      </w:r>
      <w:r w:rsidR="00EE6696" w:rsidRPr="00AE16B6">
        <w:rPr>
          <w:color w:val="000000" w:themeColor="text1"/>
        </w:rPr>
        <w:t xml:space="preserve"> </w:t>
      </w:r>
    </w:p>
    <w:p w14:paraId="59CC3CA6" w14:textId="5946C38C" w:rsidR="00217015" w:rsidRPr="00AE16B6" w:rsidRDefault="000A18A5" w:rsidP="00EE6696">
      <w:pPr>
        <w:pStyle w:val="Paragraphedeliste"/>
        <w:numPr>
          <w:ilvl w:val="0"/>
          <w:numId w:val="2"/>
        </w:numPr>
        <w:spacing w:after="100" w:afterAutospacing="1"/>
        <w:jc w:val="both"/>
        <w:rPr>
          <w:color w:val="000000" w:themeColor="text1"/>
        </w:rPr>
      </w:pPr>
      <w:r w:rsidRPr="00AE16B6">
        <w:rPr>
          <w:color w:val="000000" w:themeColor="text1"/>
        </w:rPr>
        <w:t xml:space="preserve">les </w:t>
      </w:r>
      <w:r w:rsidR="00217015" w:rsidRPr="00AE16B6">
        <w:rPr>
          <w:color w:val="000000" w:themeColor="text1"/>
        </w:rPr>
        <w:t>mécanisme</w:t>
      </w:r>
      <w:r w:rsidRPr="00AE16B6">
        <w:rPr>
          <w:color w:val="000000" w:themeColor="text1"/>
        </w:rPr>
        <w:t>s</w:t>
      </w:r>
      <w:r w:rsidR="00217015" w:rsidRPr="00AE16B6">
        <w:rPr>
          <w:color w:val="000000" w:themeColor="text1"/>
        </w:rPr>
        <w:t xml:space="preserve"> de compensation </w:t>
      </w:r>
      <w:r w:rsidRPr="00AE16B6">
        <w:rPr>
          <w:color w:val="000000" w:themeColor="text1"/>
        </w:rPr>
        <w:t xml:space="preserve">sont discutés </w:t>
      </w:r>
      <w:r w:rsidR="00367902" w:rsidRPr="00AE16B6">
        <w:rPr>
          <w:color w:val="000000" w:themeColor="text1"/>
        </w:rPr>
        <w:t>avec</w:t>
      </w:r>
      <w:r w:rsidRPr="00AE16B6">
        <w:rPr>
          <w:color w:val="000000" w:themeColor="text1"/>
        </w:rPr>
        <w:t xml:space="preserve"> les participants. </w:t>
      </w:r>
    </w:p>
    <w:p w14:paraId="03C2BF34" w14:textId="77777777" w:rsidR="003C0E6F" w:rsidRPr="00AE16B6" w:rsidRDefault="0053145B" w:rsidP="003C0E6F">
      <w:pPr>
        <w:pStyle w:val="Paragraphedeliste"/>
        <w:numPr>
          <w:ilvl w:val="0"/>
          <w:numId w:val="13"/>
        </w:numPr>
        <w:spacing w:before="100" w:beforeAutospacing="1" w:after="100" w:afterAutospacing="1"/>
        <w:jc w:val="both"/>
        <w:rPr>
          <w:b/>
          <w:u w:val="single"/>
        </w:rPr>
      </w:pPr>
      <w:r w:rsidRPr="00AE16B6">
        <w:rPr>
          <w:b/>
          <w:color w:val="000000" w:themeColor="text1"/>
          <w:lang w:val="pt-BR"/>
        </w:rPr>
        <w:t xml:space="preserve"> </w:t>
      </w:r>
      <w:r w:rsidR="003C0E6F" w:rsidRPr="00AE16B6">
        <w:rPr>
          <w:b/>
          <w:u w:val="single"/>
        </w:rPr>
        <w:t>Le public cible :</w:t>
      </w:r>
    </w:p>
    <w:p w14:paraId="273727A1" w14:textId="63B7D263" w:rsidR="004509B2" w:rsidRPr="00AD3933" w:rsidRDefault="006D4861" w:rsidP="00AE16B6">
      <w:pPr>
        <w:spacing w:before="100" w:beforeAutospacing="1" w:after="100" w:afterAutospacing="1" w:line="360" w:lineRule="auto"/>
        <w:jc w:val="both"/>
      </w:pPr>
      <w:r w:rsidRPr="00AD3933">
        <w:t>Ces disséminations communales regrouperont trente</w:t>
      </w:r>
      <w:r w:rsidR="00251FF8">
        <w:t xml:space="preserve">  (30</w:t>
      </w:r>
      <w:r w:rsidRPr="00AD3933">
        <w:t>)  participants appartenant aux organisations communautaires de base (association des femmes, des jeunes et des travailleurs des mines</w:t>
      </w:r>
      <w:r w:rsidR="00315A86" w:rsidRPr="00AD3933">
        <w:t xml:space="preserve">), les élus du Conseil Régional, du Conseil de Cercle, du conseil communal, des </w:t>
      </w:r>
      <w:bookmarkStart w:id="0" w:name="_GoBack"/>
      <w:bookmarkEnd w:id="0"/>
      <w:r w:rsidR="00315A86" w:rsidRPr="00AD3933">
        <w:t xml:space="preserve">représentants du Gouverneur, du Préfet ou du Sous-Préfet, des représentants de services techniques locaux (impôts, trésor, DRGM, DRDC….) des organisations de la société civile locale, des organisations féminines, de la Jeunesse, de la Chefferie Traditionnelle, des Communautés à la base et médias locaux à Kayes, Sikasso. Ces activités seront </w:t>
      </w:r>
      <w:r w:rsidRPr="00AD3933">
        <w:t>animée</w:t>
      </w:r>
      <w:r w:rsidR="00315A86" w:rsidRPr="00AD3933">
        <w:t>s</w:t>
      </w:r>
      <w:r w:rsidRPr="00AD3933">
        <w:t xml:space="preserve"> </w:t>
      </w:r>
      <w:r w:rsidR="00315A86" w:rsidRPr="00AD3933">
        <w:t>par des représentants de PCQVP-Mali venant de Bamako</w:t>
      </w:r>
      <w:r w:rsidRPr="00AD3933">
        <w:t>.</w:t>
      </w:r>
    </w:p>
    <w:p w14:paraId="247A6ED9" w14:textId="459A570F" w:rsidR="003C0E6F" w:rsidRPr="00AE16B6" w:rsidRDefault="003C0E6F" w:rsidP="003C0E6F">
      <w:pPr>
        <w:pStyle w:val="Paragraphedeliste"/>
        <w:numPr>
          <w:ilvl w:val="0"/>
          <w:numId w:val="13"/>
        </w:numPr>
        <w:spacing w:before="100" w:beforeAutospacing="1" w:after="100" w:afterAutospacing="1"/>
        <w:jc w:val="both"/>
        <w:rPr>
          <w:b/>
          <w:u w:val="single"/>
        </w:rPr>
      </w:pPr>
      <w:r w:rsidRPr="00AE16B6">
        <w:rPr>
          <w:b/>
          <w:u w:val="single"/>
        </w:rPr>
        <w:t>Lieux </w:t>
      </w:r>
      <w:r w:rsidRPr="00AE16B6">
        <w:rPr>
          <w:b/>
        </w:rPr>
        <w:t xml:space="preserve">: </w:t>
      </w:r>
      <w:r w:rsidR="00315A86" w:rsidRPr="00AE16B6">
        <w:rPr>
          <w:b/>
        </w:rPr>
        <w:t>Région de Kayes : Kayes ville et la Commune de Sadiola</w:t>
      </w:r>
    </w:p>
    <w:p w14:paraId="68134065" w14:textId="3588709B" w:rsidR="00315A86" w:rsidRPr="00AE16B6" w:rsidRDefault="00315A86" w:rsidP="00315A86">
      <w:pPr>
        <w:pStyle w:val="Paragraphedeliste"/>
        <w:spacing w:before="100" w:beforeAutospacing="1" w:after="100" w:afterAutospacing="1"/>
        <w:jc w:val="both"/>
        <w:rPr>
          <w:b/>
        </w:rPr>
      </w:pPr>
      <w:r w:rsidRPr="00AE16B6">
        <w:rPr>
          <w:b/>
        </w:rPr>
        <w:t xml:space="preserve">             Région de Bougouni : Commune de Sanso et de Guandiaka (Kalana)</w:t>
      </w:r>
    </w:p>
    <w:p w14:paraId="4F0EA411" w14:textId="77777777" w:rsidR="00315A86" w:rsidRPr="00AE16B6" w:rsidRDefault="003C0E6F" w:rsidP="003C0E6F">
      <w:pPr>
        <w:pStyle w:val="Paragraphedeliste"/>
        <w:numPr>
          <w:ilvl w:val="0"/>
          <w:numId w:val="13"/>
        </w:numPr>
        <w:spacing w:before="100" w:beforeAutospacing="1" w:after="100" w:afterAutospacing="1"/>
        <w:jc w:val="both"/>
        <w:rPr>
          <w:b/>
          <w:u w:val="single"/>
        </w:rPr>
      </w:pPr>
      <w:r w:rsidRPr="00AE16B6">
        <w:rPr>
          <w:b/>
          <w:u w:val="single"/>
        </w:rPr>
        <w:t>Durée de la rencontre</w:t>
      </w:r>
      <w:r w:rsidRPr="00AE16B6">
        <w:rPr>
          <w:b/>
        </w:rPr>
        <w:t xml:space="preserve">   : 1 jour</w:t>
      </w:r>
    </w:p>
    <w:p w14:paraId="07FB391A" w14:textId="79C615CF" w:rsidR="003C0E6F" w:rsidRPr="00AE16B6" w:rsidRDefault="00315A86" w:rsidP="003C0E6F">
      <w:pPr>
        <w:pStyle w:val="Paragraphedeliste"/>
        <w:numPr>
          <w:ilvl w:val="0"/>
          <w:numId w:val="13"/>
        </w:numPr>
        <w:spacing w:before="100" w:beforeAutospacing="1" w:after="100" w:afterAutospacing="1"/>
        <w:jc w:val="both"/>
        <w:rPr>
          <w:b/>
          <w:u w:val="single"/>
        </w:rPr>
      </w:pPr>
      <w:r w:rsidRPr="00AE16B6">
        <w:rPr>
          <w:b/>
          <w:u w:val="single"/>
        </w:rPr>
        <w:t>Date et Heure</w:t>
      </w:r>
      <w:r w:rsidRPr="00AE16B6">
        <w:rPr>
          <w:b/>
        </w:rPr>
        <w:t xml:space="preserve">: </w:t>
      </w:r>
      <w:r w:rsidR="003C0E6F" w:rsidRPr="00AE16B6">
        <w:rPr>
          <w:b/>
        </w:rPr>
        <w:t xml:space="preserve"> </w:t>
      </w:r>
    </w:p>
    <w:p w14:paraId="2EB280BF" w14:textId="77777777" w:rsidR="00315A86" w:rsidRPr="00AE16B6" w:rsidRDefault="00315A86" w:rsidP="00315A86">
      <w:pPr>
        <w:pStyle w:val="Paragraphedeliste"/>
        <w:spacing w:before="100" w:beforeAutospacing="1" w:after="100" w:afterAutospacing="1"/>
        <w:jc w:val="both"/>
        <w:rPr>
          <w:b/>
        </w:rPr>
      </w:pPr>
      <w:r w:rsidRPr="00AE16B6">
        <w:rPr>
          <w:b/>
        </w:rPr>
        <w:t xml:space="preserve">Région de Kayes : </w:t>
      </w:r>
    </w:p>
    <w:p w14:paraId="19421470" w14:textId="3F3F8CED" w:rsidR="00315A86" w:rsidRPr="00AE16B6" w:rsidRDefault="00315A86" w:rsidP="00315A86">
      <w:pPr>
        <w:pStyle w:val="Paragraphedeliste"/>
        <w:numPr>
          <w:ilvl w:val="0"/>
          <w:numId w:val="11"/>
        </w:numPr>
        <w:spacing w:before="100" w:beforeAutospacing="1" w:after="100" w:afterAutospacing="1"/>
        <w:jc w:val="both"/>
        <w:rPr>
          <w:b/>
          <w:u w:val="single"/>
        </w:rPr>
      </w:pPr>
      <w:r w:rsidRPr="00AE16B6">
        <w:rPr>
          <w:b/>
        </w:rPr>
        <w:t>Commune de Sadiola : 22 juillet 2020 à 09h30 ;</w:t>
      </w:r>
    </w:p>
    <w:p w14:paraId="0EA7B9C8" w14:textId="361E1121" w:rsidR="00315A86" w:rsidRPr="00AE16B6" w:rsidRDefault="00315A86" w:rsidP="00315A86">
      <w:pPr>
        <w:pStyle w:val="Paragraphedeliste"/>
        <w:numPr>
          <w:ilvl w:val="0"/>
          <w:numId w:val="11"/>
        </w:numPr>
        <w:spacing w:before="100" w:beforeAutospacing="1" w:after="100" w:afterAutospacing="1"/>
        <w:jc w:val="both"/>
        <w:rPr>
          <w:b/>
          <w:u w:val="single"/>
        </w:rPr>
      </w:pPr>
      <w:r w:rsidRPr="00AE16B6">
        <w:rPr>
          <w:b/>
        </w:rPr>
        <w:t>Ville Kayes : 23 juillet 2020 à 09h30.</w:t>
      </w:r>
    </w:p>
    <w:p w14:paraId="77236FFB" w14:textId="77777777" w:rsidR="00315A86" w:rsidRPr="00AE16B6" w:rsidRDefault="00315A86" w:rsidP="00315A86">
      <w:pPr>
        <w:pStyle w:val="Paragraphedeliste"/>
        <w:spacing w:before="100" w:beforeAutospacing="1" w:after="100" w:afterAutospacing="1"/>
        <w:jc w:val="both"/>
        <w:rPr>
          <w:b/>
        </w:rPr>
      </w:pPr>
      <w:r w:rsidRPr="00AE16B6">
        <w:rPr>
          <w:b/>
        </w:rPr>
        <w:t xml:space="preserve">Région de Bougouni : </w:t>
      </w:r>
    </w:p>
    <w:p w14:paraId="09B85652" w14:textId="0BC1A273" w:rsidR="00315A86" w:rsidRPr="00AE16B6" w:rsidRDefault="00315A86" w:rsidP="00315A86">
      <w:pPr>
        <w:pStyle w:val="Paragraphedeliste"/>
        <w:numPr>
          <w:ilvl w:val="0"/>
          <w:numId w:val="11"/>
        </w:numPr>
        <w:spacing w:before="100" w:beforeAutospacing="1" w:after="100" w:afterAutospacing="1"/>
        <w:jc w:val="both"/>
        <w:rPr>
          <w:b/>
        </w:rPr>
      </w:pPr>
      <w:r w:rsidRPr="00AE16B6">
        <w:rPr>
          <w:b/>
        </w:rPr>
        <w:t xml:space="preserve">Commune de Sanso : 22 juillet 2020 à 09h30 ; </w:t>
      </w:r>
    </w:p>
    <w:p w14:paraId="538EF74F" w14:textId="5A1F3EBA" w:rsidR="00315A86" w:rsidRPr="00AE16B6" w:rsidRDefault="00315A86" w:rsidP="00315A86">
      <w:pPr>
        <w:pStyle w:val="Paragraphedeliste"/>
        <w:numPr>
          <w:ilvl w:val="0"/>
          <w:numId w:val="11"/>
        </w:numPr>
        <w:spacing w:before="100" w:beforeAutospacing="1" w:after="100" w:afterAutospacing="1"/>
        <w:jc w:val="both"/>
        <w:rPr>
          <w:b/>
        </w:rPr>
      </w:pPr>
      <w:r w:rsidRPr="00AE16B6">
        <w:rPr>
          <w:b/>
        </w:rPr>
        <w:t>Guandiaka (Kalana) : 23 juillet 2020 à 09h30.</w:t>
      </w:r>
    </w:p>
    <w:p w14:paraId="4E54AA12" w14:textId="77777777" w:rsidR="00315A86" w:rsidRPr="00AE16B6" w:rsidRDefault="00315A86" w:rsidP="00315A86">
      <w:pPr>
        <w:pStyle w:val="Paragraphedeliste"/>
        <w:spacing w:before="100" w:beforeAutospacing="1" w:after="100" w:afterAutospacing="1"/>
        <w:jc w:val="both"/>
        <w:rPr>
          <w:b/>
          <w:u w:val="single"/>
        </w:rPr>
      </w:pPr>
    </w:p>
    <w:p w14:paraId="744CF857" w14:textId="77777777" w:rsidR="003C0E6F" w:rsidRPr="00AE16B6" w:rsidRDefault="003C0E6F" w:rsidP="003C0E6F">
      <w:pPr>
        <w:pStyle w:val="Paragraphedeliste"/>
        <w:numPr>
          <w:ilvl w:val="0"/>
          <w:numId w:val="13"/>
        </w:numPr>
        <w:spacing w:before="100" w:beforeAutospacing="1" w:after="100" w:afterAutospacing="1"/>
        <w:jc w:val="both"/>
        <w:rPr>
          <w:b/>
          <w:u w:val="single"/>
        </w:rPr>
      </w:pPr>
      <w:r w:rsidRPr="00AE16B6">
        <w:rPr>
          <w:b/>
          <w:u w:val="single"/>
        </w:rPr>
        <w:t>Méthodologie de l’atelier:</w:t>
      </w:r>
    </w:p>
    <w:p w14:paraId="694DB92C" w14:textId="7BB65CEE" w:rsidR="00E63605" w:rsidRPr="00AE16B6" w:rsidRDefault="003C0E6F" w:rsidP="003C0E6F">
      <w:pPr>
        <w:jc w:val="both"/>
      </w:pPr>
      <w:r w:rsidRPr="00AE16B6">
        <w:t>La méthodologie sera participative et pratique avec une approche andragogique à travers des présentations et partage d’expérience, des débats.</w:t>
      </w:r>
    </w:p>
    <w:p w14:paraId="550B757C" w14:textId="5D9F20ED" w:rsidR="00A00FD7" w:rsidRPr="00AE16B6" w:rsidRDefault="0053145B" w:rsidP="00A00FD7">
      <w:pPr>
        <w:pStyle w:val="Paragraphedeliste"/>
        <w:numPr>
          <w:ilvl w:val="0"/>
          <w:numId w:val="13"/>
        </w:numPr>
        <w:autoSpaceDE w:val="0"/>
        <w:autoSpaceDN w:val="0"/>
        <w:adjustRightInd w:val="0"/>
        <w:spacing w:after="200" w:line="276" w:lineRule="auto"/>
        <w:rPr>
          <w:color w:val="000000"/>
          <w:u w:val="single"/>
        </w:rPr>
      </w:pPr>
      <w:r w:rsidRPr="00AE16B6">
        <w:t xml:space="preserve"> </w:t>
      </w:r>
      <w:r w:rsidR="00A00FD7" w:rsidRPr="00AE16B6">
        <w:rPr>
          <w:b/>
          <w:bCs/>
          <w:color w:val="000000"/>
          <w:u w:val="single"/>
        </w:rPr>
        <w:t xml:space="preserve">Logistique et Personne contact : </w:t>
      </w:r>
      <w:r w:rsidR="00E63605" w:rsidRPr="00AE16B6">
        <w:rPr>
          <w:color w:val="000000"/>
        </w:rPr>
        <w:t>Pour toutes questions spécifiques, adressez-vous à :</w:t>
      </w:r>
    </w:p>
    <w:p w14:paraId="25FD2CC2" w14:textId="490AEDB4" w:rsidR="00A00FD7" w:rsidRPr="00AE16B6" w:rsidRDefault="00A00FD7" w:rsidP="00E63605">
      <w:pPr>
        <w:pStyle w:val="Paragraphedeliste"/>
        <w:numPr>
          <w:ilvl w:val="0"/>
          <w:numId w:val="15"/>
        </w:numPr>
        <w:autoSpaceDE w:val="0"/>
        <w:autoSpaceDN w:val="0"/>
        <w:adjustRightInd w:val="0"/>
        <w:rPr>
          <w:color w:val="000000"/>
        </w:rPr>
      </w:pPr>
      <w:r w:rsidRPr="00AE16B6">
        <w:rPr>
          <w:color w:val="000000"/>
        </w:rPr>
        <w:t>M. Nouhoum DIAKITE Coordinateur PCQVP-Mali</w:t>
      </w:r>
      <w:r w:rsidR="00E63605" w:rsidRPr="00AE16B6">
        <w:rPr>
          <w:color w:val="000000"/>
        </w:rPr>
        <w:t> :</w:t>
      </w:r>
      <w:r w:rsidRPr="00AE16B6">
        <w:rPr>
          <w:color w:val="000000"/>
        </w:rPr>
        <w:t xml:space="preserve"> </w:t>
      </w:r>
    </w:p>
    <w:p w14:paraId="7CAAE82A" w14:textId="77777777" w:rsidR="00A00FD7" w:rsidRPr="00AE16B6" w:rsidRDefault="00A00FD7" w:rsidP="00A00FD7">
      <w:pPr>
        <w:autoSpaceDE w:val="0"/>
        <w:autoSpaceDN w:val="0"/>
        <w:adjustRightInd w:val="0"/>
        <w:rPr>
          <w:color w:val="000000"/>
        </w:rPr>
      </w:pPr>
      <w:r w:rsidRPr="00AE16B6">
        <w:rPr>
          <w:b/>
          <w:color w:val="FF0000"/>
        </w:rPr>
        <w:t>Email :</w:t>
      </w:r>
      <w:r w:rsidRPr="00AE16B6">
        <w:rPr>
          <w:color w:val="000000"/>
        </w:rPr>
        <w:t xml:space="preserve"> </w:t>
      </w:r>
      <w:hyperlink r:id="rId11" w:history="1">
        <w:r w:rsidRPr="00AE16B6">
          <w:rPr>
            <w:rStyle w:val="Lienhypertexte"/>
          </w:rPr>
          <w:t>pcqvpmali@gmail.com</w:t>
        </w:r>
      </w:hyperlink>
      <w:r w:rsidRPr="00AE16B6">
        <w:rPr>
          <w:color w:val="000000"/>
        </w:rPr>
        <w:t xml:space="preserve"> // </w:t>
      </w:r>
      <w:hyperlink r:id="rId12" w:history="1">
        <w:r w:rsidRPr="00AE16B6">
          <w:rPr>
            <w:rStyle w:val="Lienhypertexte"/>
          </w:rPr>
          <w:t>nouhoumdiakite77@gmail.com</w:t>
        </w:r>
      </w:hyperlink>
      <w:r w:rsidRPr="00AE16B6">
        <w:rPr>
          <w:color w:val="000000"/>
        </w:rPr>
        <w:t xml:space="preserve"> ,</w:t>
      </w:r>
    </w:p>
    <w:p w14:paraId="7DE51386" w14:textId="086A0F9F" w:rsidR="0053145B" w:rsidRPr="00AE16B6" w:rsidRDefault="00A00FD7" w:rsidP="00315A86">
      <w:pPr>
        <w:autoSpaceDE w:val="0"/>
        <w:autoSpaceDN w:val="0"/>
        <w:adjustRightInd w:val="0"/>
        <w:rPr>
          <w:color w:val="000000"/>
        </w:rPr>
      </w:pPr>
      <w:r w:rsidRPr="00AE16B6">
        <w:rPr>
          <w:color w:val="000000"/>
        </w:rPr>
        <w:t>Tel : (+223) 70 26 33 63</w:t>
      </w:r>
      <w:r w:rsidR="00315A86" w:rsidRPr="00AE16B6">
        <w:rPr>
          <w:color w:val="000000"/>
        </w:rPr>
        <w:t xml:space="preserve"> // 76 13 55 52 // 64 60 05 34.</w:t>
      </w:r>
    </w:p>
    <w:sectPr w:rsidR="0053145B" w:rsidRPr="00AE16B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0631" w14:textId="77777777" w:rsidR="00104EA2" w:rsidRDefault="00104EA2" w:rsidP="00924601">
      <w:r>
        <w:separator/>
      </w:r>
    </w:p>
  </w:endnote>
  <w:endnote w:type="continuationSeparator" w:id="0">
    <w:p w14:paraId="0B92E93B" w14:textId="77777777" w:rsidR="00104EA2" w:rsidRDefault="00104EA2" w:rsidP="0092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200725" w14:paraId="260184F0" w14:textId="77777777">
      <w:trPr>
        <w:jc w:val="right"/>
      </w:trPr>
      <w:tc>
        <w:tcPr>
          <w:tcW w:w="4795" w:type="dxa"/>
          <w:vAlign w:val="center"/>
        </w:tcPr>
        <w:sdt>
          <w:sdtPr>
            <w:rPr>
              <w:caps/>
              <w:color w:val="000000" w:themeColor="text1"/>
            </w:rPr>
            <w:alias w:val="Auteur"/>
            <w:tag w:val=""/>
            <w:id w:val="1534539408"/>
            <w:placeholder>
              <w:docPart w:val="0967B210DC244027AF348892922EDF21"/>
            </w:placeholder>
            <w:dataBinding w:prefixMappings="xmlns:ns0='http://purl.org/dc/elements/1.1/' xmlns:ns1='http://schemas.openxmlformats.org/package/2006/metadata/core-properties' " w:xpath="/ns1:coreProperties[1]/ns0:creator[1]" w:storeItemID="{6C3C8BC8-F283-45AE-878A-BAB7291924A1}"/>
            <w:text/>
          </w:sdtPr>
          <w:sdtEndPr/>
          <w:sdtContent>
            <w:p w14:paraId="1349223B" w14:textId="24926069" w:rsidR="00200725" w:rsidRDefault="00200725">
              <w:pPr>
                <w:pStyle w:val="En-tte"/>
                <w:jc w:val="right"/>
                <w:rPr>
                  <w:caps/>
                  <w:color w:val="000000" w:themeColor="text1"/>
                </w:rPr>
              </w:pPr>
              <w:r>
                <w:rPr>
                  <w:caps/>
                  <w:color w:val="000000" w:themeColor="text1"/>
                </w:rPr>
                <w:t>PCQVP-Mali</w:t>
              </w:r>
            </w:p>
          </w:sdtContent>
        </w:sdt>
      </w:tc>
      <w:tc>
        <w:tcPr>
          <w:tcW w:w="250" w:type="pct"/>
          <w:shd w:val="clear" w:color="auto" w:fill="ED7D31" w:themeFill="accent2"/>
          <w:vAlign w:val="center"/>
        </w:tcPr>
        <w:p w14:paraId="77B2EB80" w14:textId="77777777" w:rsidR="00200725" w:rsidRDefault="00200725">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251FF8">
            <w:rPr>
              <w:noProof/>
              <w:color w:val="FFFFFF" w:themeColor="background1"/>
            </w:rPr>
            <w:t>2</w:t>
          </w:r>
          <w:r>
            <w:rPr>
              <w:color w:val="FFFFFF" w:themeColor="background1"/>
            </w:rPr>
            <w:fldChar w:fldCharType="end"/>
          </w:r>
        </w:p>
      </w:tc>
    </w:tr>
  </w:tbl>
  <w:p w14:paraId="28129867" w14:textId="2CC8148F" w:rsidR="00AC5B57" w:rsidRDefault="00AC5B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F8903" w14:textId="77777777" w:rsidR="00104EA2" w:rsidRDefault="00104EA2" w:rsidP="00924601">
      <w:r>
        <w:separator/>
      </w:r>
    </w:p>
  </w:footnote>
  <w:footnote w:type="continuationSeparator" w:id="0">
    <w:p w14:paraId="3B35C119" w14:textId="77777777" w:rsidR="00104EA2" w:rsidRDefault="00104EA2" w:rsidP="00924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1A9"/>
    <w:multiLevelType w:val="hybridMultilevel"/>
    <w:tmpl w:val="997A66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7A31FC2"/>
    <w:multiLevelType w:val="hybridMultilevel"/>
    <w:tmpl w:val="BCA6CEC0"/>
    <w:lvl w:ilvl="0" w:tplc="2724E9F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321699"/>
    <w:multiLevelType w:val="hybridMultilevel"/>
    <w:tmpl w:val="E2489EA6"/>
    <w:lvl w:ilvl="0" w:tplc="8BC0EABC">
      <w:start w:val="480"/>
      <w:numFmt w:val="bullet"/>
      <w:lvlText w:val=""/>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9231EB"/>
    <w:multiLevelType w:val="hybridMultilevel"/>
    <w:tmpl w:val="EB40B416"/>
    <w:lvl w:ilvl="0" w:tplc="F36AF1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4934C0"/>
    <w:multiLevelType w:val="hybridMultilevel"/>
    <w:tmpl w:val="3378DF2E"/>
    <w:lvl w:ilvl="0" w:tplc="62EA1EE6">
      <w:start w:val="1"/>
      <w:numFmt w:val="upperRoman"/>
      <w:lvlText w:val="%1-"/>
      <w:lvlJc w:val="left"/>
      <w:pPr>
        <w:ind w:left="720" w:hanging="72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4805E7"/>
    <w:multiLevelType w:val="hybridMultilevel"/>
    <w:tmpl w:val="8B1E8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812BB5"/>
    <w:multiLevelType w:val="hybridMultilevel"/>
    <w:tmpl w:val="EAF8F526"/>
    <w:lvl w:ilvl="0" w:tplc="A5DC810A">
      <w:start w:val="4"/>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3B7F2814"/>
    <w:multiLevelType w:val="hybridMultilevel"/>
    <w:tmpl w:val="1FE26C10"/>
    <w:lvl w:ilvl="0" w:tplc="3600EE16">
      <w:start w:val="1"/>
      <w:numFmt w:val="upperRoman"/>
      <w:lvlText w:val="%1-"/>
      <w:lvlJc w:val="left"/>
      <w:pPr>
        <w:ind w:left="72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5F74CD"/>
    <w:multiLevelType w:val="multilevel"/>
    <w:tmpl w:val="6ECAC054"/>
    <w:lvl w:ilvl="0">
      <w:start w:val="2"/>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9">
    <w:nsid w:val="48DA0C15"/>
    <w:multiLevelType w:val="hybridMultilevel"/>
    <w:tmpl w:val="8846468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B07113F"/>
    <w:multiLevelType w:val="hybridMultilevel"/>
    <w:tmpl w:val="D9C4AE92"/>
    <w:lvl w:ilvl="0" w:tplc="F788A99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93061B3"/>
    <w:multiLevelType w:val="hybridMultilevel"/>
    <w:tmpl w:val="88C2E8A6"/>
    <w:lvl w:ilvl="0" w:tplc="304C43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48E5D0D"/>
    <w:multiLevelType w:val="multilevel"/>
    <w:tmpl w:val="0A5A9504"/>
    <w:lvl w:ilvl="0">
      <w:start w:val="4"/>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7877DF5"/>
    <w:multiLevelType w:val="hybridMultilevel"/>
    <w:tmpl w:val="67466668"/>
    <w:lvl w:ilvl="0" w:tplc="31DE8E1C">
      <w:numFmt w:val="bullet"/>
      <w:lvlText w:val="-"/>
      <w:lvlJc w:val="left"/>
      <w:pPr>
        <w:ind w:left="502" w:hanging="360"/>
      </w:pPr>
      <w:rPr>
        <w:rFonts w:ascii="Calibri" w:eastAsia="Calibri" w:hAnsi="Calibri"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7729FD"/>
    <w:multiLevelType w:val="hybridMultilevel"/>
    <w:tmpl w:val="03AE617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14"/>
  </w:num>
  <w:num w:numId="7">
    <w:abstractNumId w:val="1"/>
  </w:num>
  <w:num w:numId="8">
    <w:abstractNumId w:val="3"/>
  </w:num>
  <w:num w:numId="9">
    <w:abstractNumId w:val="7"/>
  </w:num>
  <w:num w:numId="10">
    <w:abstractNumId w:val="8"/>
  </w:num>
  <w:num w:numId="11">
    <w:abstractNumId w:val="2"/>
  </w:num>
  <w:num w:numId="12">
    <w:abstractNumId w:val="0"/>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C8"/>
    <w:rsid w:val="000319A7"/>
    <w:rsid w:val="000725B9"/>
    <w:rsid w:val="000A18A5"/>
    <w:rsid w:val="000C5E8C"/>
    <w:rsid w:val="000D58DC"/>
    <w:rsid w:val="000F0732"/>
    <w:rsid w:val="000F4D1C"/>
    <w:rsid w:val="00104EA2"/>
    <w:rsid w:val="00180AE8"/>
    <w:rsid w:val="0018114E"/>
    <w:rsid w:val="001D1B53"/>
    <w:rsid w:val="001F1F0B"/>
    <w:rsid w:val="00200725"/>
    <w:rsid w:val="00217015"/>
    <w:rsid w:val="0024512A"/>
    <w:rsid w:val="00245612"/>
    <w:rsid w:val="00251FF8"/>
    <w:rsid w:val="00270EC3"/>
    <w:rsid w:val="002A08AD"/>
    <w:rsid w:val="002B7395"/>
    <w:rsid w:val="002E227E"/>
    <w:rsid w:val="002E23B4"/>
    <w:rsid w:val="002F1A81"/>
    <w:rsid w:val="00315A86"/>
    <w:rsid w:val="00333A77"/>
    <w:rsid w:val="00367902"/>
    <w:rsid w:val="00374ADC"/>
    <w:rsid w:val="003A7908"/>
    <w:rsid w:val="003B1C7C"/>
    <w:rsid w:val="003B7069"/>
    <w:rsid w:val="003C0E6F"/>
    <w:rsid w:val="003D0FDB"/>
    <w:rsid w:val="003D3ABF"/>
    <w:rsid w:val="003F50D8"/>
    <w:rsid w:val="003F5D1A"/>
    <w:rsid w:val="00426660"/>
    <w:rsid w:val="004509B2"/>
    <w:rsid w:val="0045425D"/>
    <w:rsid w:val="00456ACA"/>
    <w:rsid w:val="00475410"/>
    <w:rsid w:val="00480C6B"/>
    <w:rsid w:val="00482B71"/>
    <w:rsid w:val="00497609"/>
    <w:rsid w:val="004D1787"/>
    <w:rsid w:val="004F55C1"/>
    <w:rsid w:val="005250D5"/>
    <w:rsid w:val="0053145B"/>
    <w:rsid w:val="005445D5"/>
    <w:rsid w:val="005518C5"/>
    <w:rsid w:val="005A3892"/>
    <w:rsid w:val="005D6A40"/>
    <w:rsid w:val="00641200"/>
    <w:rsid w:val="0066069D"/>
    <w:rsid w:val="00662B20"/>
    <w:rsid w:val="006A3F62"/>
    <w:rsid w:val="006D4861"/>
    <w:rsid w:val="006E5B6F"/>
    <w:rsid w:val="00714D0F"/>
    <w:rsid w:val="00762CF9"/>
    <w:rsid w:val="00766222"/>
    <w:rsid w:val="007B5A54"/>
    <w:rsid w:val="007D776C"/>
    <w:rsid w:val="007F6544"/>
    <w:rsid w:val="007F6DEF"/>
    <w:rsid w:val="00802ADA"/>
    <w:rsid w:val="008339DE"/>
    <w:rsid w:val="00886B4E"/>
    <w:rsid w:val="00887BBB"/>
    <w:rsid w:val="008F6CF5"/>
    <w:rsid w:val="00924601"/>
    <w:rsid w:val="00933FD8"/>
    <w:rsid w:val="0098398B"/>
    <w:rsid w:val="00987996"/>
    <w:rsid w:val="009C1580"/>
    <w:rsid w:val="009D69CE"/>
    <w:rsid w:val="009E5C33"/>
    <w:rsid w:val="009F205E"/>
    <w:rsid w:val="00A00FD7"/>
    <w:rsid w:val="00A25422"/>
    <w:rsid w:val="00A929A5"/>
    <w:rsid w:val="00AA1948"/>
    <w:rsid w:val="00AC5B57"/>
    <w:rsid w:val="00AD3933"/>
    <w:rsid w:val="00AD4859"/>
    <w:rsid w:val="00AE16B6"/>
    <w:rsid w:val="00B43C1E"/>
    <w:rsid w:val="00B86B16"/>
    <w:rsid w:val="00BE481F"/>
    <w:rsid w:val="00BF0873"/>
    <w:rsid w:val="00C3338E"/>
    <w:rsid w:val="00CF1393"/>
    <w:rsid w:val="00D16949"/>
    <w:rsid w:val="00D67A12"/>
    <w:rsid w:val="00DB220E"/>
    <w:rsid w:val="00DB514A"/>
    <w:rsid w:val="00DB53A8"/>
    <w:rsid w:val="00DC28C3"/>
    <w:rsid w:val="00DD090B"/>
    <w:rsid w:val="00DD4606"/>
    <w:rsid w:val="00DE44A7"/>
    <w:rsid w:val="00E30101"/>
    <w:rsid w:val="00E561BC"/>
    <w:rsid w:val="00E63605"/>
    <w:rsid w:val="00ED0DEB"/>
    <w:rsid w:val="00EE0917"/>
    <w:rsid w:val="00EE1BC1"/>
    <w:rsid w:val="00EE6696"/>
    <w:rsid w:val="00F01AC0"/>
    <w:rsid w:val="00F46899"/>
    <w:rsid w:val="00FA3235"/>
    <w:rsid w:val="00FE4EC8"/>
    <w:rsid w:val="00FE5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551A2"/>
  <w15:chartTrackingRefBased/>
  <w15:docId w15:val="{DFC5173F-CC65-4218-8193-11C2EC65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EC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FE4EC8"/>
    <w:pPr>
      <w:widowControl w:val="0"/>
      <w:suppressLineNumbers/>
      <w:suppressAutoHyphens/>
    </w:pPr>
    <w:rPr>
      <w:rFonts w:ascii="Thorndale AMT" w:eastAsia="Albany AMT" w:hAnsi="Thorndale AMT" w:cs="Albany AMT"/>
      <w:lang w:val="en-US" w:eastAsia="en-US" w:bidi="en-US"/>
    </w:rPr>
  </w:style>
  <w:style w:type="character" w:customStyle="1" w:styleId="A2">
    <w:name w:val="A2"/>
    <w:uiPriority w:val="99"/>
    <w:rsid w:val="00FE4EC8"/>
    <w:rPr>
      <w:color w:val="000000"/>
      <w:sz w:val="22"/>
      <w:szCs w:val="22"/>
    </w:rPr>
  </w:style>
  <w:style w:type="paragraph" w:styleId="Sansinterligne">
    <w:name w:val="No Spacing"/>
    <w:uiPriority w:val="1"/>
    <w:qFormat/>
    <w:rsid w:val="00FE4EC8"/>
    <w:pPr>
      <w:spacing w:after="0" w:line="240" w:lineRule="auto"/>
    </w:pPr>
    <w:rPr>
      <w:rFonts w:ascii="Calibri" w:eastAsia="Calibri" w:hAnsi="Calibri" w:cs="Times New Roman"/>
    </w:rPr>
  </w:style>
  <w:style w:type="paragraph" w:styleId="Pieddepage">
    <w:name w:val="footer"/>
    <w:basedOn w:val="Normal"/>
    <w:link w:val="PieddepageCar"/>
    <w:uiPriority w:val="99"/>
    <w:rsid w:val="0053145B"/>
    <w:pPr>
      <w:tabs>
        <w:tab w:val="center" w:pos="4320"/>
        <w:tab w:val="right" w:pos="8640"/>
      </w:tabs>
    </w:pPr>
  </w:style>
  <w:style w:type="character" w:customStyle="1" w:styleId="PieddepageCar">
    <w:name w:val="Pied de page Car"/>
    <w:basedOn w:val="Policepardfaut"/>
    <w:link w:val="Pieddepage"/>
    <w:uiPriority w:val="99"/>
    <w:rsid w:val="0053145B"/>
    <w:rPr>
      <w:rFonts w:ascii="Times New Roman" w:eastAsia="Times New Roman" w:hAnsi="Times New Roman" w:cs="Times New Roman"/>
      <w:sz w:val="24"/>
      <w:szCs w:val="24"/>
      <w:lang w:eastAsia="fr-FR"/>
    </w:rPr>
  </w:style>
  <w:style w:type="paragraph" w:styleId="NormalWeb">
    <w:name w:val="Normal (Web)"/>
    <w:basedOn w:val="Normal"/>
    <w:uiPriority w:val="99"/>
    <w:rsid w:val="0053145B"/>
    <w:pPr>
      <w:spacing w:before="100" w:beforeAutospacing="1" w:after="100" w:afterAutospacing="1"/>
    </w:pPr>
  </w:style>
  <w:style w:type="paragraph" w:styleId="Paragraphedeliste">
    <w:name w:val="List Paragraph"/>
    <w:basedOn w:val="Normal"/>
    <w:link w:val="ParagraphedelisteCar"/>
    <w:uiPriority w:val="34"/>
    <w:qFormat/>
    <w:rsid w:val="0053145B"/>
    <w:pPr>
      <w:ind w:left="720"/>
      <w:contextualSpacing/>
    </w:pPr>
  </w:style>
  <w:style w:type="character" w:styleId="Lienhypertexte">
    <w:name w:val="Hyperlink"/>
    <w:basedOn w:val="Policepardfaut"/>
    <w:uiPriority w:val="99"/>
    <w:unhideWhenUsed/>
    <w:rsid w:val="0053145B"/>
    <w:rPr>
      <w:color w:val="0563C1" w:themeColor="hyperlink"/>
      <w:u w:val="single"/>
    </w:rPr>
  </w:style>
  <w:style w:type="paragraph" w:styleId="En-tte">
    <w:name w:val="header"/>
    <w:basedOn w:val="Normal"/>
    <w:link w:val="En-tteCar"/>
    <w:uiPriority w:val="99"/>
    <w:unhideWhenUsed/>
    <w:rsid w:val="00924601"/>
    <w:pPr>
      <w:tabs>
        <w:tab w:val="center" w:pos="4536"/>
        <w:tab w:val="right" w:pos="9072"/>
      </w:tabs>
    </w:pPr>
  </w:style>
  <w:style w:type="character" w:customStyle="1" w:styleId="En-tteCar">
    <w:name w:val="En-tête Car"/>
    <w:basedOn w:val="Policepardfaut"/>
    <w:link w:val="En-tte"/>
    <w:uiPriority w:val="99"/>
    <w:rsid w:val="00924601"/>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45612"/>
    <w:rPr>
      <w:sz w:val="16"/>
      <w:szCs w:val="16"/>
    </w:rPr>
  </w:style>
  <w:style w:type="paragraph" w:styleId="Commentaire">
    <w:name w:val="annotation text"/>
    <w:basedOn w:val="Normal"/>
    <w:link w:val="CommentaireCar"/>
    <w:uiPriority w:val="99"/>
    <w:semiHidden/>
    <w:unhideWhenUsed/>
    <w:rsid w:val="00245612"/>
    <w:rPr>
      <w:sz w:val="20"/>
      <w:szCs w:val="20"/>
    </w:rPr>
  </w:style>
  <w:style w:type="character" w:customStyle="1" w:styleId="CommentaireCar">
    <w:name w:val="Commentaire Car"/>
    <w:basedOn w:val="Policepardfaut"/>
    <w:link w:val="Commentaire"/>
    <w:uiPriority w:val="99"/>
    <w:semiHidden/>
    <w:rsid w:val="0024561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45612"/>
    <w:rPr>
      <w:b/>
      <w:bCs/>
    </w:rPr>
  </w:style>
  <w:style w:type="character" w:customStyle="1" w:styleId="ObjetducommentaireCar">
    <w:name w:val="Objet du commentaire Car"/>
    <w:basedOn w:val="CommentaireCar"/>
    <w:link w:val="Objetducommentaire"/>
    <w:uiPriority w:val="99"/>
    <w:semiHidden/>
    <w:rsid w:val="00245612"/>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2456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5612"/>
    <w:rPr>
      <w:rFonts w:ascii="Segoe UI" w:eastAsia="Times New Roman" w:hAnsi="Segoe UI" w:cs="Segoe UI"/>
      <w:sz w:val="18"/>
      <w:szCs w:val="18"/>
      <w:lang w:eastAsia="fr-FR"/>
    </w:rPr>
  </w:style>
  <w:style w:type="paragraph" w:customStyle="1" w:styleId="Paragraphedeliste1">
    <w:name w:val="Paragraphe de liste1"/>
    <w:basedOn w:val="Normal"/>
    <w:uiPriority w:val="99"/>
    <w:rsid w:val="002A08AD"/>
    <w:pPr>
      <w:spacing w:after="200" w:line="276" w:lineRule="auto"/>
      <w:ind w:left="720"/>
      <w:contextualSpacing/>
    </w:pPr>
    <w:rPr>
      <w:rFonts w:ascii="Calibri" w:eastAsia="Calibri" w:hAnsi="Calibri"/>
      <w:sz w:val="22"/>
      <w:szCs w:val="22"/>
      <w:lang w:val="en-US" w:eastAsia="en-US"/>
    </w:rPr>
  </w:style>
  <w:style w:type="character" w:customStyle="1" w:styleId="ParagraphedelisteCar">
    <w:name w:val="Paragraphe de liste Car"/>
    <w:link w:val="Paragraphedeliste"/>
    <w:uiPriority w:val="34"/>
    <w:rsid w:val="006D486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uhoumdiakite77@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qvpmali@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publishwhatyoupay.org/sites/publishwhatyoupay.org/themes/pwyp/images/logo_fr.pn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67B210DC244027AF348892922EDF21"/>
        <w:category>
          <w:name w:val="Général"/>
          <w:gallery w:val="placeholder"/>
        </w:category>
        <w:types>
          <w:type w:val="bbPlcHdr"/>
        </w:types>
        <w:behaviors>
          <w:behavior w:val="content"/>
        </w:behaviors>
        <w:guid w:val="{796D61AB-5902-4F8F-B2AE-CEF86E9742CA}"/>
      </w:docPartPr>
      <w:docPartBody>
        <w:p w:rsidR="00984783" w:rsidRDefault="00D00DD6" w:rsidP="00D00DD6">
          <w:pPr>
            <w:pStyle w:val="0967B210DC244027AF348892922EDF21"/>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D6"/>
    <w:rsid w:val="000466F4"/>
    <w:rsid w:val="000A0A0D"/>
    <w:rsid w:val="00105805"/>
    <w:rsid w:val="00166994"/>
    <w:rsid w:val="003F4E93"/>
    <w:rsid w:val="00984783"/>
    <w:rsid w:val="00B72527"/>
    <w:rsid w:val="00CA27A5"/>
    <w:rsid w:val="00D00DD6"/>
    <w:rsid w:val="00D14329"/>
    <w:rsid w:val="00DD3EB8"/>
    <w:rsid w:val="00F32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8E953C096A44CE2A82344FDF30A76AB">
    <w:name w:val="98E953C096A44CE2A82344FDF30A76AB"/>
    <w:rsid w:val="00D00DD6"/>
  </w:style>
  <w:style w:type="paragraph" w:customStyle="1" w:styleId="0967B210DC244027AF348892922EDF21">
    <w:name w:val="0967B210DC244027AF348892922EDF21"/>
    <w:rsid w:val="00D00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0752-59AB-4828-A18B-BD0118DE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1517</Words>
  <Characters>8348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PCQVP-Mali</dc:creator>
  <cp:keywords/>
  <dc:description/>
  <cp:lastModifiedBy>Compte Microsoft</cp:lastModifiedBy>
  <cp:revision>12</cp:revision>
  <cp:lastPrinted>2020-01-17T11:45:00Z</cp:lastPrinted>
  <dcterms:created xsi:type="dcterms:W3CDTF">2020-01-14T09:33:00Z</dcterms:created>
  <dcterms:modified xsi:type="dcterms:W3CDTF">2020-07-07T12:11:00Z</dcterms:modified>
</cp:coreProperties>
</file>