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87A" w:rsidRPr="001C587A" w:rsidRDefault="001C587A" w:rsidP="00F36DFC">
      <w:pPr>
        <w:jc w:val="both"/>
        <w:rPr>
          <w:rFonts w:ascii="Times New Roman" w:hAnsi="Times New Roman" w:cs="Times New Roman"/>
          <w:b/>
          <w:bCs/>
          <w:sz w:val="28"/>
          <w:szCs w:val="28"/>
        </w:rPr>
      </w:pPr>
      <w:r w:rsidRPr="001C587A">
        <w:rPr>
          <w:rFonts w:ascii="Times New Roman" w:hAnsi="Times New Roman" w:cs="Times New Roman"/>
          <w:b/>
          <w:bCs/>
          <w:sz w:val="28"/>
          <w:szCs w:val="28"/>
        </w:rPr>
        <w:t xml:space="preserve">Atelier de mobilisation nationale (société civile </w:t>
      </w:r>
      <w:proofErr w:type="gramStart"/>
      <w:r w:rsidRPr="001C587A">
        <w:rPr>
          <w:rFonts w:ascii="Times New Roman" w:hAnsi="Times New Roman" w:cs="Times New Roman"/>
          <w:b/>
          <w:bCs/>
          <w:sz w:val="28"/>
          <w:szCs w:val="28"/>
        </w:rPr>
        <w:t>et</w:t>
      </w:r>
      <w:proofErr w:type="gramEnd"/>
      <w:r w:rsidRPr="001C587A">
        <w:rPr>
          <w:rFonts w:ascii="Times New Roman" w:hAnsi="Times New Roman" w:cs="Times New Roman"/>
          <w:b/>
          <w:bCs/>
          <w:sz w:val="28"/>
          <w:szCs w:val="28"/>
        </w:rPr>
        <w:t xml:space="preserve"> institution de la République) autour du nouveau Fonds</w:t>
      </w:r>
      <w:r w:rsidRPr="001C587A">
        <w:rPr>
          <w:rFonts w:ascii="Times New Roman" w:hAnsi="Times New Roman" w:cs="Times New Roman"/>
          <w:b/>
          <w:bCs/>
          <w:sz w:val="28"/>
          <w:szCs w:val="28"/>
        </w:rPr>
        <w:t xml:space="preserve"> de développement local au Mali: 18 mars 2021 </w:t>
      </w:r>
    </w:p>
    <w:p w:rsidR="001C587A" w:rsidRDefault="001C587A" w:rsidP="00F36DFC">
      <w:pPr>
        <w:jc w:val="both"/>
        <w:rPr>
          <w:rFonts w:ascii="Times New Roman" w:hAnsi="Times New Roman" w:cs="Times New Roman"/>
          <w:b/>
          <w:bCs/>
          <w:sz w:val="28"/>
          <w:szCs w:val="28"/>
        </w:rPr>
      </w:pPr>
      <w:r w:rsidRPr="001C587A">
        <w:rPr>
          <w:rFonts w:ascii="Times New Roman" w:hAnsi="Times New Roman" w:cs="Times New Roman"/>
          <w:b/>
          <w:bCs/>
          <w:sz w:val="28"/>
          <w:szCs w:val="28"/>
        </w:rPr>
        <w:t xml:space="preserve">Organisation:  PCQVP-Mali; Partenaire Technique </w:t>
      </w:r>
      <w:proofErr w:type="gramStart"/>
      <w:r w:rsidRPr="001C587A">
        <w:rPr>
          <w:rFonts w:ascii="Times New Roman" w:hAnsi="Times New Roman" w:cs="Times New Roman"/>
          <w:b/>
          <w:bCs/>
          <w:sz w:val="28"/>
          <w:szCs w:val="28"/>
        </w:rPr>
        <w:t>et</w:t>
      </w:r>
      <w:proofErr w:type="gramEnd"/>
      <w:r w:rsidRPr="001C587A">
        <w:rPr>
          <w:rFonts w:ascii="Times New Roman" w:hAnsi="Times New Roman" w:cs="Times New Roman"/>
          <w:b/>
          <w:bCs/>
          <w:sz w:val="28"/>
          <w:szCs w:val="28"/>
        </w:rPr>
        <w:t xml:space="preserve"> Financier: IIED</w:t>
      </w:r>
    </w:p>
    <w:p w:rsidR="001C587A" w:rsidRPr="001C587A" w:rsidRDefault="001C587A" w:rsidP="00F36DFC">
      <w:pPr>
        <w:jc w:val="both"/>
        <w:rPr>
          <w:rFonts w:ascii="Times New Roman" w:hAnsi="Times New Roman" w:cs="Times New Roman"/>
          <w:b/>
          <w:bCs/>
          <w:sz w:val="28"/>
          <w:szCs w:val="28"/>
          <w:u w:val="single"/>
          <w:lang w:val="fr-FR"/>
        </w:rPr>
      </w:pPr>
      <w:r w:rsidRPr="00C46404">
        <w:rPr>
          <w:rFonts w:ascii="Times New Roman" w:hAnsi="Times New Roman" w:cs="Times New Roman"/>
          <w:b/>
          <w:bCs/>
          <w:sz w:val="28"/>
          <w:szCs w:val="28"/>
          <w:u w:val="single"/>
          <w:lang w:val="fr-FR"/>
        </w:rPr>
        <w:t>Propositions d’amélioration du décret fixant les modalités de fonctionnement et de gestion du Fonds minier de développement local</w:t>
      </w:r>
      <w:r w:rsidRPr="00C46404">
        <w:rPr>
          <w:rFonts w:ascii="Times New Roman" w:hAnsi="Times New Roman" w:cs="Times New Roman"/>
          <w:b/>
          <w:bCs/>
          <w:sz w:val="28"/>
          <w:szCs w:val="28"/>
          <w:u w:val="single"/>
          <w:lang w:val="fr-FR"/>
        </w:rPr>
        <w:tab/>
        <w:t>:</w:t>
      </w:r>
    </w:p>
    <w:p w:rsidR="00C46404" w:rsidRPr="001C587A" w:rsidRDefault="00F36DFC" w:rsidP="00C46404">
      <w:pPr>
        <w:pStyle w:val="Paragraphedeliste"/>
        <w:numPr>
          <w:ilvl w:val="0"/>
          <w:numId w:val="4"/>
        </w:numPr>
        <w:jc w:val="both"/>
        <w:rPr>
          <w:rFonts w:ascii="Times New Roman" w:hAnsi="Times New Roman" w:cs="Times New Roman"/>
          <w:b/>
          <w:bCs/>
          <w:sz w:val="28"/>
          <w:szCs w:val="28"/>
          <w:lang w:val="fr-ML"/>
        </w:rPr>
      </w:pPr>
      <w:r w:rsidRPr="001C587A">
        <w:rPr>
          <w:rFonts w:ascii="Times New Roman" w:hAnsi="Times New Roman" w:cs="Times New Roman"/>
          <w:b/>
          <w:sz w:val="28"/>
          <w:szCs w:val="28"/>
          <w:lang w:val="fr-ML"/>
        </w:rPr>
        <w:t>L’article 1</w:t>
      </w:r>
      <w:r w:rsidRPr="001C587A">
        <w:rPr>
          <w:rFonts w:ascii="Times New Roman" w:hAnsi="Times New Roman" w:cs="Times New Roman"/>
          <w:b/>
          <w:sz w:val="28"/>
          <w:szCs w:val="28"/>
          <w:vertAlign w:val="superscript"/>
          <w:lang w:val="fr-ML"/>
        </w:rPr>
        <w:t>er</w:t>
      </w:r>
      <w:r w:rsidRPr="001C587A">
        <w:rPr>
          <w:rFonts w:ascii="Times New Roman" w:hAnsi="Times New Roman" w:cs="Times New Roman"/>
          <w:sz w:val="28"/>
          <w:szCs w:val="28"/>
          <w:lang w:val="fr-ML"/>
        </w:rPr>
        <w:t xml:space="preserve"> du décret doit préciser l’affectation et la destination des ressources </w:t>
      </w:r>
      <w:r w:rsidR="00C46404" w:rsidRPr="001C587A">
        <w:rPr>
          <w:rFonts w:ascii="Times New Roman" w:hAnsi="Times New Roman" w:cs="Times New Roman"/>
          <w:sz w:val="28"/>
          <w:szCs w:val="28"/>
          <w:lang w:val="fr-ML"/>
        </w:rPr>
        <w:t>à</w:t>
      </w:r>
      <w:r w:rsidRPr="001C587A">
        <w:rPr>
          <w:rFonts w:ascii="Times New Roman" w:hAnsi="Times New Roman" w:cs="Times New Roman"/>
          <w:sz w:val="28"/>
          <w:szCs w:val="28"/>
          <w:lang w:val="fr-ML"/>
        </w:rPr>
        <w:t xml:space="preserve"> l’exemple de la Guinée qui a précisé que </w:t>
      </w:r>
      <w:r w:rsidRPr="001C587A">
        <w:rPr>
          <w:rFonts w:ascii="Times New Roman" w:hAnsi="Times New Roman" w:cs="Times New Roman"/>
          <w:b/>
          <w:bCs/>
          <w:sz w:val="28"/>
          <w:szCs w:val="28"/>
          <w:lang w:val="fr-ML"/>
        </w:rPr>
        <w:t xml:space="preserve">le fonds est destiné à soutenir la réalisation des infrastructures de base, des activités génératrices d’emplois et de revenus ainsi que d’autres activités de développement prévues dans les plans de développement local des Collectivités locales concernés. </w:t>
      </w:r>
    </w:p>
    <w:p w:rsidR="00F36DFC" w:rsidRPr="001C587A" w:rsidRDefault="00F36DFC" w:rsidP="00F36DFC">
      <w:pPr>
        <w:jc w:val="both"/>
        <w:rPr>
          <w:rFonts w:ascii="Times New Roman" w:hAnsi="Times New Roman" w:cs="Times New Roman"/>
          <w:b/>
          <w:bCs/>
          <w:sz w:val="28"/>
          <w:szCs w:val="28"/>
          <w:u w:val="single"/>
          <w:lang w:val="fr-ML"/>
        </w:rPr>
      </w:pPr>
      <w:r w:rsidRPr="001C587A">
        <w:rPr>
          <w:rFonts w:ascii="Times New Roman" w:hAnsi="Times New Roman" w:cs="Times New Roman"/>
          <w:b/>
          <w:bCs/>
          <w:sz w:val="28"/>
          <w:szCs w:val="28"/>
          <w:u w:val="single"/>
          <w:lang w:val="fr-ML"/>
        </w:rPr>
        <w:t xml:space="preserve">Insérer Champ d’application au Chapitre I </w:t>
      </w:r>
    </w:p>
    <w:p w:rsidR="00F36DFC" w:rsidRPr="001C587A" w:rsidRDefault="00F36DFC" w:rsidP="00F36DFC">
      <w:pPr>
        <w:pStyle w:val="Paragraphedeliste"/>
        <w:ind w:left="0"/>
        <w:rPr>
          <w:rFonts w:ascii="Times New Roman" w:hAnsi="Times New Roman" w:cs="Times New Roman"/>
          <w:sz w:val="28"/>
          <w:szCs w:val="28"/>
          <w:lang w:val="fr-FR"/>
        </w:rPr>
      </w:pPr>
      <w:r w:rsidRPr="001C587A">
        <w:rPr>
          <w:rFonts w:ascii="Times New Roman" w:hAnsi="Times New Roman" w:cs="Times New Roman"/>
          <w:b/>
          <w:sz w:val="28"/>
          <w:szCs w:val="28"/>
          <w:lang w:val="fr-FR"/>
        </w:rPr>
        <w:t>2.</w:t>
      </w:r>
      <w:r w:rsidRPr="001C587A">
        <w:rPr>
          <w:rFonts w:ascii="Times New Roman" w:hAnsi="Times New Roman" w:cs="Times New Roman"/>
          <w:sz w:val="28"/>
          <w:szCs w:val="28"/>
          <w:lang w:val="fr-FR"/>
        </w:rPr>
        <w:t xml:space="preserve"> </w:t>
      </w:r>
      <w:r w:rsidRPr="001C587A">
        <w:rPr>
          <w:rFonts w:ascii="Times New Roman" w:hAnsi="Times New Roman" w:cs="Times New Roman"/>
          <w:sz w:val="28"/>
          <w:szCs w:val="28"/>
          <w:lang w:val="fr-FR"/>
        </w:rPr>
        <w:t>Créer un article formulé comme suit :</w:t>
      </w:r>
    </w:p>
    <w:p w:rsidR="00F36DFC" w:rsidRPr="001C587A" w:rsidRDefault="00F36DFC" w:rsidP="00F36DFC">
      <w:pPr>
        <w:rPr>
          <w:rFonts w:ascii="Times New Roman" w:hAnsi="Times New Roman" w:cs="Times New Roman"/>
          <w:sz w:val="28"/>
          <w:szCs w:val="28"/>
          <w:lang w:val="fr-FR"/>
        </w:rPr>
      </w:pPr>
      <w:r w:rsidRPr="001C587A">
        <w:rPr>
          <w:rFonts w:ascii="Times New Roman" w:hAnsi="Times New Roman" w:cs="Times New Roman"/>
          <w:sz w:val="28"/>
          <w:szCs w:val="28"/>
          <w:lang w:val="fr-FR"/>
        </w:rPr>
        <w:t>Pour promouvoir la transparence dans le paiement des contributions, tout versement au titre du FMDL effectué par les compagnies minières devra être rendu public dans les 05 jours ouvrés suivant la date de versement, justifié par une quittance, un reçu et tout autre document.</w:t>
      </w:r>
    </w:p>
    <w:p w:rsidR="00F36DFC" w:rsidRPr="001C587A" w:rsidRDefault="00F36DFC" w:rsidP="00F36DFC">
      <w:pPr>
        <w:jc w:val="both"/>
        <w:rPr>
          <w:rFonts w:ascii="Times New Roman" w:hAnsi="Times New Roman" w:cs="Times New Roman"/>
          <w:sz w:val="28"/>
          <w:szCs w:val="28"/>
          <w:lang w:val="fr-ML"/>
        </w:rPr>
      </w:pPr>
      <w:r w:rsidRPr="001C587A">
        <w:rPr>
          <w:rFonts w:ascii="Times New Roman" w:hAnsi="Times New Roman" w:cs="Times New Roman"/>
          <w:b/>
          <w:sz w:val="28"/>
          <w:szCs w:val="28"/>
          <w:lang w:val="fr-ML"/>
        </w:rPr>
        <w:t>3.</w:t>
      </w:r>
      <w:r w:rsidRPr="001C587A">
        <w:rPr>
          <w:rFonts w:ascii="Times New Roman" w:hAnsi="Times New Roman" w:cs="Times New Roman"/>
          <w:sz w:val="28"/>
          <w:szCs w:val="28"/>
          <w:lang w:val="fr-ML"/>
        </w:rPr>
        <w:t xml:space="preserve"> </w:t>
      </w:r>
      <w:r w:rsidRPr="001C587A">
        <w:rPr>
          <w:rFonts w:ascii="Times New Roman" w:hAnsi="Times New Roman" w:cs="Times New Roman"/>
          <w:sz w:val="28"/>
          <w:szCs w:val="28"/>
          <w:lang w:val="fr-ML"/>
        </w:rPr>
        <w:t>Élargir la liste des contributeurs au Fonds de développement local ;</w:t>
      </w:r>
    </w:p>
    <w:p w:rsidR="00F36DFC" w:rsidRPr="001C587A" w:rsidRDefault="00F36DFC" w:rsidP="00F36DFC">
      <w:pPr>
        <w:pStyle w:val="Paragraphedeliste"/>
        <w:numPr>
          <w:ilvl w:val="0"/>
          <w:numId w:val="3"/>
        </w:numPr>
        <w:jc w:val="both"/>
        <w:rPr>
          <w:rFonts w:ascii="Times New Roman" w:hAnsi="Times New Roman" w:cs="Times New Roman"/>
          <w:sz w:val="28"/>
          <w:szCs w:val="28"/>
          <w:lang w:val="fr-ML"/>
        </w:rPr>
      </w:pPr>
      <w:r w:rsidRPr="001C587A">
        <w:rPr>
          <w:rFonts w:ascii="Times New Roman" w:hAnsi="Times New Roman" w:cs="Times New Roman"/>
          <w:sz w:val="28"/>
          <w:szCs w:val="28"/>
          <w:lang w:val="fr-ML"/>
        </w:rPr>
        <w:t xml:space="preserve">Comptoir </w:t>
      </w:r>
      <w:r w:rsidR="00C46404" w:rsidRPr="001C587A">
        <w:rPr>
          <w:rFonts w:ascii="Times New Roman" w:hAnsi="Times New Roman" w:cs="Times New Roman"/>
          <w:sz w:val="28"/>
          <w:szCs w:val="28"/>
          <w:lang w:val="fr-ML"/>
        </w:rPr>
        <w:t>formel d’achat d’or au Mali</w:t>
      </w:r>
      <w:r w:rsidRPr="001C587A">
        <w:rPr>
          <w:rFonts w:ascii="Times New Roman" w:hAnsi="Times New Roman" w:cs="Times New Roman"/>
          <w:sz w:val="28"/>
          <w:szCs w:val="28"/>
          <w:lang w:val="fr-ML"/>
        </w:rPr>
        <w:t xml:space="preserve">, </w:t>
      </w:r>
    </w:p>
    <w:p w:rsidR="00F36DFC" w:rsidRPr="001C587A" w:rsidRDefault="00F36DFC" w:rsidP="00F36DFC">
      <w:pPr>
        <w:pStyle w:val="Paragraphedeliste"/>
        <w:numPr>
          <w:ilvl w:val="0"/>
          <w:numId w:val="3"/>
        </w:numPr>
        <w:jc w:val="both"/>
        <w:rPr>
          <w:rFonts w:ascii="Times New Roman" w:hAnsi="Times New Roman" w:cs="Times New Roman"/>
          <w:sz w:val="28"/>
          <w:szCs w:val="28"/>
          <w:lang w:val="fr-ML"/>
        </w:rPr>
      </w:pPr>
      <w:r w:rsidRPr="001C587A">
        <w:rPr>
          <w:rFonts w:ascii="Times New Roman" w:hAnsi="Times New Roman" w:cs="Times New Roman"/>
          <w:sz w:val="28"/>
          <w:szCs w:val="28"/>
          <w:lang w:val="fr-ML"/>
        </w:rPr>
        <w:t>Carrières industrielles;</w:t>
      </w:r>
    </w:p>
    <w:p w:rsidR="00F36DFC" w:rsidRPr="001C587A" w:rsidRDefault="00F36DFC" w:rsidP="00F36DFC">
      <w:pPr>
        <w:pStyle w:val="Paragraphedeliste"/>
        <w:ind w:left="0"/>
        <w:jc w:val="both"/>
        <w:rPr>
          <w:rFonts w:ascii="Times New Roman" w:hAnsi="Times New Roman" w:cs="Times New Roman"/>
          <w:sz w:val="28"/>
          <w:szCs w:val="28"/>
          <w:lang w:val="fr-ML"/>
        </w:rPr>
      </w:pPr>
      <w:r w:rsidRPr="001C587A">
        <w:rPr>
          <w:rFonts w:ascii="Times New Roman" w:hAnsi="Times New Roman" w:cs="Times New Roman"/>
          <w:b/>
          <w:sz w:val="28"/>
          <w:szCs w:val="28"/>
          <w:lang w:val="fr-ML"/>
        </w:rPr>
        <w:t>4</w:t>
      </w:r>
      <w:r w:rsidRPr="001C587A">
        <w:rPr>
          <w:rFonts w:ascii="Times New Roman" w:hAnsi="Times New Roman" w:cs="Times New Roman"/>
          <w:b/>
          <w:sz w:val="28"/>
          <w:szCs w:val="28"/>
          <w:lang w:val="fr-ML"/>
        </w:rPr>
        <w:t>.</w:t>
      </w:r>
      <w:r w:rsidRPr="001C587A">
        <w:rPr>
          <w:rFonts w:ascii="Times New Roman" w:hAnsi="Times New Roman" w:cs="Times New Roman"/>
          <w:sz w:val="28"/>
          <w:szCs w:val="28"/>
          <w:lang w:val="fr-ML"/>
        </w:rPr>
        <w:t xml:space="preserve"> </w:t>
      </w:r>
      <w:r w:rsidRPr="001C587A">
        <w:rPr>
          <w:rFonts w:ascii="Times New Roman" w:hAnsi="Times New Roman" w:cs="Times New Roman"/>
          <w:b/>
          <w:sz w:val="28"/>
          <w:szCs w:val="28"/>
          <w:lang w:val="fr-ML"/>
        </w:rPr>
        <w:t>Article 2</w:t>
      </w:r>
      <w:r w:rsidRPr="001C587A">
        <w:rPr>
          <w:rFonts w:ascii="Times New Roman" w:hAnsi="Times New Roman" w:cs="Times New Roman"/>
          <w:sz w:val="28"/>
          <w:szCs w:val="28"/>
          <w:lang w:val="fr-ML"/>
        </w:rPr>
        <w:t xml:space="preserve"> : Préciser la date d’exigibilité du paiement de la contribution au 31 mars de l’année suivant l’exercice budgétaire au titre duquel elle est due </w:t>
      </w:r>
    </w:p>
    <w:p w:rsidR="00F36DFC" w:rsidRPr="001C587A" w:rsidRDefault="00F36DFC" w:rsidP="00F36DFC">
      <w:pPr>
        <w:pStyle w:val="Paragraphedeliste"/>
        <w:numPr>
          <w:ilvl w:val="0"/>
          <w:numId w:val="3"/>
        </w:numPr>
        <w:jc w:val="both"/>
        <w:rPr>
          <w:rFonts w:ascii="Times New Roman" w:hAnsi="Times New Roman" w:cs="Times New Roman"/>
          <w:sz w:val="28"/>
          <w:szCs w:val="28"/>
          <w:lang w:val="fr-ML"/>
        </w:rPr>
      </w:pPr>
      <w:r w:rsidRPr="001C587A">
        <w:rPr>
          <w:rFonts w:ascii="Times New Roman" w:hAnsi="Times New Roman" w:cs="Times New Roman"/>
          <w:sz w:val="28"/>
          <w:szCs w:val="28"/>
          <w:lang w:val="fr-ML"/>
        </w:rPr>
        <w:t xml:space="preserve">En cas de retard de paiement, une pénalité de 5% est appliquée après chaque période de trois mois de retard.  </w:t>
      </w:r>
    </w:p>
    <w:p w:rsidR="00C46404" w:rsidRPr="001C587A" w:rsidRDefault="00F36DFC" w:rsidP="00C46404">
      <w:pPr>
        <w:pStyle w:val="Paragraphedeliste"/>
        <w:ind w:left="0"/>
        <w:jc w:val="both"/>
        <w:rPr>
          <w:rFonts w:ascii="Times New Roman" w:hAnsi="Times New Roman" w:cs="Times New Roman"/>
          <w:sz w:val="28"/>
          <w:szCs w:val="28"/>
          <w:lang w:val="fr-ML"/>
        </w:rPr>
      </w:pPr>
      <w:r w:rsidRPr="001C587A">
        <w:rPr>
          <w:rFonts w:ascii="Times New Roman" w:hAnsi="Times New Roman" w:cs="Times New Roman"/>
          <w:b/>
          <w:sz w:val="28"/>
          <w:szCs w:val="28"/>
          <w:lang w:val="fr-ML"/>
        </w:rPr>
        <w:t>5</w:t>
      </w:r>
      <w:r w:rsidRPr="001C587A">
        <w:rPr>
          <w:rFonts w:ascii="Times New Roman" w:hAnsi="Times New Roman" w:cs="Times New Roman"/>
          <w:b/>
          <w:sz w:val="28"/>
          <w:szCs w:val="28"/>
          <w:lang w:val="fr-ML"/>
        </w:rPr>
        <w:t>.</w:t>
      </w:r>
      <w:r w:rsidRPr="001C587A">
        <w:rPr>
          <w:rFonts w:ascii="Times New Roman" w:hAnsi="Times New Roman" w:cs="Times New Roman"/>
          <w:sz w:val="28"/>
          <w:szCs w:val="28"/>
          <w:lang w:val="fr-ML"/>
        </w:rPr>
        <w:t xml:space="preserve"> Modifier </w:t>
      </w:r>
      <w:r w:rsidRPr="001C587A">
        <w:rPr>
          <w:rFonts w:ascii="Times New Roman" w:hAnsi="Times New Roman" w:cs="Times New Roman"/>
          <w:b/>
          <w:sz w:val="28"/>
          <w:szCs w:val="28"/>
          <w:lang w:val="fr-ML"/>
        </w:rPr>
        <w:t>l’article 3</w:t>
      </w:r>
      <w:r w:rsidRPr="001C587A">
        <w:rPr>
          <w:rFonts w:ascii="Times New Roman" w:hAnsi="Times New Roman" w:cs="Times New Roman"/>
          <w:sz w:val="28"/>
          <w:szCs w:val="28"/>
          <w:lang w:val="fr-ML"/>
        </w:rPr>
        <w:t xml:space="preserve"> du décret en précisant que la gestion du fonds minier de développement local doit revenir aux collectivités locales.    </w:t>
      </w:r>
    </w:p>
    <w:p w:rsidR="00F36DFC" w:rsidRPr="001C587A" w:rsidRDefault="00F36DFC" w:rsidP="00F36DFC">
      <w:pPr>
        <w:pStyle w:val="Paragraphedeliste"/>
        <w:ind w:left="0"/>
        <w:jc w:val="both"/>
        <w:rPr>
          <w:rFonts w:ascii="Times New Roman" w:hAnsi="Times New Roman" w:cs="Times New Roman"/>
          <w:sz w:val="28"/>
          <w:szCs w:val="28"/>
          <w:lang w:val="fr-ML"/>
        </w:rPr>
      </w:pPr>
    </w:p>
    <w:p w:rsidR="00C46404" w:rsidRPr="001C587A" w:rsidRDefault="00F36DFC" w:rsidP="00C46404">
      <w:pPr>
        <w:pStyle w:val="Paragraphedeliste"/>
        <w:numPr>
          <w:ilvl w:val="0"/>
          <w:numId w:val="5"/>
        </w:numPr>
        <w:rPr>
          <w:rFonts w:ascii="Times New Roman" w:hAnsi="Times New Roman" w:cs="Times New Roman"/>
          <w:sz w:val="28"/>
          <w:szCs w:val="28"/>
          <w:lang w:val="fr-FR"/>
        </w:rPr>
      </w:pPr>
      <w:r w:rsidRPr="001C587A">
        <w:rPr>
          <w:rFonts w:ascii="Times New Roman" w:hAnsi="Times New Roman" w:cs="Times New Roman"/>
          <w:b/>
          <w:sz w:val="28"/>
          <w:szCs w:val="28"/>
          <w:u w:val="single"/>
          <w:lang w:val="fr-FR"/>
        </w:rPr>
        <w:t>Article 6 et 10 :</w:t>
      </w:r>
      <w:r w:rsidRPr="001C587A">
        <w:rPr>
          <w:rFonts w:ascii="Times New Roman" w:hAnsi="Times New Roman" w:cs="Times New Roman"/>
          <w:sz w:val="28"/>
          <w:szCs w:val="28"/>
          <w:lang w:val="fr-FR"/>
        </w:rPr>
        <w:t xml:space="preserve"> Quelle est la différence entre le « Fonds minier de développement local » logé au Trésor Public prévu à l’article 6 et le « Fonds de développement des communes minières » prévu au dernier paragraphe de l’article 10 ?</w:t>
      </w:r>
    </w:p>
    <w:p w:rsidR="00F36DFC" w:rsidRPr="001C587A" w:rsidRDefault="00F36DFC" w:rsidP="00C46404">
      <w:pPr>
        <w:pStyle w:val="Paragraphedeliste"/>
        <w:numPr>
          <w:ilvl w:val="0"/>
          <w:numId w:val="5"/>
        </w:numPr>
        <w:rPr>
          <w:rFonts w:ascii="Times New Roman" w:hAnsi="Times New Roman" w:cs="Times New Roman"/>
          <w:sz w:val="28"/>
          <w:szCs w:val="28"/>
          <w:lang w:val="fr-FR"/>
        </w:rPr>
      </w:pPr>
      <w:r w:rsidRPr="001C587A">
        <w:rPr>
          <w:rFonts w:ascii="Times New Roman" w:hAnsi="Times New Roman" w:cs="Times New Roman"/>
          <w:sz w:val="28"/>
          <w:szCs w:val="28"/>
          <w:lang w:val="fr-ML"/>
        </w:rPr>
        <w:t>Apporter la correction (article 8) en biffant le terme ‘’ Programme d’investissement Communautaire’’ et le remplacer par PDESC.</w:t>
      </w:r>
    </w:p>
    <w:p w:rsidR="00F36DFC" w:rsidRPr="001C587A" w:rsidRDefault="00F36DFC" w:rsidP="00C46404">
      <w:pPr>
        <w:pStyle w:val="Paragraphedeliste"/>
        <w:ind w:left="360"/>
        <w:rPr>
          <w:rFonts w:ascii="Times New Roman" w:hAnsi="Times New Roman" w:cs="Times New Roman"/>
          <w:sz w:val="28"/>
          <w:szCs w:val="28"/>
          <w:lang w:val="fr-FR"/>
        </w:rPr>
      </w:pPr>
      <w:r w:rsidRPr="001C587A">
        <w:rPr>
          <w:rFonts w:ascii="Times New Roman" w:hAnsi="Times New Roman" w:cs="Times New Roman"/>
          <w:b/>
          <w:sz w:val="28"/>
          <w:szCs w:val="28"/>
          <w:u w:val="single"/>
          <w:lang w:val="fr-FR"/>
        </w:rPr>
        <w:t>Chapitre III :</w:t>
      </w:r>
      <w:r w:rsidRPr="001C587A">
        <w:rPr>
          <w:rFonts w:ascii="Times New Roman" w:hAnsi="Times New Roman" w:cs="Times New Roman"/>
          <w:sz w:val="28"/>
          <w:szCs w:val="28"/>
          <w:lang w:val="fr-FR"/>
        </w:rPr>
        <w:t xml:space="preserve"> </w:t>
      </w:r>
    </w:p>
    <w:p w:rsidR="00F36DFC" w:rsidRPr="001C587A" w:rsidRDefault="00F36DFC" w:rsidP="00F36DFC">
      <w:pPr>
        <w:pStyle w:val="Paragraphedeliste"/>
        <w:ind w:left="360"/>
        <w:rPr>
          <w:rFonts w:ascii="Times New Roman" w:hAnsi="Times New Roman" w:cs="Times New Roman"/>
          <w:sz w:val="28"/>
          <w:szCs w:val="28"/>
          <w:lang w:val="fr-FR"/>
        </w:rPr>
      </w:pPr>
      <w:r w:rsidRPr="001C587A">
        <w:rPr>
          <w:rFonts w:ascii="Times New Roman" w:hAnsi="Times New Roman" w:cs="Times New Roman"/>
          <w:b/>
          <w:sz w:val="28"/>
          <w:szCs w:val="28"/>
          <w:lang w:val="fr-FR"/>
        </w:rPr>
        <w:lastRenderedPageBreak/>
        <w:t>Le chapitre 3</w:t>
      </w:r>
      <w:r w:rsidRPr="001C587A">
        <w:rPr>
          <w:rFonts w:ascii="Times New Roman" w:hAnsi="Times New Roman" w:cs="Times New Roman"/>
          <w:sz w:val="28"/>
          <w:szCs w:val="28"/>
          <w:lang w:val="fr-FR"/>
        </w:rPr>
        <w:t xml:space="preserve"> détail les modalités de gestion et de contrôle du Fonds Minier de Développement Local, mais n’en fait aucune référence au « Fonds de développement des communes minières » prévu au dernier paragraphe de l’article 10.</w:t>
      </w:r>
    </w:p>
    <w:p w:rsidR="00F36DFC" w:rsidRPr="001C587A" w:rsidRDefault="00F36DFC" w:rsidP="00C46404">
      <w:pPr>
        <w:pStyle w:val="Paragraphedeliste"/>
        <w:numPr>
          <w:ilvl w:val="0"/>
          <w:numId w:val="5"/>
        </w:numPr>
        <w:rPr>
          <w:rFonts w:ascii="Times New Roman" w:hAnsi="Times New Roman" w:cs="Times New Roman"/>
          <w:b/>
          <w:bCs/>
          <w:sz w:val="28"/>
          <w:szCs w:val="28"/>
          <w:lang w:val="fr-FR"/>
        </w:rPr>
      </w:pPr>
      <w:r w:rsidRPr="001C587A">
        <w:rPr>
          <w:rFonts w:ascii="Times New Roman" w:hAnsi="Times New Roman" w:cs="Times New Roman"/>
          <w:b/>
          <w:bCs/>
          <w:sz w:val="28"/>
          <w:szCs w:val="28"/>
          <w:u w:val="single"/>
          <w:lang w:val="fr-FR"/>
        </w:rPr>
        <w:t>Article 10</w:t>
      </w:r>
      <w:r w:rsidRPr="001C587A">
        <w:rPr>
          <w:rFonts w:ascii="Times New Roman" w:hAnsi="Times New Roman" w:cs="Times New Roman"/>
          <w:b/>
          <w:bCs/>
          <w:sz w:val="28"/>
          <w:szCs w:val="28"/>
          <w:lang w:val="fr-FR"/>
        </w:rPr>
        <w:t> :</w:t>
      </w:r>
    </w:p>
    <w:p w:rsidR="00F36DFC" w:rsidRPr="001C587A" w:rsidRDefault="00F36DFC" w:rsidP="00F36DFC">
      <w:pPr>
        <w:rPr>
          <w:rFonts w:ascii="Times New Roman" w:hAnsi="Times New Roman" w:cs="Times New Roman"/>
          <w:sz w:val="28"/>
          <w:szCs w:val="28"/>
          <w:lang w:val="fr-FR"/>
        </w:rPr>
      </w:pPr>
      <w:r w:rsidRPr="001C587A">
        <w:rPr>
          <w:rFonts w:ascii="Times New Roman" w:hAnsi="Times New Roman" w:cs="Times New Roman"/>
          <w:sz w:val="28"/>
          <w:szCs w:val="28"/>
          <w:lang w:val="fr-FR"/>
        </w:rPr>
        <w:t>Prévoir un seul compte pour les communes minières.</w:t>
      </w:r>
    </w:p>
    <w:p w:rsidR="00F36DFC" w:rsidRPr="001C587A" w:rsidRDefault="00F36DFC" w:rsidP="00C46404">
      <w:pPr>
        <w:pStyle w:val="Paragraphedeliste"/>
        <w:numPr>
          <w:ilvl w:val="0"/>
          <w:numId w:val="5"/>
        </w:numPr>
        <w:rPr>
          <w:rFonts w:ascii="Times New Roman" w:hAnsi="Times New Roman" w:cs="Times New Roman"/>
          <w:sz w:val="28"/>
          <w:szCs w:val="28"/>
          <w:lang w:val="fr-FR"/>
        </w:rPr>
      </w:pPr>
      <w:r w:rsidRPr="001C587A">
        <w:rPr>
          <w:rFonts w:ascii="Times New Roman" w:hAnsi="Times New Roman" w:cs="Times New Roman"/>
          <w:b/>
          <w:sz w:val="28"/>
          <w:szCs w:val="28"/>
          <w:lang w:val="fr-FR"/>
        </w:rPr>
        <w:t>Article 11 </w:t>
      </w:r>
      <w:r w:rsidRPr="001C587A">
        <w:rPr>
          <w:rFonts w:ascii="Times New Roman" w:hAnsi="Times New Roman" w:cs="Times New Roman"/>
          <w:sz w:val="28"/>
          <w:szCs w:val="28"/>
          <w:lang w:val="fr-FR"/>
        </w:rPr>
        <w:t xml:space="preserve">: Crée un Comité au niveau communal et composé de douze membres au maximum, mais ne fait aucune référence à l’autorité ou le texte qui crée ce Comité comme c’est le cas à </w:t>
      </w:r>
      <w:r w:rsidRPr="001C587A">
        <w:rPr>
          <w:rFonts w:ascii="Times New Roman" w:hAnsi="Times New Roman" w:cs="Times New Roman"/>
          <w:b/>
          <w:sz w:val="28"/>
          <w:szCs w:val="28"/>
          <w:lang w:val="fr-FR"/>
        </w:rPr>
        <w:t>l’article 20.</w:t>
      </w:r>
      <w:r w:rsidRPr="001C587A">
        <w:rPr>
          <w:rFonts w:ascii="Times New Roman" w:hAnsi="Times New Roman" w:cs="Times New Roman"/>
          <w:sz w:val="28"/>
          <w:szCs w:val="28"/>
          <w:lang w:val="fr-FR"/>
        </w:rPr>
        <w:t xml:space="preserve"> </w:t>
      </w:r>
    </w:p>
    <w:p w:rsidR="00F36DFC" w:rsidRPr="001C587A" w:rsidRDefault="00C46404" w:rsidP="00C46404">
      <w:pPr>
        <w:pStyle w:val="Paragraphedeliste"/>
        <w:numPr>
          <w:ilvl w:val="0"/>
          <w:numId w:val="5"/>
        </w:numPr>
        <w:jc w:val="both"/>
        <w:rPr>
          <w:rFonts w:ascii="Times New Roman" w:hAnsi="Times New Roman" w:cs="Times New Roman"/>
          <w:sz w:val="28"/>
          <w:szCs w:val="28"/>
          <w:lang w:val="fr-ML"/>
        </w:rPr>
      </w:pPr>
      <w:r w:rsidRPr="001C587A">
        <w:rPr>
          <w:rFonts w:ascii="Times New Roman" w:hAnsi="Times New Roman" w:cs="Times New Roman"/>
          <w:sz w:val="28"/>
          <w:szCs w:val="28"/>
          <w:lang w:val="fr-ML"/>
        </w:rPr>
        <w:t xml:space="preserve"> </w:t>
      </w:r>
      <w:r w:rsidR="00F36DFC" w:rsidRPr="001C587A">
        <w:rPr>
          <w:rFonts w:ascii="Times New Roman" w:hAnsi="Times New Roman" w:cs="Times New Roman"/>
          <w:sz w:val="28"/>
          <w:szCs w:val="28"/>
          <w:lang w:val="fr-ML"/>
        </w:rPr>
        <w:t xml:space="preserve">Revoir à la hausse le nombre des membres du Comité chargé du suivi de l’utilisation du Fonds minier de développement local.  Limiter le nombre de représentants des sociétés minières dans le comité de suivi (soit 75% pour les communautés). </w:t>
      </w:r>
    </w:p>
    <w:p w:rsidR="00F36DFC" w:rsidRPr="001C587A" w:rsidRDefault="00C46404" w:rsidP="00C46404">
      <w:pPr>
        <w:pStyle w:val="Paragraphedeliste"/>
        <w:numPr>
          <w:ilvl w:val="0"/>
          <w:numId w:val="5"/>
        </w:numPr>
        <w:jc w:val="both"/>
        <w:rPr>
          <w:rFonts w:ascii="Times New Roman" w:hAnsi="Times New Roman" w:cs="Times New Roman"/>
          <w:sz w:val="28"/>
          <w:szCs w:val="28"/>
          <w:lang w:val="fr-ML"/>
        </w:rPr>
      </w:pPr>
      <w:r w:rsidRPr="001C587A">
        <w:rPr>
          <w:rFonts w:ascii="Times New Roman" w:hAnsi="Times New Roman" w:cs="Times New Roman"/>
          <w:b/>
          <w:sz w:val="28"/>
          <w:szCs w:val="28"/>
          <w:lang w:val="fr-ML"/>
        </w:rPr>
        <w:t xml:space="preserve"> </w:t>
      </w:r>
      <w:r w:rsidR="00F36DFC" w:rsidRPr="001C587A">
        <w:rPr>
          <w:rFonts w:ascii="Times New Roman" w:hAnsi="Times New Roman" w:cs="Times New Roman"/>
          <w:b/>
          <w:sz w:val="28"/>
          <w:szCs w:val="28"/>
          <w:lang w:val="fr-ML"/>
        </w:rPr>
        <w:t>Article 15</w:t>
      </w:r>
      <w:r w:rsidRPr="001C587A">
        <w:rPr>
          <w:rFonts w:ascii="Times New Roman" w:hAnsi="Times New Roman" w:cs="Times New Roman"/>
          <w:b/>
          <w:sz w:val="28"/>
          <w:szCs w:val="28"/>
          <w:lang w:val="fr-ML"/>
        </w:rPr>
        <w:t> </w:t>
      </w:r>
      <w:r w:rsidRPr="001C587A">
        <w:rPr>
          <w:rFonts w:ascii="Times New Roman" w:hAnsi="Times New Roman" w:cs="Times New Roman"/>
          <w:sz w:val="28"/>
          <w:szCs w:val="28"/>
          <w:lang w:val="fr-ML"/>
        </w:rPr>
        <w:t>:</w:t>
      </w:r>
      <w:r w:rsidR="00F36DFC" w:rsidRPr="001C587A">
        <w:rPr>
          <w:rFonts w:ascii="Times New Roman" w:hAnsi="Times New Roman" w:cs="Times New Roman"/>
          <w:sz w:val="28"/>
          <w:szCs w:val="28"/>
          <w:lang w:val="fr-ML"/>
        </w:rPr>
        <w:t xml:space="preserve"> La gestion des ressources allouées aux collectivités locales FMDL relève de leur strict ressort, suivi et contrôlé par la délégation du Contrôleur Financier.   </w:t>
      </w:r>
    </w:p>
    <w:p w:rsidR="00F36DFC" w:rsidRPr="001C587A" w:rsidRDefault="00F36DFC" w:rsidP="00C46404">
      <w:pPr>
        <w:pStyle w:val="Paragraphedeliste"/>
        <w:numPr>
          <w:ilvl w:val="0"/>
          <w:numId w:val="5"/>
        </w:numPr>
        <w:rPr>
          <w:rFonts w:ascii="Times New Roman" w:hAnsi="Times New Roman" w:cs="Times New Roman"/>
          <w:sz w:val="28"/>
          <w:szCs w:val="28"/>
          <w:lang w:val="fr-FR"/>
        </w:rPr>
      </w:pPr>
      <w:r w:rsidRPr="001C587A">
        <w:rPr>
          <w:rFonts w:ascii="Times New Roman" w:hAnsi="Times New Roman" w:cs="Times New Roman"/>
          <w:b/>
          <w:bCs/>
          <w:sz w:val="28"/>
          <w:szCs w:val="28"/>
          <w:u w:val="single"/>
          <w:lang w:val="fr-FR"/>
        </w:rPr>
        <w:t>Article 19</w:t>
      </w:r>
      <w:r w:rsidRPr="001C587A">
        <w:rPr>
          <w:rFonts w:ascii="Times New Roman" w:hAnsi="Times New Roman" w:cs="Times New Roman"/>
          <w:sz w:val="28"/>
          <w:szCs w:val="28"/>
          <w:lang w:val="fr-FR"/>
        </w:rPr>
        <w:t xml:space="preserve"> : mettre l’accent sur la publication du rapport d’utilisation des ressources </w:t>
      </w:r>
      <w:r w:rsidRPr="001C587A">
        <w:rPr>
          <w:rFonts w:ascii="Times New Roman" w:hAnsi="Times New Roman" w:cs="Times New Roman"/>
          <w:b/>
          <w:bCs/>
          <w:sz w:val="28"/>
          <w:szCs w:val="28"/>
          <w:lang w:val="fr-FR"/>
        </w:rPr>
        <w:t>par voie de presse</w:t>
      </w:r>
      <w:r w:rsidRPr="001C587A">
        <w:rPr>
          <w:rFonts w:ascii="Times New Roman" w:hAnsi="Times New Roman" w:cs="Times New Roman"/>
          <w:sz w:val="28"/>
          <w:szCs w:val="28"/>
          <w:lang w:val="fr-FR"/>
        </w:rPr>
        <w:t xml:space="preserve"> et les </w:t>
      </w:r>
      <w:r w:rsidRPr="001C587A">
        <w:rPr>
          <w:rFonts w:ascii="Times New Roman" w:hAnsi="Times New Roman" w:cs="Times New Roman"/>
          <w:b/>
          <w:bCs/>
          <w:sz w:val="28"/>
          <w:szCs w:val="28"/>
          <w:lang w:val="fr-FR"/>
        </w:rPr>
        <w:t>sites web des ministères des Finances, Mines et Administration territoriale</w:t>
      </w:r>
      <w:r w:rsidRPr="001C587A">
        <w:rPr>
          <w:rFonts w:ascii="Times New Roman" w:hAnsi="Times New Roman" w:cs="Times New Roman"/>
          <w:sz w:val="28"/>
          <w:szCs w:val="28"/>
          <w:lang w:val="fr-FR"/>
        </w:rPr>
        <w:t>.</w:t>
      </w:r>
    </w:p>
    <w:p w:rsidR="00F36DFC" w:rsidRPr="001C587A" w:rsidRDefault="00F36DFC" w:rsidP="00C46404">
      <w:pPr>
        <w:pStyle w:val="Paragraphedeliste"/>
        <w:numPr>
          <w:ilvl w:val="0"/>
          <w:numId w:val="5"/>
        </w:numPr>
        <w:rPr>
          <w:rFonts w:ascii="Times New Roman" w:hAnsi="Times New Roman" w:cs="Times New Roman"/>
          <w:sz w:val="28"/>
          <w:szCs w:val="28"/>
          <w:lang w:val="fr-FR"/>
        </w:rPr>
      </w:pPr>
      <w:r w:rsidRPr="001C587A">
        <w:rPr>
          <w:rFonts w:ascii="Times New Roman" w:hAnsi="Times New Roman" w:cs="Times New Roman"/>
          <w:b/>
          <w:bCs/>
          <w:sz w:val="28"/>
          <w:szCs w:val="28"/>
          <w:lang w:val="fr-FR"/>
        </w:rPr>
        <w:t>Article 22</w:t>
      </w:r>
      <w:r w:rsidRPr="001C587A">
        <w:rPr>
          <w:rFonts w:ascii="Times New Roman" w:hAnsi="Times New Roman" w:cs="Times New Roman"/>
          <w:sz w:val="28"/>
          <w:szCs w:val="28"/>
          <w:lang w:val="fr-FR"/>
        </w:rPr>
        <w:t xml:space="preserve"> : </w:t>
      </w:r>
    </w:p>
    <w:p w:rsidR="00F36DFC" w:rsidRPr="001C587A" w:rsidRDefault="00F36DFC" w:rsidP="00F36DFC">
      <w:pPr>
        <w:pStyle w:val="Paragraphedeliste"/>
        <w:numPr>
          <w:ilvl w:val="0"/>
          <w:numId w:val="1"/>
        </w:numPr>
        <w:rPr>
          <w:rFonts w:ascii="Times New Roman" w:hAnsi="Times New Roman" w:cs="Times New Roman"/>
          <w:sz w:val="28"/>
          <w:szCs w:val="28"/>
          <w:lang w:val="fr-FR"/>
        </w:rPr>
      </w:pPr>
      <w:r w:rsidRPr="001C587A">
        <w:rPr>
          <w:rFonts w:ascii="Times New Roman" w:hAnsi="Times New Roman" w:cs="Times New Roman"/>
          <w:sz w:val="28"/>
          <w:szCs w:val="28"/>
          <w:lang w:val="fr-FR"/>
        </w:rPr>
        <w:t>Préciser que</w:t>
      </w:r>
      <w:r w:rsidR="00C46404" w:rsidRPr="001C587A">
        <w:rPr>
          <w:rFonts w:ascii="Times New Roman" w:hAnsi="Times New Roman" w:cs="Times New Roman"/>
          <w:sz w:val="28"/>
          <w:szCs w:val="28"/>
          <w:lang w:val="fr-FR"/>
        </w:rPr>
        <w:t xml:space="preserve"> tous</w:t>
      </w:r>
      <w:r w:rsidRPr="001C587A">
        <w:rPr>
          <w:rFonts w:ascii="Times New Roman" w:hAnsi="Times New Roman" w:cs="Times New Roman"/>
          <w:sz w:val="28"/>
          <w:szCs w:val="28"/>
          <w:lang w:val="fr-FR"/>
        </w:rPr>
        <w:t xml:space="preserve"> les permis ne relevant pas de l’ordonnance de 2019 seront soumis à la souscription au fonds de développement local.</w:t>
      </w:r>
    </w:p>
    <w:p w:rsidR="00F36DFC" w:rsidRPr="001C587A" w:rsidRDefault="00F36DFC" w:rsidP="00F36DFC">
      <w:pPr>
        <w:pStyle w:val="Paragraphedeliste"/>
        <w:numPr>
          <w:ilvl w:val="0"/>
          <w:numId w:val="1"/>
        </w:numPr>
        <w:rPr>
          <w:rFonts w:ascii="Times New Roman" w:hAnsi="Times New Roman" w:cs="Times New Roman"/>
          <w:sz w:val="28"/>
          <w:szCs w:val="28"/>
          <w:lang w:val="fr-FR"/>
        </w:rPr>
      </w:pPr>
      <w:r w:rsidRPr="001C587A">
        <w:rPr>
          <w:rFonts w:ascii="Times New Roman" w:hAnsi="Times New Roman" w:cs="Times New Roman"/>
          <w:sz w:val="28"/>
          <w:szCs w:val="28"/>
          <w:lang w:val="fr-FR"/>
        </w:rPr>
        <w:t xml:space="preserve">La société </w:t>
      </w:r>
      <w:bookmarkStart w:id="0" w:name="_GoBack"/>
      <w:bookmarkEnd w:id="0"/>
      <w:r w:rsidRPr="001C587A">
        <w:rPr>
          <w:rFonts w:ascii="Times New Roman" w:hAnsi="Times New Roman" w:cs="Times New Roman"/>
          <w:sz w:val="28"/>
          <w:szCs w:val="28"/>
          <w:lang w:val="fr-FR"/>
        </w:rPr>
        <w:t>minière s’engage à payer la contribution au FMDL à hauteur de 0.25 % de son chiffre d’affaires avec possibilité de déduction des investissements socio-économiques réalisés et attestés au profit des communautés minières. En tout état de cause, la déduction ne saurait excéder</w:t>
      </w:r>
      <w:r w:rsidRPr="001C587A">
        <w:rPr>
          <w:rFonts w:ascii="Times New Roman" w:hAnsi="Times New Roman" w:cs="Times New Roman"/>
          <w:sz w:val="28"/>
          <w:szCs w:val="28"/>
          <w:lang w:val="fr-FR"/>
        </w:rPr>
        <w:t xml:space="preserve"> 50% de sa contribution au FMDL ;</w:t>
      </w:r>
    </w:p>
    <w:p w:rsidR="00F36DFC" w:rsidRPr="001C587A" w:rsidRDefault="00C46404" w:rsidP="00C46404">
      <w:pPr>
        <w:pStyle w:val="Paragraphedeliste"/>
        <w:ind w:left="360"/>
        <w:jc w:val="both"/>
        <w:rPr>
          <w:rFonts w:ascii="Times New Roman" w:hAnsi="Times New Roman" w:cs="Times New Roman"/>
          <w:b/>
          <w:bCs/>
          <w:sz w:val="28"/>
          <w:szCs w:val="28"/>
          <w:lang w:val="fr-ML"/>
        </w:rPr>
      </w:pPr>
      <w:r w:rsidRPr="001C587A">
        <w:rPr>
          <w:rFonts w:ascii="Times New Roman" w:hAnsi="Times New Roman" w:cs="Times New Roman"/>
          <w:b/>
          <w:sz w:val="28"/>
          <w:szCs w:val="28"/>
          <w:lang w:val="fr-ML"/>
        </w:rPr>
        <w:t>NB : Préciser la date d’entré</w:t>
      </w:r>
      <w:r w:rsidR="00B43D41" w:rsidRPr="001C587A">
        <w:rPr>
          <w:rFonts w:ascii="Times New Roman" w:hAnsi="Times New Roman" w:cs="Times New Roman"/>
          <w:b/>
          <w:sz w:val="28"/>
          <w:szCs w:val="28"/>
          <w:lang w:val="fr-ML"/>
        </w:rPr>
        <w:t>e en vigueur de ce Décret et la date du début de paiement du Fonds Minier de Développement Local par les sociétés minières en activité au Mali.</w:t>
      </w:r>
    </w:p>
    <w:p w:rsidR="001666B1" w:rsidRPr="00C46404" w:rsidRDefault="001666B1">
      <w:pPr>
        <w:rPr>
          <w:rFonts w:ascii="Times New Roman" w:hAnsi="Times New Roman" w:cs="Times New Roman"/>
          <w:sz w:val="28"/>
          <w:szCs w:val="28"/>
        </w:rPr>
      </w:pPr>
    </w:p>
    <w:sectPr w:rsidR="001666B1" w:rsidRPr="00C464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973C8"/>
    <w:multiLevelType w:val="hybridMultilevel"/>
    <w:tmpl w:val="C8BC6044"/>
    <w:lvl w:ilvl="0" w:tplc="40F09A08">
      <w:start w:val="1"/>
      <w:numFmt w:val="bullet"/>
      <w:lvlText w:val="-"/>
      <w:lvlJc w:val="left"/>
      <w:pPr>
        <w:ind w:left="1080" w:hanging="360"/>
      </w:pPr>
      <w:rPr>
        <w:rFonts w:ascii="Calibri" w:eastAsiaTheme="minorHAnsi" w:hAnsi="Calibri" w:cstheme="minorBidi" w:hint="default"/>
      </w:rPr>
    </w:lvl>
    <w:lvl w:ilvl="1" w:tplc="340C0003" w:tentative="1">
      <w:start w:val="1"/>
      <w:numFmt w:val="bullet"/>
      <w:lvlText w:val="o"/>
      <w:lvlJc w:val="left"/>
      <w:pPr>
        <w:ind w:left="1800" w:hanging="360"/>
      </w:pPr>
      <w:rPr>
        <w:rFonts w:ascii="Courier New" w:hAnsi="Courier New" w:cs="Courier New" w:hint="default"/>
      </w:rPr>
    </w:lvl>
    <w:lvl w:ilvl="2" w:tplc="340C0005" w:tentative="1">
      <w:start w:val="1"/>
      <w:numFmt w:val="bullet"/>
      <w:lvlText w:val=""/>
      <w:lvlJc w:val="left"/>
      <w:pPr>
        <w:ind w:left="2520" w:hanging="360"/>
      </w:pPr>
      <w:rPr>
        <w:rFonts w:ascii="Wingdings" w:hAnsi="Wingdings" w:hint="default"/>
      </w:rPr>
    </w:lvl>
    <w:lvl w:ilvl="3" w:tplc="340C0001" w:tentative="1">
      <w:start w:val="1"/>
      <w:numFmt w:val="bullet"/>
      <w:lvlText w:val=""/>
      <w:lvlJc w:val="left"/>
      <w:pPr>
        <w:ind w:left="3240" w:hanging="360"/>
      </w:pPr>
      <w:rPr>
        <w:rFonts w:ascii="Symbol" w:hAnsi="Symbol" w:hint="default"/>
      </w:rPr>
    </w:lvl>
    <w:lvl w:ilvl="4" w:tplc="340C0003" w:tentative="1">
      <w:start w:val="1"/>
      <w:numFmt w:val="bullet"/>
      <w:lvlText w:val="o"/>
      <w:lvlJc w:val="left"/>
      <w:pPr>
        <w:ind w:left="3960" w:hanging="360"/>
      </w:pPr>
      <w:rPr>
        <w:rFonts w:ascii="Courier New" w:hAnsi="Courier New" w:cs="Courier New" w:hint="default"/>
      </w:rPr>
    </w:lvl>
    <w:lvl w:ilvl="5" w:tplc="340C0005" w:tentative="1">
      <w:start w:val="1"/>
      <w:numFmt w:val="bullet"/>
      <w:lvlText w:val=""/>
      <w:lvlJc w:val="left"/>
      <w:pPr>
        <w:ind w:left="4680" w:hanging="360"/>
      </w:pPr>
      <w:rPr>
        <w:rFonts w:ascii="Wingdings" w:hAnsi="Wingdings" w:hint="default"/>
      </w:rPr>
    </w:lvl>
    <w:lvl w:ilvl="6" w:tplc="340C0001" w:tentative="1">
      <w:start w:val="1"/>
      <w:numFmt w:val="bullet"/>
      <w:lvlText w:val=""/>
      <w:lvlJc w:val="left"/>
      <w:pPr>
        <w:ind w:left="5400" w:hanging="360"/>
      </w:pPr>
      <w:rPr>
        <w:rFonts w:ascii="Symbol" w:hAnsi="Symbol" w:hint="default"/>
      </w:rPr>
    </w:lvl>
    <w:lvl w:ilvl="7" w:tplc="340C0003" w:tentative="1">
      <w:start w:val="1"/>
      <w:numFmt w:val="bullet"/>
      <w:lvlText w:val="o"/>
      <w:lvlJc w:val="left"/>
      <w:pPr>
        <w:ind w:left="6120" w:hanging="360"/>
      </w:pPr>
      <w:rPr>
        <w:rFonts w:ascii="Courier New" w:hAnsi="Courier New" w:cs="Courier New" w:hint="default"/>
      </w:rPr>
    </w:lvl>
    <w:lvl w:ilvl="8" w:tplc="340C0005" w:tentative="1">
      <w:start w:val="1"/>
      <w:numFmt w:val="bullet"/>
      <w:lvlText w:val=""/>
      <w:lvlJc w:val="left"/>
      <w:pPr>
        <w:ind w:left="6840" w:hanging="360"/>
      </w:pPr>
      <w:rPr>
        <w:rFonts w:ascii="Wingdings" w:hAnsi="Wingdings" w:hint="default"/>
      </w:rPr>
    </w:lvl>
  </w:abstractNum>
  <w:abstractNum w:abstractNumId="1">
    <w:nsid w:val="26A837A6"/>
    <w:multiLevelType w:val="hybridMultilevel"/>
    <w:tmpl w:val="2564EBC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46C77AC8"/>
    <w:multiLevelType w:val="hybridMultilevel"/>
    <w:tmpl w:val="16EEFBBA"/>
    <w:lvl w:ilvl="0" w:tplc="D6762E6A">
      <w:start w:val="6"/>
      <w:numFmt w:val="decimal"/>
      <w:lvlText w:val="%1."/>
      <w:lvlJc w:val="left"/>
      <w:pPr>
        <w:ind w:left="360" w:hanging="360"/>
      </w:pPr>
      <w:rPr>
        <w:rFonts w:hint="default"/>
        <w:b/>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488439D3"/>
    <w:multiLevelType w:val="hybridMultilevel"/>
    <w:tmpl w:val="C8B8C10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5A6356E9"/>
    <w:multiLevelType w:val="hybridMultilevel"/>
    <w:tmpl w:val="2EBC6E18"/>
    <w:lvl w:ilvl="0" w:tplc="3F3894B4">
      <w:start w:val="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DFC"/>
    <w:rsid w:val="001666B1"/>
    <w:rsid w:val="001C587A"/>
    <w:rsid w:val="00B43D41"/>
    <w:rsid w:val="00C46404"/>
    <w:rsid w:val="00F36D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0B34F-4E87-40B2-A84B-7C5BAFCC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DFC"/>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6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579</Words>
  <Characters>3188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2</cp:revision>
  <dcterms:created xsi:type="dcterms:W3CDTF">2021-03-27T11:02:00Z</dcterms:created>
  <dcterms:modified xsi:type="dcterms:W3CDTF">2021-03-27T11:29:00Z</dcterms:modified>
</cp:coreProperties>
</file>