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DD840" w14:textId="77777777" w:rsidR="007821A3" w:rsidRDefault="002E7D29" w:rsidP="00B94C00">
      <w:pPr>
        <w:rPr>
          <w:rFonts w:eastAsia="NSimSun"/>
          <w:b/>
          <w:bCs/>
        </w:rPr>
      </w:pPr>
      <w:r w:rsidRPr="00B94C00">
        <w:rPr>
          <w:rFonts w:eastAsia="NSimSun"/>
          <w:b/>
          <w:bCs/>
        </w:rPr>
        <w:t>MINISTERE DES MINES</w:t>
      </w:r>
      <w:r w:rsidR="007821A3">
        <w:rPr>
          <w:rFonts w:eastAsia="NSimSun"/>
          <w:b/>
          <w:bCs/>
        </w:rPr>
        <w:tab/>
      </w:r>
      <w:r w:rsidR="007821A3">
        <w:rPr>
          <w:rFonts w:eastAsia="NSimSun"/>
          <w:b/>
          <w:bCs/>
        </w:rPr>
        <w:tab/>
      </w:r>
      <w:r w:rsidR="007821A3">
        <w:rPr>
          <w:rFonts w:eastAsia="NSimSun"/>
          <w:b/>
          <w:bCs/>
        </w:rPr>
        <w:tab/>
      </w:r>
      <w:r w:rsidR="007821A3">
        <w:rPr>
          <w:rFonts w:eastAsia="NSimSun"/>
          <w:b/>
          <w:bCs/>
        </w:rPr>
        <w:tab/>
      </w:r>
      <w:r w:rsidR="007821A3">
        <w:rPr>
          <w:rFonts w:eastAsia="NSimSun"/>
          <w:b/>
          <w:bCs/>
        </w:rPr>
        <w:tab/>
        <w:t xml:space="preserve">      </w:t>
      </w:r>
      <w:r w:rsidR="007821A3" w:rsidRPr="00B94C00">
        <w:rPr>
          <w:rFonts w:eastAsia="NSimSun"/>
          <w:b/>
          <w:bCs/>
        </w:rPr>
        <w:t xml:space="preserve">REPUBLIQUE DU MALI               </w:t>
      </w:r>
    </w:p>
    <w:p w14:paraId="0CCDDB4E" w14:textId="77777777" w:rsidR="002E7D29" w:rsidRPr="00B94C00" w:rsidRDefault="007821A3" w:rsidP="00B94C00">
      <w:pPr>
        <w:rPr>
          <w:rFonts w:eastAsia="NSimSun"/>
          <w:b/>
          <w:bCs/>
        </w:rPr>
      </w:pPr>
      <w:r>
        <w:rPr>
          <w:rFonts w:eastAsia="NSimSun"/>
          <w:b/>
          <w:bCs/>
        </w:rPr>
        <w:t>ET DU PETROLE</w:t>
      </w:r>
      <w:r w:rsidR="002E7D29" w:rsidRPr="00B94C00">
        <w:rPr>
          <w:rFonts w:eastAsia="NSimSun"/>
          <w:b/>
          <w:bCs/>
        </w:rPr>
        <w:tab/>
      </w:r>
      <w:r>
        <w:rPr>
          <w:rFonts w:eastAsia="NSimSun"/>
          <w:b/>
          <w:bCs/>
        </w:rPr>
        <w:tab/>
      </w:r>
      <w:r>
        <w:rPr>
          <w:rFonts w:eastAsia="NSimSun"/>
          <w:b/>
          <w:bCs/>
        </w:rPr>
        <w:tab/>
      </w:r>
      <w:r>
        <w:rPr>
          <w:rFonts w:eastAsia="NSimSun"/>
          <w:b/>
          <w:bCs/>
        </w:rPr>
        <w:tab/>
      </w:r>
      <w:r>
        <w:rPr>
          <w:rFonts w:eastAsia="NSimSun"/>
          <w:b/>
          <w:bCs/>
        </w:rPr>
        <w:tab/>
      </w:r>
      <w:r>
        <w:rPr>
          <w:rFonts w:eastAsia="NSimSun"/>
          <w:b/>
          <w:bCs/>
        </w:rPr>
        <w:tab/>
        <w:t xml:space="preserve">  </w:t>
      </w:r>
      <w:r w:rsidRPr="00B94C00">
        <w:rPr>
          <w:rFonts w:eastAsia="NSimSun"/>
          <w:b/>
          <w:bCs/>
        </w:rPr>
        <w:t xml:space="preserve"> Un Peuple – Un But – Une Foi</w:t>
      </w:r>
      <w:r w:rsidR="002E7D29" w:rsidRPr="00B94C00">
        <w:rPr>
          <w:rFonts w:eastAsia="NSimSun"/>
          <w:b/>
          <w:bCs/>
        </w:rPr>
        <w:tab/>
        <w:t xml:space="preserve">                    </w:t>
      </w:r>
      <w:r w:rsidR="004403BE" w:rsidRPr="00B94C00">
        <w:rPr>
          <w:rFonts w:eastAsia="NSimSun"/>
          <w:b/>
          <w:bCs/>
        </w:rPr>
        <w:t xml:space="preserve">                  </w:t>
      </w:r>
      <w:r w:rsidR="00C70F45" w:rsidRPr="00B94C00">
        <w:rPr>
          <w:rFonts w:eastAsia="NSimSun"/>
          <w:b/>
          <w:bCs/>
        </w:rPr>
        <w:t xml:space="preserve">      </w:t>
      </w:r>
    </w:p>
    <w:p w14:paraId="506300D3" w14:textId="77777777" w:rsidR="002E7D29" w:rsidRPr="00B94C00" w:rsidRDefault="002E7D29" w:rsidP="00B94C00">
      <w:pPr>
        <w:rPr>
          <w:rFonts w:eastAsia="NSimSun"/>
          <w:b/>
          <w:bCs/>
        </w:rPr>
      </w:pPr>
      <w:r w:rsidRPr="00B94C00">
        <w:rPr>
          <w:rFonts w:eastAsia="NSimSun"/>
          <w:b/>
          <w:bCs/>
        </w:rPr>
        <w:t xml:space="preserve">       ---------------     </w:t>
      </w:r>
      <w:r w:rsidR="007821A3">
        <w:rPr>
          <w:rFonts w:eastAsia="NSimSun"/>
          <w:b/>
          <w:bCs/>
        </w:rPr>
        <w:tab/>
      </w:r>
      <w:r w:rsidR="007821A3">
        <w:rPr>
          <w:rFonts w:eastAsia="NSimSun"/>
          <w:b/>
          <w:bCs/>
        </w:rPr>
        <w:tab/>
      </w:r>
      <w:r w:rsidR="007821A3">
        <w:rPr>
          <w:rFonts w:eastAsia="NSimSun"/>
          <w:b/>
          <w:bCs/>
        </w:rPr>
        <w:tab/>
      </w:r>
      <w:r w:rsidR="007821A3">
        <w:rPr>
          <w:rFonts w:eastAsia="NSimSun"/>
          <w:b/>
          <w:bCs/>
        </w:rPr>
        <w:tab/>
      </w:r>
      <w:r w:rsidR="007821A3">
        <w:rPr>
          <w:rFonts w:eastAsia="NSimSun"/>
          <w:b/>
          <w:bCs/>
        </w:rPr>
        <w:tab/>
      </w:r>
      <w:r w:rsidR="007821A3">
        <w:rPr>
          <w:rFonts w:eastAsia="NSimSun"/>
          <w:b/>
          <w:bCs/>
        </w:rPr>
        <w:tab/>
      </w:r>
      <w:r w:rsidR="007821A3">
        <w:rPr>
          <w:rFonts w:eastAsia="NSimSun"/>
          <w:b/>
          <w:bCs/>
        </w:rPr>
        <w:tab/>
        <w:t xml:space="preserve">       </w:t>
      </w:r>
      <w:r w:rsidR="007821A3" w:rsidRPr="00B94C00">
        <w:rPr>
          <w:rFonts w:eastAsia="NSimSun"/>
          <w:b/>
          <w:bCs/>
        </w:rPr>
        <w:t>----------------</w:t>
      </w:r>
      <w:r w:rsidRPr="00B94C00">
        <w:rPr>
          <w:rFonts w:eastAsia="NSimSun"/>
          <w:b/>
          <w:bCs/>
        </w:rPr>
        <w:t xml:space="preserve">     </w:t>
      </w:r>
      <w:r w:rsidRPr="00B94C00">
        <w:rPr>
          <w:rFonts w:eastAsia="NSimSun"/>
          <w:b/>
          <w:bCs/>
        </w:rPr>
        <w:tab/>
      </w:r>
      <w:r w:rsidRPr="00B94C00">
        <w:rPr>
          <w:rFonts w:eastAsia="NSimSun"/>
          <w:b/>
          <w:bCs/>
        </w:rPr>
        <w:tab/>
      </w:r>
    </w:p>
    <w:p w14:paraId="01236F0E" w14:textId="77777777" w:rsidR="002E7D29" w:rsidRPr="00B94C00" w:rsidRDefault="002E7D29" w:rsidP="00B94C00">
      <w:pPr>
        <w:rPr>
          <w:rFonts w:eastAsia="NSimSun"/>
          <w:b/>
          <w:bCs/>
        </w:rPr>
      </w:pPr>
      <w:r w:rsidRPr="00B94C00">
        <w:rPr>
          <w:rFonts w:eastAsia="NSimSun"/>
          <w:b/>
          <w:bCs/>
        </w:rPr>
        <w:t xml:space="preserve">SECRETARIAT GENERAL                                         </w:t>
      </w:r>
      <w:r w:rsidR="004403BE" w:rsidRPr="00B94C00">
        <w:rPr>
          <w:rFonts w:eastAsia="NSimSun"/>
          <w:b/>
          <w:bCs/>
        </w:rPr>
        <w:t xml:space="preserve">                   </w:t>
      </w:r>
      <w:r w:rsidRPr="00B94C00">
        <w:rPr>
          <w:rFonts w:eastAsia="NSimSun"/>
          <w:b/>
          <w:bCs/>
        </w:rPr>
        <w:t xml:space="preserve"> </w:t>
      </w:r>
    </w:p>
    <w:p w14:paraId="47681BBD" w14:textId="77777777" w:rsidR="002E7D29" w:rsidRPr="00B94C00" w:rsidRDefault="002E7D29" w:rsidP="00B94C00">
      <w:r w:rsidRPr="00B94C00">
        <w:t xml:space="preserve">        ___________</w:t>
      </w:r>
    </w:p>
    <w:p w14:paraId="7FFD0F94" w14:textId="77777777" w:rsidR="002E7D29" w:rsidRPr="00B94C00" w:rsidRDefault="002E7D29" w:rsidP="00B94C00"/>
    <w:p w14:paraId="2A4B97FA" w14:textId="77777777" w:rsidR="002E7D29" w:rsidRPr="00B94C00" w:rsidRDefault="002E7D29" w:rsidP="00B94C00"/>
    <w:p w14:paraId="31122B5C" w14:textId="77777777" w:rsidR="002E7D29" w:rsidRPr="00B94C00" w:rsidRDefault="002E7D29" w:rsidP="00B94C00"/>
    <w:p w14:paraId="21164496" w14:textId="77777777" w:rsidR="002E7D29" w:rsidRPr="00B94C00" w:rsidRDefault="002E7D29" w:rsidP="00B94C00"/>
    <w:p w14:paraId="6E51F200" w14:textId="77777777" w:rsidR="002E7D29" w:rsidRPr="00B94C00" w:rsidRDefault="00077417" w:rsidP="00B94C00">
      <w:r>
        <w:rPr>
          <w:noProof/>
        </w:rPr>
        <mc:AlternateContent>
          <mc:Choice Requires="wps">
            <w:drawing>
              <wp:anchor distT="91440" distB="91440" distL="137160" distR="137160" simplePos="0" relativeHeight="251659264" behindDoc="0" locked="0" layoutInCell="0" allowOverlap="1" wp14:anchorId="43E54FA5" wp14:editId="4F2D54DE">
                <wp:simplePos x="0" y="0"/>
                <wp:positionH relativeFrom="margin">
                  <wp:posOffset>2211705</wp:posOffset>
                </wp:positionH>
                <wp:positionV relativeFrom="margin">
                  <wp:posOffset>1504950</wp:posOffset>
                </wp:positionV>
                <wp:extent cx="1724660" cy="5291455"/>
                <wp:effectExtent l="7302" t="0" r="16193" b="16192"/>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724660" cy="5291455"/>
                        </a:xfrm>
                        <a:prstGeom prst="roundRect">
                          <a:avLst>
                            <a:gd name="adj" fmla="val 13032"/>
                          </a:avLst>
                        </a:prstGeom>
                      </wps:spPr>
                      <wps:style>
                        <a:lnRef idx="2">
                          <a:schemeClr val="dk1"/>
                        </a:lnRef>
                        <a:fillRef idx="1">
                          <a:schemeClr val="lt1"/>
                        </a:fillRef>
                        <a:effectRef idx="0">
                          <a:schemeClr val="dk1"/>
                        </a:effectRef>
                        <a:fontRef idx="minor">
                          <a:schemeClr val="dk1"/>
                        </a:fontRef>
                      </wps:style>
                      <wps:txbx>
                        <w:txbxContent>
                          <w:p w14:paraId="4681FFBE" w14:textId="77777777" w:rsidR="00F01272" w:rsidRPr="00C70F45" w:rsidRDefault="00F01272" w:rsidP="00095A0A">
                            <w:pPr>
                              <w:pStyle w:val="Titre"/>
                              <w:jc w:val="center"/>
                              <w:rPr>
                                <w:rFonts w:ascii="Times New Roman" w:hAnsi="Times New Roman" w:cs="Times New Roman"/>
                                <w:color w:val="FFFFFF" w:themeColor="background1"/>
                                <w:sz w:val="48"/>
                                <w:szCs w:val="48"/>
                              </w:rPr>
                            </w:pPr>
                            <w:r w:rsidRPr="00C70F45">
                              <w:rPr>
                                <w:rFonts w:ascii="Times New Roman" w:hAnsi="Times New Roman" w:cs="Times New Roman"/>
                                <w:sz w:val="48"/>
                                <w:szCs w:val="48"/>
                              </w:rPr>
                              <w:t xml:space="preserve">POLITIQUE </w:t>
                            </w:r>
                            <w:r>
                              <w:rPr>
                                <w:rFonts w:ascii="Times New Roman" w:hAnsi="Times New Roman" w:cs="Times New Roman"/>
                                <w:sz w:val="48"/>
                                <w:szCs w:val="48"/>
                              </w:rPr>
                              <w:t xml:space="preserve">NATIONALE </w:t>
                            </w:r>
                            <w:r w:rsidRPr="00C70F45">
                              <w:rPr>
                                <w:rFonts w:ascii="Times New Roman" w:hAnsi="Times New Roman" w:cs="Times New Roman"/>
                                <w:sz w:val="48"/>
                                <w:szCs w:val="48"/>
                              </w:rPr>
                              <w:t>DE D</w:t>
                            </w:r>
                            <w:r>
                              <w:rPr>
                                <w:rFonts w:ascii="Times New Roman" w:hAnsi="Times New Roman" w:cs="Times New Roman"/>
                                <w:sz w:val="48"/>
                                <w:szCs w:val="48"/>
                              </w:rPr>
                              <w:t>EVELOPPEMENT DU</w:t>
                            </w:r>
                            <w:r w:rsidRPr="00C70F45">
                              <w:rPr>
                                <w:rFonts w:ascii="Times New Roman" w:hAnsi="Times New Roman" w:cs="Times New Roman"/>
                                <w:sz w:val="48"/>
                                <w:szCs w:val="48"/>
                              </w:rPr>
                              <w:t xml:space="preserve"> SECTEUR MINIER ET PETROLIER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3E54FA5" id="Forme automatique 2" o:spid="_x0000_s1026" style="position:absolute;margin-left:174.15pt;margin-top:118.5pt;width:135.8pt;height:416.65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0oLWwIAAN0EAAAOAAAAZHJzL2Uyb0RvYy54bWysVNtu2zAMfR+wfxD0vvrSJN2MOkXRosOA&#10;biva7QMUXWKtsuhKSpzs60fJjptu3cswPwiiRB6S51A+v9i1hmyl8xpsTYuTnBJpOQht1zX9/u3m&#10;3XtKfGBWMANW1nQvPb1Yvn1z3neVLKEBI6QjCGJ91Xc1bULoqizzvJEt8yfQSYuXClzLAppunQnH&#10;ekRvTVbm+SLrwYnOAZfe4+n1cEmXCV8pycNXpbwMxNQUawtpdWldxTVbnrNq7VjXaD6Wwf6hipZp&#10;i0knqGsWGNk4/QdUq7kDDyqccGgzUEpzmXrAbor8t24eGtbJ1AuS47uJJv//YPmX7Z0jWtT0NF9Q&#10;YlmLIt0g3ZKwTQBkXT9tJCkjUX3nK/R/6O5cbNV3t8AfPbFw1TC7lpfOQd9IJrC8IvpnLwKi4TGU&#10;rPrPIDBLxE+c7ZRriQPUZj7L45dOkRuyS0LtJ6HkLhCOh8VZOVssUE+Od/PyQzGbz1NGVkWwWF3n&#10;fPgooSVxU1MHGyvucRwSNtve+pDkEmPLTPygRLUGxd8yQ4rT/DT1nLFqdMbdAXNsLXYzsOLD3siI&#10;Z+y9VEgn1limTGmQ5ZVxBGFrKh4HZkbPGKK0MVNQ8VqQCYeg0TeGyTTcU+DA2V+zTd4pI9gwBbba&#10;gnst63OpavA/dD30GuUMu9VunIsViD1qm1REXfCPgKQ34H5S0uPrqql/2jAnKTGfLM4HKjaLzzEZ&#10;s/lZiYY7vlkd3zDLEaqmPDhKBuMqDI940zm9bjDXwJyFS5wqpcNh/Ia6xtLxDeHuxSM9tpPX819p&#10;+QsAAP//AwBQSwMEFAAGAAgAAAAhAEKE2+/eAAAACgEAAA8AAABkcnMvZG93bnJldi54bWxMj8tO&#10;wzAQRfdI/IM1ldhRu4g2DzKpEAiJFRIpYu0m0yRqPA62m4S/x6xgObpH954p9osZxETO95YRNmsF&#10;gri2Tc8twsfh5TYF4YPmRg+WCeGbPOzL66tC542d+Z2mKrQilrDPNUIXwphL6euOjPZrOxLH7GSd&#10;0SGerpWN03MsN4O8U2onje45LnR6pKeO6nN1MQj+VLnnt/brQDRP46sK9jOtLOLNanl8ABFoCX8w&#10;/OpHdSij09FeuPFiQNgl95FE2G6SDEQEMqUSEEeEJM22IMtC/n+h/AEAAP//AwBQSwECLQAUAAYA&#10;CAAAACEAtoM4kv4AAADhAQAAEwAAAAAAAAAAAAAAAAAAAAAAW0NvbnRlbnRfVHlwZXNdLnhtbFBL&#10;AQItABQABgAIAAAAIQA4/SH/1gAAAJQBAAALAAAAAAAAAAAAAAAAAC8BAABfcmVscy8ucmVsc1BL&#10;AQItABQABgAIAAAAIQDwT0oLWwIAAN0EAAAOAAAAAAAAAAAAAAAAAC4CAABkcnMvZTJvRG9jLnht&#10;bFBLAQItABQABgAIAAAAIQBChNvv3gAAAAoBAAAPAAAAAAAAAAAAAAAAALUEAABkcnMvZG93bnJl&#10;di54bWxQSwUGAAAAAAQABADzAAAAwAUAAAAA&#10;" o:allowincell="f" fillcolor="white [3201]" strokecolor="black [3200]" strokeweight="2pt">
                <v:textbox>
                  <w:txbxContent>
                    <w:p w14:paraId="4681FFBE" w14:textId="77777777" w:rsidR="00F01272" w:rsidRPr="00C70F45" w:rsidRDefault="00F01272" w:rsidP="00095A0A">
                      <w:pPr>
                        <w:pStyle w:val="Titre"/>
                        <w:jc w:val="center"/>
                        <w:rPr>
                          <w:rFonts w:ascii="Times New Roman" w:hAnsi="Times New Roman" w:cs="Times New Roman"/>
                          <w:color w:val="FFFFFF" w:themeColor="background1"/>
                          <w:sz w:val="48"/>
                          <w:szCs w:val="48"/>
                        </w:rPr>
                      </w:pPr>
                      <w:r w:rsidRPr="00C70F45">
                        <w:rPr>
                          <w:rFonts w:ascii="Times New Roman" w:hAnsi="Times New Roman" w:cs="Times New Roman"/>
                          <w:sz w:val="48"/>
                          <w:szCs w:val="48"/>
                        </w:rPr>
                        <w:t xml:space="preserve">POLITIQUE </w:t>
                      </w:r>
                      <w:r>
                        <w:rPr>
                          <w:rFonts w:ascii="Times New Roman" w:hAnsi="Times New Roman" w:cs="Times New Roman"/>
                          <w:sz w:val="48"/>
                          <w:szCs w:val="48"/>
                        </w:rPr>
                        <w:t xml:space="preserve">NATIONALE </w:t>
                      </w:r>
                      <w:r w:rsidRPr="00C70F45">
                        <w:rPr>
                          <w:rFonts w:ascii="Times New Roman" w:hAnsi="Times New Roman" w:cs="Times New Roman"/>
                          <w:sz w:val="48"/>
                          <w:szCs w:val="48"/>
                        </w:rPr>
                        <w:t>DE D</w:t>
                      </w:r>
                      <w:r>
                        <w:rPr>
                          <w:rFonts w:ascii="Times New Roman" w:hAnsi="Times New Roman" w:cs="Times New Roman"/>
                          <w:sz w:val="48"/>
                          <w:szCs w:val="48"/>
                        </w:rPr>
                        <w:t>EVELOPPEMENT DU</w:t>
                      </w:r>
                      <w:r w:rsidRPr="00C70F45">
                        <w:rPr>
                          <w:rFonts w:ascii="Times New Roman" w:hAnsi="Times New Roman" w:cs="Times New Roman"/>
                          <w:sz w:val="48"/>
                          <w:szCs w:val="48"/>
                        </w:rPr>
                        <w:t xml:space="preserve"> SECTEUR MINIER ET PETROLIER</w:t>
                      </w:r>
                    </w:p>
                  </w:txbxContent>
                </v:textbox>
                <w10:wrap type="square" anchorx="margin" anchory="margin"/>
              </v:roundrect>
            </w:pict>
          </mc:Fallback>
        </mc:AlternateContent>
      </w:r>
    </w:p>
    <w:p w14:paraId="58BDDD17" w14:textId="77777777" w:rsidR="002E7D29" w:rsidRPr="00B94C00" w:rsidRDefault="002E7D29" w:rsidP="00B94C00"/>
    <w:p w14:paraId="06D79533" w14:textId="77777777" w:rsidR="009259D3" w:rsidRPr="00B94C00" w:rsidRDefault="009259D3" w:rsidP="00B94C00"/>
    <w:p w14:paraId="178370D7" w14:textId="77777777" w:rsidR="002E7D29" w:rsidRPr="00B94C00" w:rsidRDefault="002E7D29" w:rsidP="00B94C00"/>
    <w:p w14:paraId="288C9B22" w14:textId="77777777" w:rsidR="002E7D29" w:rsidRPr="00B94C00" w:rsidRDefault="002E7D29" w:rsidP="00B94C00"/>
    <w:p w14:paraId="35283594" w14:textId="77777777" w:rsidR="009259D3" w:rsidRPr="00B94C00" w:rsidRDefault="009259D3" w:rsidP="00B94C00"/>
    <w:p w14:paraId="629C3A84" w14:textId="77777777" w:rsidR="009259D3" w:rsidRPr="00B94C00" w:rsidRDefault="009259D3" w:rsidP="00B94C00">
      <w:pPr>
        <w:jc w:val="right"/>
      </w:pPr>
    </w:p>
    <w:p w14:paraId="1E7DCC4C" w14:textId="77777777" w:rsidR="009259D3" w:rsidRPr="00B94C00" w:rsidRDefault="009259D3" w:rsidP="00B94C00"/>
    <w:p w14:paraId="5B133A21" w14:textId="77777777" w:rsidR="009259D3" w:rsidRPr="00B94C00" w:rsidRDefault="009259D3" w:rsidP="00B94C00"/>
    <w:p w14:paraId="0BA9D883" w14:textId="77777777" w:rsidR="009259D3" w:rsidRPr="00B94C00" w:rsidRDefault="009259D3" w:rsidP="00B94C00"/>
    <w:p w14:paraId="0DE3C8DF" w14:textId="77777777" w:rsidR="009259D3" w:rsidRPr="00B94C00" w:rsidRDefault="009259D3" w:rsidP="00B94C00"/>
    <w:p w14:paraId="769DDE16" w14:textId="77777777" w:rsidR="002E7D29" w:rsidRPr="00B94C00" w:rsidRDefault="002E7D29" w:rsidP="00B94C00"/>
    <w:p w14:paraId="215DF259" w14:textId="77777777" w:rsidR="002E7D29" w:rsidRPr="00B94C00" w:rsidRDefault="002E7D29" w:rsidP="00B94C00"/>
    <w:p w14:paraId="2C26F9A7" w14:textId="77777777" w:rsidR="002E7D29" w:rsidRPr="00B94C00" w:rsidRDefault="002E7D29" w:rsidP="00B94C00"/>
    <w:p w14:paraId="6E4453C8" w14:textId="77777777" w:rsidR="002E7D29" w:rsidRPr="00B94C00" w:rsidRDefault="002E7D29" w:rsidP="00B94C00"/>
    <w:p w14:paraId="4E4F10DF" w14:textId="77777777" w:rsidR="002E7D29" w:rsidRPr="00B94C00" w:rsidRDefault="002E7D29" w:rsidP="00B94C00"/>
    <w:p w14:paraId="4A472689" w14:textId="77777777" w:rsidR="002E7D29" w:rsidRPr="00B94C00" w:rsidRDefault="002E7D29" w:rsidP="00B94C00"/>
    <w:p w14:paraId="269E2259" w14:textId="77777777" w:rsidR="002E7D29" w:rsidRPr="00B94C00" w:rsidRDefault="002E7D29" w:rsidP="00B94C00"/>
    <w:p w14:paraId="1B987C3D" w14:textId="77777777" w:rsidR="002E7D29" w:rsidRPr="00B94C00" w:rsidRDefault="002E7D29" w:rsidP="00B94C00"/>
    <w:p w14:paraId="43E2E3B6" w14:textId="77777777" w:rsidR="002E7D29" w:rsidRPr="00B94C00" w:rsidRDefault="002E7D29" w:rsidP="00B94C00"/>
    <w:p w14:paraId="724695C1" w14:textId="77777777" w:rsidR="002E7D29" w:rsidRPr="00B94C00" w:rsidRDefault="002E7D29" w:rsidP="00B94C00"/>
    <w:p w14:paraId="18EC08BF" w14:textId="77777777" w:rsidR="002E7D29" w:rsidRPr="00B94C00" w:rsidRDefault="002E7D29" w:rsidP="00B94C00"/>
    <w:p w14:paraId="32185623" w14:textId="77777777" w:rsidR="002E7D29" w:rsidRPr="00B94C00" w:rsidRDefault="002E7D29" w:rsidP="00B94C00"/>
    <w:p w14:paraId="6AAD52E1" w14:textId="77777777" w:rsidR="002E7D29" w:rsidRPr="00B94C00" w:rsidRDefault="002E7D29" w:rsidP="00B94C00"/>
    <w:p w14:paraId="16517D99" w14:textId="77777777" w:rsidR="002E7D29" w:rsidRPr="00B94C00" w:rsidRDefault="002E7D29" w:rsidP="00B94C00"/>
    <w:p w14:paraId="4F4C13B9" w14:textId="77777777" w:rsidR="002E7D29" w:rsidRPr="00B94C00" w:rsidRDefault="002E7D29" w:rsidP="00B94C00"/>
    <w:p w14:paraId="349D8270" w14:textId="77777777" w:rsidR="002E7D29" w:rsidRPr="00B94C00" w:rsidRDefault="002E7D29" w:rsidP="00B94C00"/>
    <w:p w14:paraId="19A1E18D" w14:textId="77777777" w:rsidR="002E7D29" w:rsidRPr="00B94C00" w:rsidRDefault="002E7D29" w:rsidP="00B94C00"/>
    <w:p w14:paraId="7256900C" w14:textId="77777777" w:rsidR="002E7D29" w:rsidRPr="00B94C00" w:rsidRDefault="002E7D29" w:rsidP="00B94C00"/>
    <w:p w14:paraId="7DE1148A" w14:textId="77777777" w:rsidR="002E7D29" w:rsidRPr="00B94C00" w:rsidRDefault="002E7D29" w:rsidP="00B94C00"/>
    <w:p w14:paraId="3EDDFFD3" w14:textId="77777777" w:rsidR="002E7D29" w:rsidRPr="00B94C00" w:rsidRDefault="002E7D29" w:rsidP="00B94C00"/>
    <w:p w14:paraId="65AC07B5" w14:textId="77777777" w:rsidR="002E7D29" w:rsidRPr="00B94C00" w:rsidRDefault="002E7D29" w:rsidP="00B94C00"/>
    <w:p w14:paraId="13B0A497" w14:textId="77777777" w:rsidR="002E7D29" w:rsidRPr="00B94C00" w:rsidRDefault="002E7D29" w:rsidP="00B94C00"/>
    <w:p w14:paraId="7AA6F5AA" w14:textId="77777777" w:rsidR="002E7D29" w:rsidRPr="00B94C00" w:rsidRDefault="002E7D29" w:rsidP="00B94C00"/>
    <w:p w14:paraId="722B7F87" w14:textId="77777777" w:rsidR="002E7D29" w:rsidRPr="00B94C00" w:rsidRDefault="002E7D29" w:rsidP="00B94C00"/>
    <w:p w14:paraId="09C85927" w14:textId="77777777" w:rsidR="002E7D29" w:rsidRPr="00B94C00" w:rsidRDefault="002E7D29" w:rsidP="00B94C00"/>
    <w:p w14:paraId="6610F16D" w14:textId="77777777" w:rsidR="002E7D29" w:rsidRPr="00B94C00" w:rsidRDefault="002E7D29" w:rsidP="00B94C00"/>
    <w:p w14:paraId="330ACEA5" w14:textId="77777777" w:rsidR="002E7D29" w:rsidRPr="00B94C00" w:rsidRDefault="002E7D29" w:rsidP="00B94C00"/>
    <w:p w14:paraId="40A666EF" w14:textId="77777777" w:rsidR="002E7D29" w:rsidRPr="00B94C00" w:rsidRDefault="002E7D29" w:rsidP="00B94C00"/>
    <w:p w14:paraId="4AC7B43E" w14:textId="77777777" w:rsidR="002E7D29" w:rsidRPr="00B94C00" w:rsidRDefault="002E7D29" w:rsidP="00B94C00">
      <w:pPr>
        <w:jc w:val="center"/>
      </w:pPr>
      <w:r w:rsidRPr="00B94C00">
        <w:t xml:space="preserve">SOMMAIRE </w:t>
      </w:r>
    </w:p>
    <w:p w14:paraId="6A5A8B0F" w14:textId="77777777" w:rsidR="002E7D29" w:rsidRPr="00B94C00" w:rsidRDefault="002E7D29" w:rsidP="00B94C00">
      <w:pPr>
        <w:jc w:val="center"/>
      </w:pPr>
      <w:r w:rsidRPr="00B94C00">
        <w:t>-=-=-=-=-</w:t>
      </w:r>
    </w:p>
    <w:p w14:paraId="2E95A4CD" w14:textId="77777777" w:rsidR="002E7D29" w:rsidRPr="00B94C00" w:rsidRDefault="002E7D29" w:rsidP="00B94C00">
      <w:pPr>
        <w:jc w:val="center"/>
      </w:pPr>
    </w:p>
    <w:sdt>
      <w:sdtPr>
        <w:rPr>
          <w:rFonts w:ascii="Times New Roman" w:eastAsia="Times New Roman" w:hAnsi="Times New Roman" w:cs="Times New Roman"/>
          <w:color w:val="auto"/>
          <w:sz w:val="24"/>
          <w:szCs w:val="24"/>
        </w:rPr>
        <w:id w:val="420688210"/>
        <w:docPartObj>
          <w:docPartGallery w:val="Table of Contents"/>
          <w:docPartUnique/>
        </w:docPartObj>
      </w:sdtPr>
      <w:sdtEndPr>
        <w:rPr>
          <w:b/>
          <w:bCs/>
        </w:rPr>
      </w:sdtEndPr>
      <w:sdtContent>
        <w:p w14:paraId="3DE02AF5" w14:textId="77777777" w:rsidR="002E7D29" w:rsidRPr="00B94C00" w:rsidRDefault="002E7D29" w:rsidP="00B94C00">
          <w:pPr>
            <w:pStyle w:val="En-ttedetabledesmatires"/>
            <w:spacing w:before="0"/>
            <w:rPr>
              <w:rFonts w:ascii="Times New Roman" w:hAnsi="Times New Roman" w:cs="Times New Roman"/>
              <w:color w:val="auto"/>
              <w:sz w:val="24"/>
              <w:szCs w:val="24"/>
            </w:rPr>
          </w:pPr>
        </w:p>
        <w:p w14:paraId="5BDCD4B7" w14:textId="77777777" w:rsidR="0082789C" w:rsidRPr="00B94C00" w:rsidRDefault="001F2A86" w:rsidP="00B94C00">
          <w:pPr>
            <w:pStyle w:val="TM1"/>
            <w:tabs>
              <w:tab w:val="right" w:leader="dot" w:pos="9350"/>
            </w:tabs>
            <w:spacing w:after="0"/>
            <w:rPr>
              <w:rFonts w:asciiTheme="minorHAnsi" w:eastAsiaTheme="minorEastAsia" w:hAnsiTheme="minorHAnsi" w:cstheme="minorBidi"/>
              <w:noProof/>
              <w:sz w:val="22"/>
              <w:szCs w:val="22"/>
            </w:rPr>
          </w:pPr>
          <w:r w:rsidRPr="00B94C00">
            <w:fldChar w:fldCharType="begin"/>
          </w:r>
          <w:r w:rsidR="002E7D29" w:rsidRPr="00B94C00">
            <w:instrText xml:space="preserve"> TOC \o "1-3" \h \z \u </w:instrText>
          </w:r>
          <w:r w:rsidRPr="00B94C00">
            <w:fldChar w:fldCharType="separate"/>
          </w:r>
          <w:hyperlink w:anchor="_Toc500920860" w:history="1">
            <w:r w:rsidR="0082789C" w:rsidRPr="00B94C00">
              <w:rPr>
                <w:rStyle w:val="Lienhypertexte"/>
                <w:noProof/>
                <w:color w:val="auto"/>
              </w:rPr>
              <w:t>INTRODUCTION</w:t>
            </w:r>
            <w:r w:rsidR="0082789C" w:rsidRPr="00B94C00">
              <w:rPr>
                <w:noProof/>
                <w:webHidden/>
              </w:rPr>
              <w:tab/>
            </w:r>
            <w:r w:rsidRPr="00B94C00">
              <w:rPr>
                <w:noProof/>
                <w:webHidden/>
              </w:rPr>
              <w:fldChar w:fldCharType="begin"/>
            </w:r>
            <w:r w:rsidR="0082789C" w:rsidRPr="00B94C00">
              <w:rPr>
                <w:noProof/>
                <w:webHidden/>
              </w:rPr>
              <w:instrText xml:space="preserve"> PAGEREF _Toc500920860 \h </w:instrText>
            </w:r>
            <w:r w:rsidRPr="00B94C00">
              <w:rPr>
                <w:noProof/>
                <w:webHidden/>
              </w:rPr>
            </w:r>
            <w:r w:rsidRPr="00B94C00">
              <w:rPr>
                <w:noProof/>
                <w:webHidden/>
              </w:rPr>
              <w:fldChar w:fldCharType="separate"/>
            </w:r>
            <w:r w:rsidR="005F41D9">
              <w:rPr>
                <w:noProof/>
                <w:webHidden/>
              </w:rPr>
              <w:t>4</w:t>
            </w:r>
            <w:r w:rsidRPr="00B94C00">
              <w:rPr>
                <w:noProof/>
                <w:webHidden/>
              </w:rPr>
              <w:fldChar w:fldCharType="end"/>
            </w:r>
          </w:hyperlink>
        </w:p>
        <w:p w14:paraId="41D956E8" w14:textId="77777777" w:rsidR="0082789C" w:rsidRPr="00B94C00" w:rsidRDefault="00E00161" w:rsidP="00B94C00">
          <w:pPr>
            <w:pStyle w:val="TM1"/>
            <w:tabs>
              <w:tab w:val="right" w:leader="dot" w:pos="9350"/>
            </w:tabs>
            <w:spacing w:after="0"/>
            <w:rPr>
              <w:rFonts w:asciiTheme="minorHAnsi" w:eastAsiaTheme="minorEastAsia" w:hAnsiTheme="minorHAnsi" w:cstheme="minorBidi"/>
              <w:noProof/>
              <w:sz w:val="22"/>
              <w:szCs w:val="22"/>
            </w:rPr>
          </w:pPr>
          <w:hyperlink w:anchor="_Toc500920861" w:history="1">
            <w:r w:rsidR="0082789C" w:rsidRPr="00B94C00">
              <w:rPr>
                <w:rStyle w:val="Lienhypertexte"/>
                <w:noProof/>
                <w:color w:val="auto"/>
              </w:rPr>
              <w:t>I. CONTEXTE</w:t>
            </w:r>
            <w:r w:rsidR="0082789C" w:rsidRPr="00B94C00">
              <w:rPr>
                <w:noProof/>
                <w:webHidden/>
              </w:rPr>
              <w:tab/>
            </w:r>
            <w:r w:rsidR="001F2A86" w:rsidRPr="00B94C00">
              <w:rPr>
                <w:noProof/>
                <w:webHidden/>
              </w:rPr>
              <w:fldChar w:fldCharType="begin"/>
            </w:r>
            <w:r w:rsidR="0082789C" w:rsidRPr="00B94C00">
              <w:rPr>
                <w:noProof/>
                <w:webHidden/>
              </w:rPr>
              <w:instrText xml:space="preserve"> PAGEREF _Toc500920861 \h </w:instrText>
            </w:r>
            <w:r w:rsidR="001F2A86" w:rsidRPr="00B94C00">
              <w:rPr>
                <w:noProof/>
                <w:webHidden/>
              </w:rPr>
            </w:r>
            <w:r w:rsidR="001F2A86" w:rsidRPr="00B94C00">
              <w:rPr>
                <w:noProof/>
                <w:webHidden/>
              </w:rPr>
              <w:fldChar w:fldCharType="separate"/>
            </w:r>
            <w:r w:rsidR="005F41D9">
              <w:rPr>
                <w:noProof/>
                <w:webHidden/>
              </w:rPr>
              <w:t>5</w:t>
            </w:r>
            <w:r w:rsidR="001F2A86" w:rsidRPr="00B94C00">
              <w:rPr>
                <w:noProof/>
                <w:webHidden/>
              </w:rPr>
              <w:fldChar w:fldCharType="end"/>
            </w:r>
          </w:hyperlink>
        </w:p>
        <w:p w14:paraId="49E7E7BC" w14:textId="77777777" w:rsidR="0082789C" w:rsidRPr="00B94C00" w:rsidRDefault="00E00161" w:rsidP="00B94C00">
          <w:pPr>
            <w:pStyle w:val="TM1"/>
            <w:tabs>
              <w:tab w:val="right" w:leader="dot" w:pos="9350"/>
            </w:tabs>
            <w:spacing w:after="0"/>
            <w:rPr>
              <w:rFonts w:asciiTheme="minorHAnsi" w:eastAsiaTheme="minorEastAsia" w:hAnsiTheme="minorHAnsi" w:cstheme="minorBidi"/>
              <w:noProof/>
              <w:sz w:val="22"/>
              <w:szCs w:val="22"/>
            </w:rPr>
          </w:pPr>
          <w:hyperlink w:anchor="_Toc500920862" w:history="1">
            <w:r w:rsidR="0082789C" w:rsidRPr="00B94C00">
              <w:rPr>
                <w:rStyle w:val="Lienhypertexte"/>
                <w:noProof/>
                <w:color w:val="auto"/>
              </w:rPr>
              <w:t>II. JUSTIFICATION</w:t>
            </w:r>
            <w:r w:rsidR="0082789C" w:rsidRPr="00B94C00">
              <w:rPr>
                <w:noProof/>
                <w:webHidden/>
              </w:rPr>
              <w:tab/>
            </w:r>
            <w:r w:rsidR="001F2A86" w:rsidRPr="00B94C00">
              <w:rPr>
                <w:noProof/>
                <w:webHidden/>
              </w:rPr>
              <w:fldChar w:fldCharType="begin"/>
            </w:r>
            <w:r w:rsidR="0082789C" w:rsidRPr="00B94C00">
              <w:rPr>
                <w:noProof/>
                <w:webHidden/>
              </w:rPr>
              <w:instrText xml:space="preserve"> PAGEREF _Toc500920862 \h </w:instrText>
            </w:r>
            <w:r w:rsidR="001F2A86" w:rsidRPr="00B94C00">
              <w:rPr>
                <w:noProof/>
                <w:webHidden/>
              </w:rPr>
            </w:r>
            <w:r w:rsidR="001F2A86" w:rsidRPr="00B94C00">
              <w:rPr>
                <w:noProof/>
                <w:webHidden/>
              </w:rPr>
              <w:fldChar w:fldCharType="separate"/>
            </w:r>
            <w:r w:rsidR="005F41D9">
              <w:rPr>
                <w:noProof/>
                <w:webHidden/>
              </w:rPr>
              <w:t>12</w:t>
            </w:r>
            <w:r w:rsidR="001F2A86" w:rsidRPr="00B94C00">
              <w:rPr>
                <w:noProof/>
                <w:webHidden/>
              </w:rPr>
              <w:fldChar w:fldCharType="end"/>
            </w:r>
          </w:hyperlink>
        </w:p>
        <w:p w14:paraId="60B1EEE3" w14:textId="77777777" w:rsidR="0082789C" w:rsidRPr="00B94C00" w:rsidRDefault="00E00161" w:rsidP="00B94C00">
          <w:pPr>
            <w:pStyle w:val="TM1"/>
            <w:tabs>
              <w:tab w:val="right" w:leader="dot" w:pos="9350"/>
            </w:tabs>
            <w:spacing w:after="0"/>
            <w:rPr>
              <w:rFonts w:asciiTheme="minorHAnsi" w:eastAsiaTheme="minorEastAsia" w:hAnsiTheme="minorHAnsi" w:cstheme="minorBidi"/>
              <w:noProof/>
              <w:sz w:val="22"/>
              <w:szCs w:val="22"/>
            </w:rPr>
          </w:pPr>
          <w:hyperlink w:anchor="_Toc500920863" w:history="1">
            <w:r w:rsidR="0082789C" w:rsidRPr="00B94C00">
              <w:rPr>
                <w:rStyle w:val="Lienhypertexte"/>
                <w:noProof/>
                <w:color w:val="auto"/>
              </w:rPr>
              <w:t xml:space="preserve">III. ORIENTATIONS </w:t>
            </w:r>
            <w:r w:rsidR="0082789C" w:rsidRPr="00B94C00">
              <w:rPr>
                <w:noProof/>
                <w:webHidden/>
              </w:rPr>
              <w:tab/>
            </w:r>
            <w:r w:rsidR="001F2A86" w:rsidRPr="00B94C00">
              <w:rPr>
                <w:noProof/>
                <w:webHidden/>
              </w:rPr>
              <w:fldChar w:fldCharType="begin"/>
            </w:r>
            <w:r w:rsidR="0082789C" w:rsidRPr="00B94C00">
              <w:rPr>
                <w:noProof/>
                <w:webHidden/>
              </w:rPr>
              <w:instrText xml:space="preserve"> PAGEREF _Toc500920863 \h </w:instrText>
            </w:r>
            <w:r w:rsidR="001F2A86" w:rsidRPr="00B94C00">
              <w:rPr>
                <w:noProof/>
                <w:webHidden/>
              </w:rPr>
            </w:r>
            <w:r w:rsidR="001F2A86" w:rsidRPr="00B94C00">
              <w:rPr>
                <w:noProof/>
                <w:webHidden/>
              </w:rPr>
              <w:fldChar w:fldCharType="separate"/>
            </w:r>
            <w:r w:rsidR="005F41D9">
              <w:rPr>
                <w:noProof/>
                <w:webHidden/>
              </w:rPr>
              <w:t>14</w:t>
            </w:r>
            <w:r w:rsidR="001F2A86" w:rsidRPr="00B94C00">
              <w:rPr>
                <w:noProof/>
                <w:webHidden/>
              </w:rPr>
              <w:fldChar w:fldCharType="end"/>
            </w:r>
          </w:hyperlink>
        </w:p>
        <w:p w14:paraId="25266145" w14:textId="77777777" w:rsidR="0082789C" w:rsidRPr="00B94C00" w:rsidRDefault="00E00161" w:rsidP="00B94C00">
          <w:pPr>
            <w:pStyle w:val="TM1"/>
            <w:tabs>
              <w:tab w:val="right" w:leader="dot" w:pos="9350"/>
            </w:tabs>
            <w:spacing w:after="0"/>
            <w:rPr>
              <w:rFonts w:asciiTheme="minorHAnsi" w:eastAsiaTheme="minorEastAsia" w:hAnsiTheme="minorHAnsi" w:cstheme="minorBidi"/>
              <w:noProof/>
              <w:sz w:val="22"/>
              <w:szCs w:val="22"/>
            </w:rPr>
          </w:pPr>
          <w:hyperlink w:anchor="_Toc500920864" w:history="1">
            <w:r w:rsidR="0082789C" w:rsidRPr="00B94C00">
              <w:rPr>
                <w:rStyle w:val="Lienhypertexte"/>
                <w:noProof/>
                <w:color w:val="auto"/>
              </w:rPr>
              <w:t>IV– OBJECTIFS</w:t>
            </w:r>
            <w:r w:rsidR="0082789C" w:rsidRPr="00B94C00">
              <w:rPr>
                <w:noProof/>
                <w:webHidden/>
              </w:rPr>
              <w:tab/>
            </w:r>
            <w:r w:rsidR="001F2A86" w:rsidRPr="00B94C00">
              <w:rPr>
                <w:noProof/>
                <w:webHidden/>
              </w:rPr>
              <w:fldChar w:fldCharType="begin"/>
            </w:r>
            <w:r w:rsidR="0082789C" w:rsidRPr="00B94C00">
              <w:rPr>
                <w:noProof/>
                <w:webHidden/>
              </w:rPr>
              <w:instrText xml:space="preserve"> PAGEREF _Toc500920864 \h </w:instrText>
            </w:r>
            <w:r w:rsidR="001F2A86" w:rsidRPr="00B94C00">
              <w:rPr>
                <w:noProof/>
                <w:webHidden/>
              </w:rPr>
            </w:r>
            <w:r w:rsidR="001F2A86" w:rsidRPr="00B94C00">
              <w:rPr>
                <w:noProof/>
                <w:webHidden/>
              </w:rPr>
              <w:fldChar w:fldCharType="separate"/>
            </w:r>
            <w:r w:rsidR="005F41D9">
              <w:rPr>
                <w:noProof/>
                <w:webHidden/>
              </w:rPr>
              <w:t>15</w:t>
            </w:r>
            <w:r w:rsidR="001F2A86" w:rsidRPr="00B94C00">
              <w:rPr>
                <w:noProof/>
                <w:webHidden/>
              </w:rPr>
              <w:fldChar w:fldCharType="end"/>
            </w:r>
          </w:hyperlink>
        </w:p>
        <w:p w14:paraId="4C6E4FA2" w14:textId="77777777" w:rsidR="0082789C" w:rsidRPr="00B94C00" w:rsidRDefault="00E00161" w:rsidP="00B94C00">
          <w:pPr>
            <w:pStyle w:val="TM1"/>
            <w:tabs>
              <w:tab w:val="right" w:leader="dot" w:pos="9350"/>
            </w:tabs>
            <w:spacing w:after="0"/>
            <w:rPr>
              <w:rFonts w:asciiTheme="minorHAnsi" w:eastAsiaTheme="minorEastAsia" w:hAnsiTheme="minorHAnsi" w:cstheme="minorBidi"/>
              <w:noProof/>
              <w:sz w:val="22"/>
              <w:szCs w:val="22"/>
            </w:rPr>
          </w:pPr>
          <w:hyperlink w:anchor="_Toc500920865" w:history="1">
            <w:r w:rsidR="0082789C" w:rsidRPr="00B94C00">
              <w:rPr>
                <w:rStyle w:val="Lienhypertexte"/>
                <w:noProof/>
                <w:color w:val="auto"/>
              </w:rPr>
              <w:t>V. STRATEGIES</w:t>
            </w:r>
            <w:r w:rsidR="0082789C" w:rsidRPr="00B94C00">
              <w:rPr>
                <w:noProof/>
                <w:webHidden/>
              </w:rPr>
              <w:tab/>
            </w:r>
            <w:r w:rsidR="001F2A86" w:rsidRPr="00B94C00">
              <w:rPr>
                <w:noProof/>
                <w:webHidden/>
              </w:rPr>
              <w:fldChar w:fldCharType="begin"/>
            </w:r>
            <w:r w:rsidR="0082789C" w:rsidRPr="00B94C00">
              <w:rPr>
                <w:noProof/>
                <w:webHidden/>
              </w:rPr>
              <w:instrText xml:space="preserve"> PAGEREF _Toc500920865 \h </w:instrText>
            </w:r>
            <w:r w:rsidR="001F2A86" w:rsidRPr="00B94C00">
              <w:rPr>
                <w:noProof/>
                <w:webHidden/>
              </w:rPr>
            </w:r>
            <w:r w:rsidR="001F2A86" w:rsidRPr="00B94C00">
              <w:rPr>
                <w:noProof/>
                <w:webHidden/>
              </w:rPr>
              <w:fldChar w:fldCharType="separate"/>
            </w:r>
            <w:r w:rsidR="005F41D9">
              <w:rPr>
                <w:noProof/>
                <w:webHidden/>
              </w:rPr>
              <w:t>16</w:t>
            </w:r>
            <w:r w:rsidR="001F2A86" w:rsidRPr="00B94C00">
              <w:rPr>
                <w:noProof/>
                <w:webHidden/>
              </w:rPr>
              <w:fldChar w:fldCharType="end"/>
            </w:r>
          </w:hyperlink>
        </w:p>
        <w:p w14:paraId="3EF1E333" w14:textId="77777777" w:rsidR="0082789C" w:rsidRPr="00B94C00" w:rsidRDefault="00E00161" w:rsidP="00B94C00">
          <w:pPr>
            <w:pStyle w:val="TM1"/>
            <w:tabs>
              <w:tab w:val="right" w:leader="dot" w:pos="9350"/>
            </w:tabs>
            <w:spacing w:after="0"/>
            <w:rPr>
              <w:rFonts w:asciiTheme="minorHAnsi" w:eastAsiaTheme="minorEastAsia" w:hAnsiTheme="minorHAnsi" w:cstheme="minorBidi"/>
              <w:noProof/>
              <w:sz w:val="22"/>
              <w:szCs w:val="22"/>
            </w:rPr>
          </w:pPr>
          <w:hyperlink w:anchor="_Toc500920866" w:history="1">
            <w:r w:rsidR="0082789C" w:rsidRPr="00B94C00">
              <w:rPr>
                <w:rStyle w:val="Lienhypertexte"/>
                <w:noProof/>
                <w:color w:val="auto"/>
              </w:rPr>
              <w:t>VI. ACTIONS A REALISER</w:t>
            </w:r>
            <w:r w:rsidR="0082789C" w:rsidRPr="00B94C00">
              <w:rPr>
                <w:noProof/>
                <w:webHidden/>
              </w:rPr>
              <w:tab/>
            </w:r>
            <w:r w:rsidR="001F2A86" w:rsidRPr="00B94C00">
              <w:rPr>
                <w:noProof/>
                <w:webHidden/>
              </w:rPr>
              <w:fldChar w:fldCharType="begin"/>
            </w:r>
            <w:r w:rsidR="0082789C" w:rsidRPr="00B94C00">
              <w:rPr>
                <w:noProof/>
                <w:webHidden/>
              </w:rPr>
              <w:instrText xml:space="preserve"> PAGEREF _Toc500920866 \h </w:instrText>
            </w:r>
            <w:r w:rsidR="001F2A86" w:rsidRPr="00B94C00">
              <w:rPr>
                <w:noProof/>
                <w:webHidden/>
              </w:rPr>
            </w:r>
            <w:r w:rsidR="001F2A86" w:rsidRPr="00B94C00">
              <w:rPr>
                <w:noProof/>
                <w:webHidden/>
              </w:rPr>
              <w:fldChar w:fldCharType="separate"/>
            </w:r>
            <w:r w:rsidR="005F41D9">
              <w:rPr>
                <w:noProof/>
                <w:webHidden/>
              </w:rPr>
              <w:t>16</w:t>
            </w:r>
            <w:r w:rsidR="001F2A86" w:rsidRPr="00B94C00">
              <w:rPr>
                <w:noProof/>
                <w:webHidden/>
              </w:rPr>
              <w:fldChar w:fldCharType="end"/>
            </w:r>
          </w:hyperlink>
        </w:p>
        <w:p w14:paraId="60A60433" w14:textId="77777777" w:rsidR="0082789C" w:rsidRPr="00B94C00" w:rsidRDefault="00E00161" w:rsidP="00B94C00">
          <w:pPr>
            <w:pStyle w:val="TM1"/>
            <w:tabs>
              <w:tab w:val="right" w:leader="dot" w:pos="9350"/>
            </w:tabs>
            <w:spacing w:after="0"/>
            <w:rPr>
              <w:rFonts w:asciiTheme="minorHAnsi" w:eastAsiaTheme="minorEastAsia" w:hAnsiTheme="minorHAnsi" w:cstheme="minorBidi"/>
              <w:noProof/>
              <w:sz w:val="22"/>
              <w:szCs w:val="22"/>
            </w:rPr>
          </w:pPr>
          <w:hyperlink w:anchor="_Toc500920867" w:history="1">
            <w:r w:rsidR="0082789C" w:rsidRPr="00B94C00">
              <w:rPr>
                <w:rStyle w:val="Lienhypertexte"/>
                <w:noProof/>
                <w:color w:val="auto"/>
              </w:rPr>
              <w:t>VII. MOYENS DE MISE EN OEUVRE</w:t>
            </w:r>
            <w:r w:rsidR="0082789C" w:rsidRPr="00B94C00">
              <w:rPr>
                <w:noProof/>
                <w:webHidden/>
              </w:rPr>
              <w:tab/>
            </w:r>
            <w:r w:rsidR="001F2A86" w:rsidRPr="00B94C00">
              <w:rPr>
                <w:noProof/>
                <w:webHidden/>
              </w:rPr>
              <w:fldChar w:fldCharType="begin"/>
            </w:r>
            <w:r w:rsidR="0082789C" w:rsidRPr="00B94C00">
              <w:rPr>
                <w:noProof/>
                <w:webHidden/>
              </w:rPr>
              <w:instrText xml:space="preserve"> PAGEREF _Toc500920867 \h </w:instrText>
            </w:r>
            <w:r w:rsidR="001F2A86" w:rsidRPr="00B94C00">
              <w:rPr>
                <w:noProof/>
                <w:webHidden/>
              </w:rPr>
            </w:r>
            <w:r w:rsidR="001F2A86" w:rsidRPr="00B94C00">
              <w:rPr>
                <w:noProof/>
                <w:webHidden/>
              </w:rPr>
              <w:fldChar w:fldCharType="separate"/>
            </w:r>
            <w:r w:rsidR="005F41D9">
              <w:rPr>
                <w:noProof/>
                <w:webHidden/>
              </w:rPr>
              <w:t>20</w:t>
            </w:r>
            <w:r w:rsidR="001F2A86" w:rsidRPr="00B94C00">
              <w:rPr>
                <w:noProof/>
                <w:webHidden/>
              </w:rPr>
              <w:fldChar w:fldCharType="end"/>
            </w:r>
          </w:hyperlink>
        </w:p>
        <w:p w14:paraId="5BFC0F36" w14:textId="77777777" w:rsidR="0082789C" w:rsidRPr="00B94C00" w:rsidRDefault="00E00161" w:rsidP="00B94C00">
          <w:pPr>
            <w:pStyle w:val="TM1"/>
            <w:tabs>
              <w:tab w:val="right" w:leader="dot" w:pos="9350"/>
            </w:tabs>
            <w:spacing w:after="0"/>
            <w:rPr>
              <w:rFonts w:asciiTheme="minorHAnsi" w:eastAsiaTheme="minorEastAsia" w:hAnsiTheme="minorHAnsi" w:cstheme="minorBidi"/>
              <w:noProof/>
              <w:sz w:val="22"/>
              <w:szCs w:val="22"/>
            </w:rPr>
          </w:pPr>
          <w:hyperlink w:anchor="_Toc500920868" w:history="1">
            <w:r w:rsidR="0082789C" w:rsidRPr="00B94C00">
              <w:rPr>
                <w:rStyle w:val="Lienhypertexte"/>
                <w:noProof/>
                <w:color w:val="auto"/>
              </w:rPr>
              <w:t>VIII. SUIVI-EVALUATION</w:t>
            </w:r>
            <w:r w:rsidR="0082789C" w:rsidRPr="00B94C00">
              <w:rPr>
                <w:noProof/>
                <w:webHidden/>
              </w:rPr>
              <w:tab/>
            </w:r>
            <w:r w:rsidR="001F2A86" w:rsidRPr="00B94C00">
              <w:rPr>
                <w:noProof/>
                <w:webHidden/>
              </w:rPr>
              <w:fldChar w:fldCharType="begin"/>
            </w:r>
            <w:r w:rsidR="0082789C" w:rsidRPr="00B94C00">
              <w:rPr>
                <w:noProof/>
                <w:webHidden/>
              </w:rPr>
              <w:instrText xml:space="preserve"> PAGEREF _Toc500920868 \h </w:instrText>
            </w:r>
            <w:r w:rsidR="001F2A86" w:rsidRPr="00B94C00">
              <w:rPr>
                <w:noProof/>
                <w:webHidden/>
              </w:rPr>
            </w:r>
            <w:r w:rsidR="001F2A86" w:rsidRPr="00B94C00">
              <w:rPr>
                <w:noProof/>
                <w:webHidden/>
              </w:rPr>
              <w:fldChar w:fldCharType="separate"/>
            </w:r>
            <w:r w:rsidR="005F41D9">
              <w:rPr>
                <w:noProof/>
                <w:webHidden/>
              </w:rPr>
              <w:t>21</w:t>
            </w:r>
            <w:r w:rsidR="001F2A86" w:rsidRPr="00B94C00">
              <w:rPr>
                <w:noProof/>
                <w:webHidden/>
              </w:rPr>
              <w:fldChar w:fldCharType="end"/>
            </w:r>
          </w:hyperlink>
        </w:p>
        <w:p w14:paraId="6FE08007" w14:textId="77777777" w:rsidR="002E7D29" w:rsidRPr="00B94C00" w:rsidRDefault="001F2A86" w:rsidP="00B94C00">
          <w:r w:rsidRPr="00B94C00">
            <w:rPr>
              <w:b/>
              <w:bCs/>
            </w:rPr>
            <w:fldChar w:fldCharType="end"/>
          </w:r>
        </w:p>
      </w:sdtContent>
    </w:sdt>
    <w:p w14:paraId="129C7E96" w14:textId="77777777" w:rsidR="002E7D29" w:rsidRPr="00B94C00" w:rsidRDefault="002E7D29" w:rsidP="00B94C00">
      <w:pPr>
        <w:ind w:left="360"/>
        <w:jc w:val="right"/>
      </w:pPr>
    </w:p>
    <w:p w14:paraId="18B105A7" w14:textId="77777777" w:rsidR="002E7D29" w:rsidRPr="00B94C00" w:rsidRDefault="002E7D29" w:rsidP="00B94C00">
      <w:pPr>
        <w:jc w:val="both"/>
        <w:rPr>
          <w:b/>
          <w:u w:val="single"/>
        </w:rPr>
      </w:pPr>
    </w:p>
    <w:p w14:paraId="5A32A43E" w14:textId="77777777" w:rsidR="002E7D29" w:rsidRPr="00B94C00" w:rsidRDefault="002E7D29" w:rsidP="00B94C00">
      <w:pPr>
        <w:jc w:val="both"/>
        <w:rPr>
          <w:b/>
          <w:u w:val="single"/>
        </w:rPr>
      </w:pPr>
    </w:p>
    <w:p w14:paraId="63D3D0CA" w14:textId="77777777" w:rsidR="002E7D29" w:rsidRPr="00B94C00" w:rsidRDefault="002E7D29" w:rsidP="00B94C00">
      <w:pPr>
        <w:jc w:val="both"/>
        <w:rPr>
          <w:b/>
          <w:u w:val="single"/>
        </w:rPr>
      </w:pPr>
    </w:p>
    <w:p w14:paraId="4FFDAF4C" w14:textId="77777777" w:rsidR="002E7D29" w:rsidRPr="00B94C00" w:rsidRDefault="002E7D29" w:rsidP="00B94C00">
      <w:pPr>
        <w:jc w:val="both"/>
        <w:rPr>
          <w:b/>
          <w:u w:val="single"/>
        </w:rPr>
      </w:pPr>
    </w:p>
    <w:p w14:paraId="523ACF40" w14:textId="77777777" w:rsidR="002E7D29" w:rsidRPr="00B94C00" w:rsidRDefault="002E7D29" w:rsidP="00B94C00">
      <w:pPr>
        <w:jc w:val="both"/>
        <w:rPr>
          <w:b/>
          <w:u w:val="single"/>
        </w:rPr>
      </w:pPr>
    </w:p>
    <w:p w14:paraId="352D9F85" w14:textId="77777777" w:rsidR="002E7D29" w:rsidRPr="00B94C00" w:rsidRDefault="002E7D29" w:rsidP="00B94C00">
      <w:pPr>
        <w:jc w:val="both"/>
        <w:rPr>
          <w:b/>
          <w:u w:val="single"/>
        </w:rPr>
      </w:pPr>
    </w:p>
    <w:p w14:paraId="324D7FEB" w14:textId="77777777" w:rsidR="002E7D29" w:rsidRPr="00B94C00" w:rsidRDefault="002E7D29" w:rsidP="00B94C00">
      <w:pPr>
        <w:jc w:val="both"/>
        <w:rPr>
          <w:b/>
          <w:u w:val="single"/>
        </w:rPr>
      </w:pPr>
    </w:p>
    <w:p w14:paraId="6231229A" w14:textId="77777777" w:rsidR="002E7D29" w:rsidRPr="00B94C00" w:rsidRDefault="002E7D29" w:rsidP="00B94C00">
      <w:pPr>
        <w:jc w:val="both"/>
        <w:rPr>
          <w:b/>
          <w:u w:val="single"/>
        </w:rPr>
      </w:pPr>
    </w:p>
    <w:p w14:paraId="12094BAF" w14:textId="77777777" w:rsidR="002E7D29" w:rsidRPr="00B94C00" w:rsidRDefault="002E7D29" w:rsidP="00B94C00">
      <w:pPr>
        <w:jc w:val="both"/>
        <w:rPr>
          <w:b/>
          <w:u w:val="single"/>
        </w:rPr>
      </w:pPr>
    </w:p>
    <w:p w14:paraId="09A934F8" w14:textId="77777777" w:rsidR="002E7D29" w:rsidRPr="00B94C00" w:rsidRDefault="002E7D29" w:rsidP="00B94C00">
      <w:pPr>
        <w:jc w:val="both"/>
        <w:rPr>
          <w:b/>
          <w:u w:val="single"/>
        </w:rPr>
      </w:pPr>
    </w:p>
    <w:p w14:paraId="3B61D101" w14:textId="77777777" w:rsidR="002E7D29" w:rsidRPr="00B94C00" w:rsidRDefault="002E7D29" w:rsidP="00B94C00">
      <w:pPr>
        <w:jc w:val="both"/>
        <w:rPr>
          <w:b/>
          <w:u w:val="single"/>
        </w:rPr>
      </w:pPr>
    </w:p>
    <w:p w14:paraId="329BF512" w14:textId="77777777" w:rsidR="002E7D29" w:rsidRPr="00B94C00" w:rsidRDefault="002E7D29" w:rsidP="00B94C00">
      <w:pPr>
        <w:jc w:val="both"/>
        <w:rPr>
          <w:b/>
          <w:u w:val="single"/>
        </w:rPr>
      </w:pPr>
    </w:p>
    <w:p w14:paraId="241587FC" w14:textId="77777777" w:rsidR="002E7D29" w:rsidRPr="00B94C00" w:rsidRDefault="002E7D29" w:rsidP="00B94C00">
      <w:pPr>
        <w:jc w:val="both"/>
        <w:rPr>
          <w:b/>
          <w:u w:val="single"/>
        </w:rPr>
      </w:pPr>
    </w:p>
    <w:p w14:paraId="690E9D38" w14:textId="77777777" w:rsidR="002E7D29" w:rsidRPr="00B94C00" w:rsidRDefault="002E7D29" w:rsidP="00B94C00">
      <w:pPr>
        <w:jc w:val="both"/>
        <w:rPr>
          <w:b/>
          <w:u w:val="single"/>
        </w:rPr>
      </w:pPr>
    </w:p>
    <w:p w14:paraId="70B262E7" w14:textId="77777777" w:rsidR="002E7D29" w:rsidRPr="00B94C00" w:rsidRDefault="002E7D29" w:rsidP="00B94C00">
      <w:pPr>
        <w:jc w:val="both"/>
        <w:rPr>
          <w:b/>
          <w:u w:val="single"/>
        </w:rPr>
      </w:pPr>
    </w:p>
    <w:p w14:paraId="068937E6" w14:textId="77777777" w:rsidR="00D47233" w:rsidRPr="00B94C00" w:rsidRDefault="00D47233" w:rsidP="00B94C00">
      <w:pPr>
        <w:spacing w:line="276" w:lineRule="auto"/>
        <w:rPr>
          <w:b/>
        </w:rPr>
      </w:pPr>
      <w:r w:rsidRPr="00B94C00">
        <w:rPr>
          <w:b/>
        </w:rPr>
        <w:br w:type="page"/>
      </w:r>
    </w:p>
    <w:p w14:paraId="59322F52" w14:textId="77777777" w:rsidR="002E7D29" w:rsidRPr="00B94C00" w:rsidRDefault="002E7D29" w:rsidP="00B94C00">
      <w:pPr>
        <w:jc w:val="center"/>
        <w:rPr>
          <w:b/>
        </w:rPr>
      </w:pPr>
      <w:r w:rsidRPr="00B94C00">
        <w:rPr>
          <w:b/>
        </w:rPr>
        <w:lastRenderedPageBreak/>
        <w:t xml:space="preserve">LISTE DES </w:t>
      </w:r>
      <w:r w:rsidR="00D47233" w:rsidRPr="00B94C00">
        <w:rPr>
          <w:b/>
        </w:rPr>
        <w:t>SIGLES ET ABREVIATION</w:t>
      </w:r>
    </w:p>
    <w:p w14:paraId="754E428A" w14:textId="77777777" w:rsidR="002E7D29" w:rsidRPr="00B94C00" w:rsidRDefault="002E7D29" w:rsidP="00B94C00">
      <w:pPr>
        <w:jc w:val="center"/>
        <w:rPr>
          <w:b/>
        </w:rPr>
      </w:pPr>
      <w:r w:rsidRPr="00B94C00">
        <w:rPr>
          <w:b/>
        </w:rPr>
        <w:t>-=-=-=-=-</w:t>
      </w:r>
    </w:p>
    <w:p w14:paraId="565B9B99" w14:textId="77777777" w:rsidR="002E7D29" w:rsidRPr="00B94C00" w:rsidRDefault="002E7D29" w:rsidP="00B94C00">
      <w:r w:rsidRPr="00B94C00">
        <w:t>AOF</w:t>
      </w:r>
      <w:r w:rsidRPr="00B94C00">
        <w:tab/>
      </w:r>
      <w:r w:rsidRPr="00B94C00">
        <w:tab/>
      </w:r>
      <w:r w:rsidRPr="00B94C00">
        <w:tab/>
        <w:t>Afrique Occidentale Française</w:t>
      </w:r>
    </w:p>
    <w:p w14:paraId="136D12FA" w14:textId="77777777" w:rsidR="002E7D29" w:rsidRPr="00B94C00" w:rsidRDefault="002E7D29" w:rsidP="00B94C00">
      <w:proofErr w:type="gramStart"/>
      <w:r w:rsidRPr="00B94C00">
        <w:t xml:space="preserve">AUREP  </w:t>
      </w:r>
      <w:r w:rsidRPr="00B94C00">
        <w:tab/>
      </w:r>
      <w:proofErr w:type="gramEnd"/>
      <w:r w:rsidRPr="00B94C00">
        <w:tab/>
        <w:t>Autorité pour la Promotion de la Recherche Pétrolière</w:t>
      </w:r>
    </w:p>
    <w:p w14:paraId="5A7DC4DB" w14:textId="77777777" w:rsidR="002E7D29" w:rsidRPr="00B94C00" w:rsidRDefault="002E7D29" w:rsidP="00B94C00">
      <w:r w:rsidRPr="00B94C00">
        <w:t xml:space="preserve">BIRD      </w:t>
      </w:r>
      <w:r w:rsidRPr="00B94C00">
        <w:tab/>
      </w:r>
      <w:r w:rsidRPr="00B94C00">
        <w:tab/>
        <w:t>Banque Internationale pour la Reconstruction et le Développement</w:t>
      </w:r>
    </w:p>
    <w:p w14:paraId="25F5DCB4" w14:textId="77777777" w:rsidR="002E7D29" w:rsidRPr="00B94C00" w:rsidRDefault="002E7D29" w:rsidP="00B94C00">
      <w:r w:rsidRPr="00B94C00">
        <w:t xml:space="preserve">BRGM          </w:t>
      </w:r>
      <w:r w:rsidRPr="00B94C00">
        <w:tab/>
      </w:r>
      <w:r w:rsidRPr="00B94C00">
        <w:tab/>
        <w:t>Bureau de Recherche Géologique et minière</w:t>
      </w:r>
    </w:p>
    <w:p w14:paraId="6420A261" w14:textId="77777777" w:rsidR="002E7D29" w:rsidRPr="00B94C00" w:rsidRDefault="002E7D29" w:rsidP="00B94C00">
      <w:r w:rsidRPr="00B94C00">
        <w:t>BSTP</w:t>
      </w:r>
      <w:r w:rsidRPr="00B94C00">
        <w:tab/>
        <w:t>Bourse de Sous-Traitance et du Partenariat</w:t>
      </w:r>
    </w:p>
    <w:p w14:paraId="53025DE5" w14:textId="77777777" w:rsidR="002E7D29" w:rsidRPr="00B94C00" w:rsidRDefault="002E7D29" w:rsidP="00B94C00">
      <w:r w:rsidRPr="00B94C00">
        <w:t xml:space="preserve">CMM              </w:t>
      </w:r>
      <w:r w:rsidRPr="00B94C00">
        <w:tab/>
      </w:r>
      <w:r w:rsidRPr="00B94C00">
        <w:tab/>
        <w:t>Chambre des Mines du Mali</w:t>
      </w:r>
    </w:p>
    <w:p w14:paraId="1CD9014C" w14:textId="77777777" w:rsidR="002E7D29" w:rsidRPr="00B94C00" w:rsidRDefault="002E7D29" w:rsidP="00B94C00">
      <w:r w:rsidRPr="00B94C00">
        <w:t xml:space="preserve">DNGM          </w:t>
      </w:r>
      <w:r w:rsidRPr="00B94C00">
        <w:tab/>
      </w:r>
      <w:r w:rsidRPr="00B94C00">
        <w:tab/>
        <w:t>Direction Nationale de la Géologie et des Mines</w:t>
      </w:r>
    </w:p>
    <w:p w14:paraId="4C1371B0" w14:textId="77777777" w:rsidR="00D47233" w:rsidRPr="00B94C00" w:rsidRDefault="002E7D29" w:rsidP="00B94C00">
      <w:r w:rsidRPr="00B94C00">
        <w:t xml:space="preserve">JICA               </w:t>
      </w:r>
      <w:r w:rsidRPr="00B94C00">
        <w:tab/>
      </w:r>
      <w:r w:rsidRPr="00B94C00">
        <w:tab/>
      </w:r>
      <w:r w:rsidR="00D47233" w:rsidRPr="00B94C00">
        <w:t>Agence Japonaise de Coopération Internationale (</w:t>
      </w:r>
      <w:r w:rsidRPr="00B94C00">
        <w:t>Japan International</w:t>
      </w:r>
    </w:p>
    <w:p w14:paraId="20FD45CE" w14:textId="77777777" w:rsidR="002E7D29" w:rsidRPr="00B94C00" w:rsidRDefault="00D47233" w:rsidP="00B94C00">
      <w:r w:rsidRPr="00B94C00">
        <w:t xml:space="preserve">                                    </w:t>
      </w:r>
      <w:r w:rsidR="002E7D29" w:rsidRPr="00B94C00">
        <w:t xml:space="preserve"> </w:t>
      </w:r>
      <w:proofErr w:type="spellStart"/>
      <w:r w:rsidR="002E7D29" w:rsidRPr="00B94C00">
        <w:t>Cooperation</w:t>
      </w:r>
      <w:proofErr w:type="spellEnd"/>
      <w:r w:rsidR="002E7D29" w:rsidRPr="00B94C00">
        <w:t xml:space="preserve"> Agency</w:t>
      </w:r>
      <w:r w:rsidRPr="00B94C00">
        <w:t>)</w:t>
      </w:r>
    </w:p>
    <w:p w14:paraId="2F6BB3A6" w14:textId="77777777" w:rsidR="002E7D29" w:rsidRPr="00B94C00" w:rsidRDefault="002E7D29" w:rsidP="00B94C00">
      <w:r w:rsidRPr="00B94C00">
        <w:t xml:space="preserve">PATSM          </w:t>
      </w:r>
      <w:r w:rsidRPr="00B94C00">
        <w:tab/>
      </w:r>
      <w:r w:rsidRPr="00B94C00">
        <w:tab/>
        <w:t>Projet d’Assistance technique au Secteur Minier</w:t>
      </w:r>
    </w:p>
    <w:p w14:paraId="51D7A98A" w14:textId="77777777" w:rsidR="002E7D29" w:rsidRPr="00B94C00" w:rsidRDefault="002E7D29" w:rsidP="00B94C00">
      <w:r w:rsidRPr="00B94C00">
        <w:t xml:space="preserve">PDRM             </w:t>
      </w:r>
      <w:r w:rsidRPr="00B94C00">
        <w:tab/>
        <w:t>Programme de Développement des Ressources Minérales</w:t>
      </w:r>
    </w:p>
    <w:p w14:paraId="599002DA" w14:textId="77777777" w:rsidR="002E7D29" w:rsidRPr="00B94C00" w:rsidRDefault="002E7D29" w:rsidP="00B94C00">
      <w:r w:rsidRPr="00B94C00">
        <w:t xml:space="preserve">PIB                  </w:t>
      </w:r>
      <w:r w:rsidRPr="00B94C00">
        <w:tab/>
        <w:t>Produit Intérieur Brut</w:t>
      </w:r>
    </w:p>
    <w:p w14:paraId="04CA385F" w14:textId="77777777" w:rsidR="002E7D29" w:rsidRPr="00B94C00" w:rsidRDefault="002E7D29" w:rsidP="00B94C00">
      <w:r w:rsidRPr="00B94C00">
        <w:t xml:space="preserve">PNUD             </w:t>
      </w:r>
      <w:r w:rsidRPr="00B94C00">
        <w:tab/>
      </w:r>
      <w:r w:rsidRPr="00B94C00">
        <w:tab/>
        <w:t>Programme des Nations Unies pour le Développement</w:t>
      </w:r>
    </w:p>
    <w:p w14:paraId="5CE13973" w14:textId="77777777" w:rsidR="002E7D29" w:rsidRPr="00B94C00" w:rsidRDefault="002E7D29" w:rsidP="00B94C00">
      <w:r w:rsidRPr="00B94C00">
        <w:t xml:space="preserve">PDSEC        </w:t>
      </w:r>
      <w:r w:rsidRPr="00B94C00">
        <w:tab/>
      </w:r>
      <w:r w:rsidRPr="00B94C00">
        <w:tab/>
        <w:t>Programme de Développement Economique et Social</w:t>
      </w:r>
    </w:p>
    <w:p w14:paraId="4765DFAC" w14:textId="77777777" w:rsidR="002E7D29" w:rsidRPr="00B94C00" w:rsidRDefault="002E7D29" w:rsidP="00B94C00">
      <w:r w:rsidRPr="00B94C00">
        <w:t xml:space="preserve">PPP            </w:t>
      </w:r>
      <w:r w:rsidRPr="00B94C00">
        <w:tab/>
      </w:r>
      <w:r w:rsidRPr="00B94C00">
        <w:tab/>
        <w:t>Partenariat Public Privé</w:t>
      </w:r>
    </w:p>
    <w:p w14:paraId="2A429CBB" w14:textId="77777777" w:rsidR="002E7D29" w:rsidRPr="00B94C00" w:rsidRDefault="002E7D29" w:rsidP="00B94C00">
      <w:r w:rsidRPr="00B94C00">
        <w:t xml:space="preserve">PDSM             </w:t>
      </w:r>
      <w:r w:rsidRPr="00B94C00">
        <w:tab/>
      </w:r>
      <w:r w:rsidRPr="00B94C00">
        <w:tab/>
        <w:t>Programme de Développement du Secteur Minier</w:t>
      </w:r>
    </w:p>
    <w:p w14:paraId="58838434" w14:textId="77777777" w:rsidR="002E7D29" w:rsidRPr="00B94C00" w:rsidRDefault="002E7D29" w:rsidP="00B94C00">
      <w:r w:rsidRPr="00B94C00">
        <w:t xml:space="preserve">RSE               </w:t>
      </w:r>
      <w:r w:rsidRPr="00B94C00">
        <w:tab/>
      </w:r>
      <w:r w:rsidRPr="00B94C00">
        <w:tab/>
        <w:t>Responsabilité Sociétale des Entreprises</w:t>
      </w:r>
    </w:p>
    <w:p w14:paraId="4873A9AA" w14:textId="77777777" w:rsidR="002E7D29" w:rsidRPr="00B94C00" w:rsidRDefault="002E7D29" w:rsidP="00B94C00">
      <w:r w:rsidRPr="00B94C00">
        <w:t xml:space="preserve">SIG                 </w:t>
      </w:r>
      <w:r w:rsidRPr="00B94C00">
        <w:tab/>
      </w:r>
      <w:r w:rsidRPr="00B94C00">
        <w:tab/>
        <w:t>Système d’Information Géographique</w:t>
      </w:r>
    </w:p>
    <w:p w14:paraId="1840B261" w14:textId="77777777" w:rsidR="002E7D29" w:rsidRPr="00B94C00" w:rsidRDefault="002E7D29" w:rsidP="00B94C00">
      <w:r w:rsidRPr="00B94C00">
        <w:t xml:space="preserve">SONAREM   </w:t>
      </w:r>
      <w:r w:rsidRPr="00B94C00">
        <w:tab/>
      </w:r>
      <w:r w:rsidRPr="00B94C00">
        <w:tab/>
        <w:t>Société Nationale de Recherche et d’Exploitation Minière</w:t>
      </w:r>
    </w:p>
    <w:p w14:paraId="050801FE" w14:textId="77777777" w:rsidR="002E7D29" w:rsidRPr="00B94C00" w:rsidRDefault="002E7D29" w:rsidP="00B94C00">
      <w:proofErr w:type="gramStart"/>
      <w:r w:rsidRPr="00B94C00">
        <w:t xml:space="preserve">SONATRACH  </w:t>
      </w:r>
      <w:r w:rsidRPr="00B94C00">
        <w:tab/>
      </w:r>
      <w:proofErr w:type="gramEnd"/>
      <w:r w:rsidRPr="00B94C00">
        <w:t>Société National</w:t>
      </w:r>
      <w:r w:rsidR="00D47233" w:rsidRPr="00B94C00">
        <w:t>e Algérienne des Hydrocarbures</w:t>
      </w:r>
    </w:p>
    <w:p w14:paraId="1F411D14" w14:textId="77777777" w:rsidR="002E7D29" w:rsidRPr="00B94C00" w:rsidRDefault="002E7D29" w:rsidP="00B94C00">
      <w:r w:rsidRPr="00B94C00">
        <w:t xml:space="preserve">VMA               </w:t>
      </w:r>
      <w:r w:rsidRPr="00B94C00">
        <w:tab/>
        <w:t>Vision du régime Minier Africain</w:t>
      </w:r>
    </w:p>
    <w:p w14:paraId="20055DC3" w14:textId="77777777" w:rsidR="002E7D29" w:rsidRPr="00B94C00" w:rsidRDefault="002E7D29" w:rsidP="00B94C00">
      <w:pPr>
        <w:rPr>
          <w:b/>
        </w:rPr>
      </w:pPr>
    </w:p>
    <w:p w14:paraId="08EABEFC" w14:textId="77777777" w:rsidR="002E7D29" w:rsidRPr="00B94C00" w:rsidRDefault="002E7D29" w:rsidP="00B94C00">
      <w:pPr>
        <w:jc w:val="both"/>
        <w:rPr>
          <w:b/>
          <w:u w:val="single"/>
        </w:rPr>
      </w:pPr>
    </w:p>
    <w:p w14:paraId="30AD856A" w14:textId="77777777" w:rsidR="002E7D29" w:rsidRPr="00B94C00" w:rsidRDefault="002E7D29" w:rsidP="00B94C00">
      <w:pPr>
        <w:jc w:val="both"/>
        <w:rPr>
          <w:b/>
          <w:u w:val="single"/>
        </w:rPr>
      </w:pPr>
    </w:p>
    <w:p w14:paraId="0BE4125F" w14:textId="77777777" w:rsidR="002E7D29" w:rsidRPr="00B94C00" w:rsidRDefault="002E7D29" w:rsidP="00B94C00">
      <w:pPr>
        <w:jc w:val="both"/>
        <w:rPr>
          <w:b/>
          <w:u w:val="single"/>
        </w:rPr>
      </w:pPr>
    </w:p>
    <w:p w14:paraId="47A17857" w14:textId="77777777" w:rsidR="002E7D29" w:rsidRPr="00B94C00" w:rsidRDefault="002E7D29" w:rsidP="00B94C00">
      <w:pPr>
        <w:jc w:val="both"/>
        <w:rPr>
          <w:b/>
          <w:u w:val="single"/>
        </w:rPr>
      </w:pPr>
    </w:p>
    <w:p w14:paraId="1892736E" w14:textId="77777777" w:rsidR="002E7D29" w:rsidRPr="00B94C00" w:rsidRDefault="002E7D29" w:rsidP="00B94C00">
      <w:pPr>
        <w:jc w:val="both"/>
        <w:rPr>
          <w:b/>
          <w:u w:val="single"/>
        </w:rPr>
      </w:pPr>
    </w:p>
    <w:p w14:paraId="456303EC" w14:textId="77777777" w:rsidR="002E7D29" w:rsidRPr="00B94C00" w:rsidRDefault="002E7D29" w:rsidP="00B94C00">
      <w:pPr>
        <w:jc w:val="both"/>
        <w:rPr>
          <w:b/>
          <w:u w:val="single"/>
        </w:rPr>
      </w:pPr>
    </w:p>
    <w:p w14:paraId="029A6116" w14:textId="77777777" w:rsidR="002E7D29" w:rsidRPr="00B94C00" w:rsidRDefault="002E7D29" w:rsidP="00B94C00">
      <w:pPr>
        <w:jc w:val="both"/>
        <w:rPr>
          <w:b/>
          <w:u w:val="single"/>
        </w:rPr>
      </w:pPr>
    </w:p>
    <w:p w14:paraId="778B2F21" w14:textId="77777777" w:rsidR="002E7D29" w:rsidRPr="00B94C00" w:rsidRDefault="002E7D29" w:rsidP="00B94C00">
      <w:pPr>
        <w:jc w:val="both"/>
        <w:rPr>
          <w:b/>
          <w:u w:val="single"/>
        </w:rPr>
      </w:pPr>
    </w:p>
    <w:p w14:paraId="319BF04A" w14:textId="77777777" w:rsidR="002E7D29" w:rsidRPr="00B94C00" w:rsidRDefault="002E7D29" w:rsidP="00B94C00">
      <w:pPr>
        <w:jc w:val="both"/>
        <w:rPr>
          <w:b/>
          <w:u w:val="single"/>
        </w:rPr>
      </w:pPr>
    </w:p>
    <w:p w14:paraId="465E15A2" w14:textId="77777777" w:rsidR="002E7D29" w:rsidRPr="00B94C00" w:rsidRDefault="002E7D29" w:rsidP="00B94C00">
      <w:pPr>
        <w:jc w:val="both"/>
        <w:rPr>
          <w:b/>
          <w:u w:val="single"/>
        </w:rPr>
      </w:pPr>
    </w:p>
    <w:p w14:paraId="2270BE05" w14:textId="77777777" w:rsidR="002E7D29" w:rsidRPr="00B94C00" w:rsidRDefault="002E7D29" w:rsidP="00B94C00">
      <w:pPr>
        <w:jc w:val="both"/>
        <w:rPr>
          <w:b/>
          <w:u w:val="single"/>
        </w:rPr>
      </w:pPr>
    </w:p>
    <w:p w14:paraId="5A369B4F" w14:textId="77777777" w:rsidR="002E7D29" w:rsidRPr="00B94C00" w:rsidRDefault="002E7D29" w:rsidP="00B94C00">
      <w:pPr>
        <w:jc w:val="both"/>
        <w:rPr>
          <w:b/>
          <w:u w:val="single"/>
        </w:rPr>
      </w:pPr>
    </w:p>
    <w:p w14:paraId="7BF10933" w14:textId="77777777" w:rsidR="002E7D29" w:rsidRPr="00B94C00" w:rsidRDefault="002E7D29" w:rsidP="00B94C00">
      <w:pPr>
        <w:jc w:val="both"/>
        <w:rPr>
          <w:b/>
          <w:u w:val="single"/>
        </w:rPr>
      </w:pPr>
    </w:p>
    <w:p w14:paraId="68FAF21F" w14:textId="77777777" w:rsidR="002E7D29" w:rsidRDefault="002E7D29" w:rsidP="00B94C00">
      <w:pPr>
        <w:jc w:val="both"/>
        <w:rPr>
          <w:b/>
          <w:u w:val="single"/>
        </w:rPr>
      </w:pPr>
    </w:p>
    <w:p w14:paraId="7E276E31" w14:textId="77777777" w:rsidR="00B94C00" w:rsidRDefault="00B94C00" w:rsidP="00B94C00">
      <w:pPr>
        <w:jc w:val="both"/>
        <w:rPr>
          <w:b/>
          <w:u w:val="single"/>
        </w:rPr>
      </w:pPr>
    </w:p>
    <w:p w14:paraId="49BB5353" w14:textId="77777777" w:rsidR="00B94C00" w:rsidRDefault="00B94C00" w:rsidP="00B94C00">
      <w:pPr>
        <w:jc w:val="both"/>
        <w:rPr>
          <w:b/>
          <w:u w:val="single"/>
        </w:rPr>
      </w:pPr>
    </w:p>
    <w:p w14:paraId="32786501" w14:textId="77777777" w:rsidR="00B94C00" w:rsidRDefault="00B94C00" w:rsidP="00B94C00">
      <w:pPr>
        <w:jc w:val="both"/>
        <w:rPr>
          <w:b/>
          <w:u w:val="single"/>
        </w:rPr>
      </w:pPr>
    </w:p>
    <w:p w14:paraId="4FC7A6A3" w14:textId="77777777" w:rsidR="00B94C00" w:rsidRPr="00B94C00" w:rsidRDefault="00B94C00" w:rsidP="00B94C00">
      <w:pPr>
        <w:jc w:val="both"/>
        <w:rPr>
          <w:b/>
          <w:u w:val="single"/>
        </w:rPr>
      </w:pPr>
    </w:p>
    <w:p w14:paraId="39509BCC" w14:textId="77777777" w:rsidR="002E7D29" w:rsidRDefault="002E7D29" w:rsidP="00B94C00">
      <w:pPr>
        <w:jc w:val="both"/>
        <w:rPr>
          <w:b/>
          <w:u w:val="single"/>
        </w:rPr>
      </w:pPr>
    </w:p>
    <w:p w14:paraId="6475C01E" w14:textId="77777777" w:rsidR="00B94C00" w:rsidRPr="00B94C00" w:rsidRDefault="00B94C00" w:rsidP="00B94C00">
      <w:pPr>
        <w:jc w:val="both"/>
        <w:rPr>
          <w:b/>
          <w:u w:val="single"/>
        </w:rPr>
      </w:pPr>
    </w:p>
    <w:p w14:paraId="14582507" w14:textId="77777777" w:rsidR="002E7D29" w:rsidRPr="00B94C00" w:rsidRDefault="002E7D29" w:rsidP="00B94C00">
      <w:pPr>
        <w:jc w:val="both"/>
        <w:rPr>
          <w:b/>
          <w:u w:val="single"/>
        </w:rPr>
      </w:pPr>
    </w:p>
    <w:p w14:paraId="14914720" w14:textId="77777777" w:rsidR="002E7D29" w:rsidRPr="00B94C00" w:rsidRDefault="002E7D29" w:rsidP="00B94C00">
      <w:pPr>
        <w:pStyle w:val="Titre1"/>
        <w:rPr>
          <w:u w:val="single"/>
        </w:rPr>
      </w:pPr>
      <w:bookmarkStart w:id="0" w:name="_Toc500920860"/>
      <w:r w:rsidRPr="00B94C00">
        <w:rPr>
          <w:u w:val="single"/>
        </w:rPr>
        <w:lastRenderedPageBreak/>
        <w:t>INTRODUCTION</w:t>
      </w:r>
      <w:bookmarkEnd w:id="0"/>
    </w:p>
    <w:p w14:paraId="24625857" w14:textId="77777777" w:rsidR="00B94C00" w:rsidRPr="00B94C00" w:rsidRDefault="00B94C00" w:rsidP="00B94C00"/>
    <w:p w14:paraId="6BE3C08B" w14:textId="77777777" w:rsidR="002E7D29" w:rsidRDefault="002E7D29" w:rsidP="00B94C00">
      <w:pPr>
        <w:jc w:val="both"/>
      </w:pPr>
      <w:r w:rsidRPr="00B94C00">
        <w:rPr>
          <w:rStyle w:val="normaltextrun"/>
        </w:rPr>
        <w:t>Le secteur minier occupe depuis plus d’un quart de siècle une place importante dans l’économie malienne</w:t>
      </w:r>
      <w:r w:rsidRPr="00B94C00">
        <w:rPr>
          <w:b/>
        </w:rPr>
        <w:t xml:space="preserve">. </w:t>
      </w:r>
      <w:r w:rsidRPr="00B94C00">
        <w:t xml:space="preserve">Avec la compétition internationale et l’émergence </w:t>
      </w:r>
      <w:r w:rsidRPr="00B94C00">
        <w:rPr>
          <w:rStyle w:val="normaltextrun"/>
        </w:rPr>
        <w:t xml:space="preserve">de nouveaux pays dans le secteur minier, </w:t>
      </w:r>
      <w:r w:rsidRPr="00B94C00">
        <w:t xml:space="preserve">l'exploitation minière malienne se trouve désormais en compétition directe avec des Etats qui, souvent, par leur position géographique, peuvent être beaucoup plus compétitifs et offrir plus d’attractivité pour les investisseurs. </w:t>
      </w:r>
    </w:p>
    <w:p w14:paraId="1B5E8484" w14:textId="77777777" w:rsidR="00B94C00" w:rsidRPr="00B94C00" w:rsidRDefault="00B94C00" w:rsidP="00B94C00">
      <w:pPr>
        <w:jc w:val="both"/>
      </w:pPr>
    </w:p>
    <w:p w14:paraId="140E84B6" w14:textId="77777777" w:rsidR="002E7D29" w:rsidRPr="00B94C00" w:rsidRDefault="002E7D29" w:rsidP="00B94C00">
      <w:pPr>
        <w:jc w:val="both"/>
        <w:rPr>
          <w:rStyle w:val="normaltextrun"/>
          <w:b/>
        </w:rPr>
      </w:pPr>
      <w:r w:rsidRPr="00B94C00">
        <w:rPr>
          <w:rStyle w:val="normaltextrun"/>
        </w:rPr>
        <w:t>Sur le plan international, le secteur minier a fortement évolué depuis 20 ans. De nouvelles questions ont émergé telles que l'environnement ou la juste répartition des revenus issus de l’exploitation minière. Ces évolutions ont donné naissance à des engagements à l’échelle continentale et régionale auxquels le Mali a souscrit et qu’il se doit d’intégrer dans sa politique.</w:t>
      </w:r>
    </w:p>
    <w:p w14:paraId="0C05FBE8" w14:textId="77777777" w:rsidR="002E7D29" w:rsidRDefault="002E7D29" w:rsidP="00B94C00">
      <w:pPr>
        <w:jc w:val="both"/>
        <w:rPr>
          <w:rStyle w:val="normaltextrun"/>
        </w:rPr>
      </w:pPr>
      <w:r w:rsidRPr="00B94C00">
        <w:rPr>
          <w:rStyle w:val="normaltextrun"/>
        </w:rPr>
        <w:t xml:space="preserve">La déclaration de politique minière mise en œuvre jusqu’ici au Mali et dont la conception date de 1998 est axée essentiellement sur le souci d’attirer les investisseurs internationaux, la maximisation de la rente minière et la volonté d’augmenter la contribution du secteur au PIB. </w:t>
      </w:r>
    </w:p>
    <w:p w14:paraId="5C9DB930" w14:textId="77777777" w:rsidR="00B94C00" w:rsidRPr="00B94C00" w:rsidRDefault="00B94C00" w:rsidP="00B94C00">
      <w:pPr>
        <w:jc w:val="both"/>
        <w:rPr>
          <w:rStyle w:val="normaltextrun"/>
        </w:rPr>
      </w:pPr>
    </w:p>
    <w:p w14:paraId="29D65256" w14:textId="77777777" w:rsidR="002E7D29" w:rsidRDefault="002E7D29" w:rsidP="00B94C00">
      <w:pPr>
        <w:jc w:val="both"/>
        <w:rPr>
          <w:rStyle w:val="normaltextrun"/>
        </w:rPr>
      </w:pPr>
      <w:r w:rsidRPr="00B94C00">
        <w:rPr>
          <w:rStyle w:val="normaltextrun"/>
        </w:rPr>
        <w:t>Bien que de nouvelles stratégies et politiques aient été adoptées depuis, elles ne se sont pas traduites dans les faits, à l’exception des réformes successives du code minier qui ne sont pas toujours et nécessairement les reflets des politiques minières en vigueur.</w:t>
      </w:r>
    </w:p>
    <w:p w14:paraId="1E21764D" w14:textId="77777777" w:rsidR="00B94C00" w:rsidRPr="00B94C00" w:rsidRDefault="00B94C00" w:rsidP="00B94C00">
      <w:pPr>
        <w:jc w:val="both"/>
        <w:rPr>
          <w:rStyle w:val="normaltextrun"/>
        </w:rPr>
      </w:pPr>
    </w:p>
    <w:p w14:paraId="04C41F46" w14:textId="77777777" w:rsidR="00B94C00" w:rsidRDefault="002E7D29" w:rsidP="00B94C00">
      <w:pPr>
        <w:jc w:val="both"/>
      </w:pPr>
      <w:r w:rsidRPr="00B94C00">
        <w:rPr>
          <w:rStyle w:val="normaltextrun"/>
        </w:rPr>
        <w:t xml:space="preserve">Autant de constats qui ont conduit le Gouvernement de la République du Mali à s’orienter vers une nouvelle vision selon laquelle </w:t>
      </w:r>
      <w:r w:rsidRPr="00B94C00">
        <w:t>l'activité minière s'inscrira désormais dans un projet de développement durable sur le plan social, économique et environnemental pour l’ensemble du territoire malien avec un accent particulier pour les communautés et régions abritant les sites d’exploitation. Elle ne sera plus considérée comme une activité à part entière déconnectée du reste de l'activité économique nationale.</w:t>
      </w:r>
    </w:p>
    <w:p w14:paraId="72F075DA" w14:textId="77777777" w:rsidR="002E7D29" w:rsidRPr="00B94C00" w:rsidRDefault="002E7D29" w:rsidP="00B94C00">
      <w:pPr>
        <w:jc w:val="both"/>
      </w:pPr>
      <w:r w:rsidRPr="00B94C00">
        <w:t xml:space="preserve"> </w:t>
      </w:r>
    </w:p>
    <w:p w14:paraId="0DE61998" w14:textId="77777777" w:rsidR="00B94C00" w:rsidRDefault="002E7D29" w:rsidP="00B94C00">
      <w:pPr>
        <w:jc w:val="both"/>
      </w:pPr>
      <w:r w:rsidRPr="00B94C00">
        <w:t xml:space="preserve">Il s’est par conséquent avéré nécessaire de doter le Mali d’une politique et une stratégie de développement </w:t>
      </w:r>
      <w:r w:rsidR="0046325A">
        <w:t>des secteurs minier et pétrolier</w:t>
      </w:r>
      <w:r w:rsidR="00DA7A3B">
        <w:t xml:space="preserve"> </w:t>
      </w:r>
      <w:r w:rsidRPr="00B94C00">
        <w:t xml:space="preserve">qui seront institutionnalisées </w:t>
      </w:r>
      <w:r w:rsidRPr="00B94C00">
        <w:rPr>
          <w:b/>
        </w:rPr>
        <w:t>à travers une Loi de Programmation décennale de développement industriel du secteur minier (2018-2028)</w:t>
      </w:r>
      <w:r w:rsidRPr="00B94C00">
        <w:t xml:space="preserve"> définissant très clairement les responsabilités de tous les acteurs intervenant dans le secteur.</w:t>
      </w:r>
    </w:p>
    <w:p w14:paraId="4F709730" w14:textId="77777777" w:rsidR="002E7D29" w:rsidRPr="00B94C00" w:rsidRDefault="002E7D29" w:rsidP="00B94C00">
      <w:pPr>
        <w:jc w:val="both"/>
      </w:pPr>
      <w:r w:rsidRPr="00B94C00">
        <w:t xml:space="preserve"> </w:t>
      </w:r>
    </w:p>
    <w:p w14:paraId="2D64E468" w14:textId="77777777" w:rsidR="002E7D29" w:rsidRDefault="002E7D29" w:rsidP="00B94C00">
      <w:pPr>
        <w:jc w:val="both"/>
      </w:pPr>
      <w:r w:rsidRPr="00B94C00">
        <w:t>Tel est l’objet du présent document, qui devra s’appuyer sur l’existant tant en termes des leçons à tirer des politiques et expériences antérieures qu’en ceux des nombreux rapports, analyse et études réalisées sur le sujet. Les plus-values de ce document de politique viendront de la prise en compte des trois (3) caractéristiques suivantes :</w:t>
      </w:r>
    </w:p>
    <w:p w14:paraId="129B26B3" w14:textId="77777777" w:rsidR="00B94C00" w:rsidRPr="00B94C00" w:rsidRDefault="00B94C00" w:rsidP="00B94C00">
      <w:pPr>
        <w:jc w:val="both"/>
      </w:pPr>
    </w:p>
    <w:p w14:paraId="65286E5A" w14:textId="77777777" w:rsidR="002E7D29" w:rsidRPr="00B94C00" w:rsidRDefault="00D47233" w:rsidP="00B94C00">
      <w:pPr>
        <w:pStyle w:val="Paragraphedeliste"/>
        <w:numPr>
          <w:ilvl w:val="0"/>
          <w:numId w:val="6"/>
        </w:numPr>
        <w:spacing w:after="240"/>
        <w:ind w:left="567" w:hanging="357"/>
        <w:contextualSpacing w:val="0"/>
        <w:jc w:val="both"/>
      </w:pPr>
      <w:proofErr w:type="gramStart"/>
      <w:r w:rsidRPr="00B94C00">
        <w:t>l</w:t>
      </w:r>
      <w:r w:rsidR="002E7D29" w:rsidRPr="00B94C00">
        <w:t>a</w:t>
      </w:r>
      <w:proofErr w:type="gramEnd"/>
      <w:r w:rsidR="002E7D29" w:rsidRPr="00B94C00">
        <w:t xml:space="preserve"> </w:t>
      </w:r>
      <w:r w:rsidRPr="00B94C00">
        <w:t>p</w:t>
      </w:r>
      <w:r w:rsidR="002E7D29" w:rsidRPr="00B94C00">
        <w:t>ertinence des propositions par rapport à l’atteinte effective de la Vision ;</w:t>
      </w:r>
    </w:p>
    <w:p w14:paraId="5B1E5DEB" w14:textId="77777777" w:rsidR="002E7D29" w:rsidRPr="00B94C00" w:rsidRDefault="00D47233" w:rsidP="00B94C00">
      <w:pPr>
        <w:pStyle w:val="Paragraphedeliste"/>
        <w:numPr>
          <w:ilvl w:val="0"/>
          <w:numId w:val="6"/>
        </w:numPr>
        <w:spacing w:after="240"/>
        <w:ind w:left="567" w:hanging="357"/>
        <w:contextualSpacing w:val="0"/>
        <w:jc w:val="both"/>
      </w:pPr>
      <w:proofErr w:type="gramStart"/>
      <w:r w:rsidRPr="00B94C00">
        <w:t>la</w:t>
      </w:r>
      <w:proofErr w:type="gramEnd"/>
      <w:r w:rsidRPr="00B94C00">
        <w:t xml:space="preserve"> c</w:t>
      </w:r>
      <w:r w:rsidR="002E7D29" w:rsidRPr="00B94C00">
        <w:t>ohérence de chacune des propositions par rapport à l’ensemble (en raison des importants liens de cause à effet entre les différents défis à relever) ;</w:t>
      </w:r>
    </w:p>
    <w:p w14:paraId="3705D770" w14:textId="77777777" w:rsidR="002E7D29" w:rsidRPr="00B94C00" w:rsidRDefault="00D47233" w:rsidP="00B94C00">
      <w:pPr>
        <w:pStyle w:val="Paragraphedeliste"/>
        <w:numPr>
          <w:ilvl w:val="0"/>
          <w:numId w:val="6"/>
        </w:numPr>
        <w:spacing w:after="240"/>
        <w:ind w:left="567" w:hanging="357"/>
        <w:contextualSpacing w:val="0"/>
        <w:jc w:val="both"/>
      </w:pPr>
      <w:proofErr w:type="gramStart"/>
      <w:r w:rsidRPr="00B94C00">
        <w:t>la</w:t>
      </w:r>
      <w:proofErr w:type="gramEnd"/>
      <w:r w:rsidRPr="00B94C00">
        <w:t xml:space="preserve"> f</w:t>
      </w:r>
      <w:r w:rsidR="002E7D29" w:rsidRPr="00B94C00">
        <w:t>aisabilité de chaque proposition : aller au-delà des désirs et intentions pour proposer un schéma dont la mise en œuvre est effectivement possible compte tenu des réalités et éventuelles contraintes.</w:t>
      </w:r>
    </w:p>
    <w:p w14:paraId="7626C012" w14:textId="77777777" w:rsidR="002E7D29" w:rsidRPr="00B94C00" w:rsidRDefault="002E7D29" w:rsidP="00B94C00">
      <w:pPr>
        <w:jc w:val="both"/>
        <w:rPr>
          <w:b/>
          <w:u w:val="single"/>
        </w:rPr>
      </w:pPr>
    </w:p>
    <w:p w14:paraId="47A37151" w14:textId="77777777" w:rsidR="002E7D29" w:rsidRPr="00B94C00" w:rsidRDefault="002E7D29" w:rsidP="00B94C00">
      <w:pPr>
        <w:pStyle w:val="Titre1"/>
        <w:rPr>
          <w:u w:val="single"/>
        </w:rPr>
      </w:pPr>
      <w:bookmarkStart w:id="1" w:name="_Toc500920861"/>
      <w:r w:rsidRPr="00B94C00">
        <w:rPr>
          <w:u w:val="single"/>
        </w:rPr>
        <w:lastRenderedPageBreak/>
        <w:t>I. CONTEXTE</w:t>
      </w:r>
      <w:bookmarkEnd w:id="1"/>
    </w:p>
    <w:p w14:paraId="643F1727" w14:textId="77777777" w:rsidR="00B94C00" w:rsidRDefault="00B94C00" w:rsidP="00B94C00">
      <w:pPr>
        <w:jc w:val="both"/>
      </w:pPr>
    </w:p>
    <w:p w14:paraId="63680E21" w14:textId="77777777" w:rsidR="002E7D29" w:rsidRDefault="002E7D29" w:rsidP="00B94C00">
      <w:pPr>
        <w:jc w:val="both"/>
      </w:pPr>
      <w:r w:rsidRPr="00B94C00">
        <w:t>S’étendant sur une superficie de 1.241.238 km</w:t>
      </w:r>
      <w:r w:rsidRPr="00B94C00">
        <w:rPr>
          <w:vertAlign w:val="superscript"/>
        </w:rPr>
        <w:t>2</w:t>
      </w:r>
      <w:r w:rsidRPr="00B94C00">
        <w:t>, le Mali est un pays continental de l’Afrique de l’ouest, avec un millier de kilomètres le séparant du port maritime le plus proche. Il a une population d’environ 1</w:t>
      </w:r>
      <w:r w:rsidR="00480600" w:rsidRPr="00B94C00">
        <w:t>8,876</w:t>
      </w:r>
      <w:r w:rsidRPr="00B94C00">
        <w:t xml:space="preserve"> millions d’habitants</w:t>
      </w:r>
      <w:r w:rsidR="00BD6448" w:rsidRPr="00B94C00">
        <w:t xml:space="preserve"> en 2017</w:t>
      </w:r>
      <w:r w:rsidR="00BD6448" w:rsidRPr="00B94C00">
        <w:rPr>
          <w:rStyle w:val="Appelnotedebasdep"/>
        </w:rPr>
        <w:footnoteReference w:id="1"/>
      </w:r>
      <w:r w:rsidRPr="00B94C00">
        <w:t xml:space="preserve">, avec un taux de croissance annuel de </w:t>
      </w:r>
      <w:r w:rsidR="00480600" w:rsidRPr="00B94C00">
        <w:t>2,84</w:t>
      </w:r>
      <w:r w:rsidRPr="00B94C00">
        <w:t xml:space="preserve"> %.</w:t>
      </w:r>
    </w:p>
    <w:p w14:paraId="29F2F576" w14:textId="77777777" w:rsidR="00B94C00" w:rsidRPr="00B94C00" w:rsidRDefault="00B94C00" w:rsidP="00B94C00">
      <w:pPr>
        <w:jc w:val="both"/>
      </w:pPr>
    </w:p>
    <w:p w14:paraId="68BF71CD" w14:textId="77777777" w:rsidR="002E7D29" w:rsidRDefault="002E7D29" w:rsidP="00B94C00">
      <w:pPr>
        <w:jc w:val="both"/>
      </w:pPr>
      <w:r w:rsidRPr="00B94C00">
        <w:t>Le Mali présente une économie essentiellement rurale avec près de 70% de sa population vivant de l’agriculture. La filière coton, après avoir dominé l’activité économique pendant plus d’une décennie, a enregistré des signes de relative récession malgré les mesures de restructuration mises en œuvre.</w:t>
      </w:r>
    </w:p>
    <w:p w14:paraId="137DBFAF" w14:textId="77777777" w:rsidR="00B94C00" w:rsidRPr="00B94C00" w:rsidRDefault="00B94C00" w:rsidP="00B94C00">
      <w:pPr>
        <w:jc w:val="both"/>
      </w:pPr>
    </w:p>
    <w:p w14:paraId="5A2F59DD" w14:textId="77777777" w:rsidR="00E71B4A" w:rsidRDefault="00E71B4A" w:rsidP="00B94C00">
      <w:pPr>
        <w:jc w:val="both"/>
      </w:pPr>
      <w:r w:rsidRPr="00B94C00">
        <w:t xml:space="preserve">Cependant, depuis plus de </w:t>
      </w:r>
      <w:r w:rsidR="00E31818" w:rsidRPr="00B94C00">
        <w:t xml:space="preserve">quinze </w:t>
      </w:r>
      <w:r w:rsidRPr="00B94C00">
        <w:t xml:space="preserve">années maintenant, le secteur minier </w:t>
      </w:r>
      <w:r w:rsidR="00E31818" w:rsidRPr="00B94C00">
        <w:t>a connu un essor considérable au point de devenir depuis, le premier produit d’exportation du pays.</w:t>
      </w:r>
    </w:p>
    <w:p w14:paraId="65976373" w14:textId="77777777" w:rsidR="00B94C00" w:rsidRPr="00B94C00" w:rsidRDefault="00B94C00" w:rsidP="00B94C00">
      <w:pPr>
        <w:jc w:val="both"/>
      </w:pPr>
    </w:p>
    <w:p w14:paraId="7BCF2FC1" w14:textId="77777777" w:rsidR="00E71B4A" w:rsidRDefault="00E71B4A" w:rsidP="00B94C00">
      <w:pPr>
        <w:pStyle w:val="Corpsdetexte"/>
        <w:spacing w:before="0" w:beforeAutospacing="0" w:after="0" w:afterAutospacing="0" w:line="240" w:lineRule="auto"/>
        <w:contextualSpacing/>
        <w:jc w:val="both"/>
        <w:rPr>
          <w:rFonts w:ascii="Times New Roman" w:hAnsi="Times New Roman"/>
          <w:color w:val="auto"/>
          <w:lang w:eastAsia="fr-FR" w:bidi="ar-SA"/>
        </w:rPr>
      </w:pPr>
      <w:r w:rsidRPr="00B94C00">
        <w:rPr>
          <w:rFonts w:ascii="Times New Roman" w:hAnsi="Times New Roman"/>
          <w:color w:val="auto"/>
          <w:lang w:eastAsia="fr-FR" w:bidi="ar-SA"/>
        </w:rPr>
        <w:t>Conscient de l’opportunité que représente le secteur minier dans le processus de développement du Mali, les gouvernements successifs du Mali ont toujours assigné au secteur minier l’objectif de contribuer à l’accroissement substantiel du Produit Intérieur Brut dont la stratégie de Développement doit viser aussi et surtout l’amélioration significative et durable des conditions de vie des populations maliennes en générale, en commençant par les populations directement affectées par l’activité minière à travers les différentes déclaration de politique minière dont la dernière remonte en 1998 .</w:t>
      </w:r>
    </w:p>
    <w:p w14:paraId="5667FE6A" w14:textId="77777777" w:rsidR="00B94C00" w:rsidRPr="00B94C00" w:rsidRDefault="00B94C00" w:rsidP="00B94C00">
      <w:pPr>
        <w:pStyle w:val="Corpsdetexte"/>
        <w:spacing w:before="0" w:beforeAutospacing="0" w:after="0" w:afterAutospacing="0" w:line="240" w:lineRule="auto"/>
        <w:contextualSpacing/>
        <w:jc w:val="both"/>
        <w:rPr>
          <w:rFonts w:ascii="Times New Roman" w:hAnsi="Times New Roman"/>
          <w:color w:val="auto"/>
          <w:lang w:eastAsia="fr-FR" w:bidi="ar-SA"/>
        </w:rPr>
      </w:pPr>
    </w:p>
    <w:p w14:paraId="6E9819B9" w14:textId="77777777" w:rsidR="002E7D29" w:rsidRDefault="002E7D29" w:rsidP="00B94C00">
      <w:pPr>
        <w:jc w:val="both"/>
      </w:pPr>
      <w:r w:rsidRPr="00B94C00">
        <w:t>Cela reposait sur le postulat que le sous-sol malien renferme des réserves prouvées de minerais tels que le fer, le manganèse, le phosphate, la bauxite, l’uranium, etc. encore pas ou très peu exploités. (Cf tableau ci-dessous).</w:t>
      </w:r>
    </w:p>
    <w:p w14:paraId="5C1FB9A7" w14:textId="77777777" w:rsidR="00B94C00" w:rsidRPr="00B94C00" w:rsidRDefault="00B94C00" w:rsidP="00B94C00">
      <w:pPr>
        <w:jc w:val="both"/>
      </w:pPr>
    </w:p>
    <w:p w14:paraId="482227CA" w14:textId="77777777" w:rsidR="002E7D29" w:rsidRPr="00B94C00" w:rsidRDefault="002E7D29" w:rsidP="00B94C00">
      <w:pPr>
        <w:jc w:val="both"/>
        <w:rPr>
          <w:u w:val="single"/>
        </w:rPr>
      </w:pPr>
      <w:r w:rsidRPr="00B94C00">
        <w:rPr>
          <w:u w:val="single"/>
        </w:rPr>
        <w:t xml:space="preserve"> Synthèse du potentiel minier et pétrolier </w:t>
      </w:r>
    </w:p>
    <w:tbl>
      <w:tblPr>
        <w:tblW w:w="0" w:type="auto"/>
        <w:tblInd w:w="108" w:type="dxa"/>
        <w:tblBorders>
          <w:top w:val="single" w:sz="18" w:space="0" w:color="7F7F7F"/>
          <w:left w:val="single" w:sz="4" w:space="0" w:color="7F7F7F"/>
          <w:bottom w:val="single" w:sz="18"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3077"/>
        <w:gridCol w:w="1079"/>
        <w:gridCol w:w="1692"/>
        <w:gridCol w:w="3232"/>
      </w:tblGrid>
      <w:tr w:rsidR="00B94C00" w:rsidRPr="00B94C00" w14:paraId="4E891B87" w14:textId="77777777" w:rsidTr="00C55DDD">
        <w:trPr>
          <w:trHeight w:val="251"/>
        </w:trPr>
        <w:tc>
          <w:tcPr>
            <w:tcW w:w="3077" w:type="dxa"/>
            <w:shd w:val="clear" w:color="auto" w:fill="auto"/>
            <w:vAlign w:val="center"/>
          </w:tcPr>
          <w:p w14:paraId="615D4E57" w14:textId="77777777" w:rsidR="002E7D29" w:rsidRPr="00B94C00" w:rsidRDefault="002E7D29" w:rsidP="00B94C00">
            <w:pPr>
              <w:jc w:val="both"/>
              <w:rPr>
                <w:b/>
              </w:rPr>
            </w:pPr>
            <w:r w:rsidRPr="00B94C00">
              <w:rPr>
                <w:b/>
              </w:rPr>
              <w:t>Substances</w:t>
            </w:r>
          </w:p>
        </w:tc>
        <w:tc>
          <w:tcPr>
            <w:tcW w:w="1079" w:type="dxa"/>
            <w:shd w:val="clear" w:color="auto" w:fill="auto"/>
            <w:vAlign w:val="center"/>
          </w:tcPr>
          <w:p w14:paraId="53935744" w14:textId="77777777" w:rsidR="002E7D29" w:rsidRPr="00B94C00" w:rsidRDefault="002E7D29" w:rsidP="00B94C00">
            <w:pPr>
              <w:jc w:val="both"/>
              <w:rPr>
                <w:b/>
              </w:rPr>
            </w:pPr>
            <w:r w:rsidRPr="00B94C00">
              <w:rPr>
                <w:b/>
              </w:rPr>
              <w:t>Unités</w:t>
            </w:r>
          </w:p>
        </w:tc>
        <w:tc>
          <w:tcPr>
            <w:tcW w:w="1692" w:type="dxa"/>
            <w:shd w:val="clear" w:color="auto" w:fill="auto"/>
            <w:vAlign w:val="center"/>
          </w:tcPr>
          <w:p w14:paraId="5687A89D" w14:textId="77777777" w:rsidR="002E7D29" w:rsidRPr="00B94C00" w:rsidRDefault="002E7D29" w:rsidP="00B94C00">
            <w:pPr>
              <w:ind w:right="176"/>
              <w:jc w:val="both"/>
              <w:rPr>
                <w:b/>
              </w:rPr>
            </w:pPr>
            <w:r w:rsidRPr="00B94C00">
              <w:rPr>
                <w:b/>
              </w:rPr>
              <w:t>Potentiels</w:t>
            </w:r>
          </w:p>
        </w:tc>
        <w:tc>
          <w:tcPr>
            <w:tcW w:w="3232" w:type="dxa"/>
            <w:shd w:val="clear" w:color="auto" w:fill="auto"/>
            <w:vAlign w:val="center"/>
          </w:tcPr>
          <w:p w14:paraId="2D5C71DE" w14:textId="77777777" w:rsidR="002E7D29" w:rsidRPr="00B94C00" w:rsidRDefault="002E7D29" w:rsidP="00B94C00">
            <w:pPr>
              <w:jc w:val="both"/>
              <w:rPr>
                <w:b/>
              </w:rPr>
            </w:pPr>
            <w:r w:rsidRPr="00B94C00">
              <w:rPr>
                <w:b/>
              </w:rPr>
              <w:t>Zones</w:t>
            </w:r>
          </w:p>
        </w:tc>
      </w:tr>
      <w:tr w:rsidR="00B94C00" w:rsidRPr="00B94C00" w14:paraId="5D2958CE" w14:textId="77777777" w:rsidTr="00C55DDD">
        <w:trPr>
          <w:trHeight w:val="251"/>
        </w:trPr>
        <w:tc>
          <w:tcPr>
            <w:tcW w:w="3077" w:type="dxa"/>
            <w:shd w:val="clear" w:color="auto" w:fill="auto"/>
            <w:vAlign w:val="center"/>
          </w:tcPr>
          <w:p w14:paraId="7CF1E7A0" w14:textId="77777777" w:rsidR="002E7D29" w:rsidRPr="00B94C00" w:rsidRDefault="002E7D29" w:rsidP="00B94C00">
            <w:r w:rsidRPr="00B94C00">
              <w:t>Or</w:t>
            </w:r>
            <w:r w:rsidRPr="00B94C00">
              <w:rPr>
                <w:rStyle w:val="Appelnotedebasdep"/>
              </w:rPr>
              <w:footnoteReference w:id="2"/>
            </w:r>
          </w:p>
        </w:tc>
        <w:tc>
          <w:tcPr>
            <w:tcW w:w="1079" w:type="dxa"/>
            <w:shd w:val="clear" w:color="auto" w:fill="auto"/>
            <w:vAlign w:val="center"/>
          </w:tcPr>
          <w:p w14:paraId="674FE04E" w14:textId="77777777" w:rsidR="002E7D29" w:rsidRPr="00B94C00" w:rsidRDefault="002E7D29" w:rsidP="00B94C00">
            <w:pPr>
              <w:jc w:val="both"/>
            </w:pPr>
            <w:r w:rsidRPr="00B94C00">
              <w:t>Tonnes</w:t>
            </w:r>
          </w:p>
        </w:tc>
        <w:tc>
          <w:tcPr>
            <w:tcW w:w="1692" w:type="dxa"/>
            <w:shd w:val="clear" w:color="auto" w:fill="auto"/>
            <w:vAlign w:val="center"/>
          </w:tcPr>
          <w:p w14:paraId="7E5D01D9" w14:textId="77777777" w:rsidR="002E7D29" w:rsidRPr="00B94C00" w:rsidRDefault="002E7D29" w:rsidP="00B94C00">
            <w:pPr>
              <w:ind w:right="176"/>
              <w:jc w:val="both"/>
            </w:pPr>
            <w:r w:rsidRPr="00B94C00">
              <w:t>7000</w:t>
            </w:r>
          </w:p>
        </w:tc>
        <w:tc>
          <w:tcPr>
            <w:tcW w:w="3232" w:type="dxa"/>
            <w:shd w:val="clear" w:color="auto" w:fill="auto"/>
            <w:vAlign w:val="center"/>
          </w:tcPr>
          <w:p w14:paraId="511CE927" w14:textId="77777777" w:rsidR="002E7D29" w:rsidRPr="00B94C00" w:rsidRDefault="002E7D29" w:rsidP="00B94C00">
            <w:r w:rsidRPr="00B94C00">
              <w:t>Régions Kayes, Sikasso et Koulikoro</w:t>
            </w:r>
          </w:p>
        </w:tc>
      </w:tr>
      <w:tr w:rsidR="00B94C00" w:rsidRPr="00B94C00" w14:paraId="67793F9C" w14:textId="77777777" w:rsidTr="00C55DDD">
        <w:trPr>
          <w:trHeight w:val="251"/>
        </w:trPr>
        <w:tc>
          <w:tcPr>
            <w:tcW w:w="3077" w:type="dxa"/>
            <w:shd w:val="clear" w:color="auto" w:fill="auto"/>
            <w:vAlign w:val="center"/>
          </w:tcPr>
          <w:p w14:paraId="1640B64C" w14:textId="77777777" w:rsidR="002E7D29" w:rsidRPr="00B94C00" w:rsidRDefault="002E7D29" w:rsidP="00B94C00">
            <w:pPr>
              <w:jc w:val="both"/>
            </w:pPr>
            <w:r w:rsidRPr="00B94C00">
              <w:t xml:space="preserve">Schistes bitumineux </w:t>
            </w:r>
            <w:r w:rsidRPr="00B94C00">
              <w:rPr>
                <w:rStyle w:val="Appelnotedebasdep"/>
              </w:rPr>
              <w:footnoteReference w:id="3"/>
            </w:r>
          </w:p>
        </w:tc>
        <w:tc>
          <w:tcPr>
            <w:tcW w:w="1079" w:type="dxa"/>
            <w:shd w:val="clear" w:color="auto" w:fill="auto"/>
            <w:vAlign w:val="center"/>
          </w:tcPr>
          <w:p w14:paraId="4B9E44D2" w14:textId="77777777" w:rsidR="002E7D29" w:rsidRPr="00B94C00" w:rsidRDefault="002E7D29" w:rsidP="00B94C00">
            <w:pPr>
              <w:jc w:val="both"/>
            </w:pPr>
            <w:r w:rsidRPr="00B94C00">
              <w:t>Tonnes</w:t>
            </w:r>
          </w:p>
        </w:tc>
        <w:tc>
          <w:tcPr>
            <w:tcW w:w="1692" w:type="dxa"/>
            <w:shd w:val="clear" w:color="auto" w:fill="auto"/>
            <w:vAlign w:val="center"/>
          </w:tcPr>
          <w:p w14:paraId="11C30382" w14:textId="77777777" w:rsidR="002E7D29" w:rsidRPr="00B94C00" w:rsidRDefault="002E7D29" w:rsidP="00B94C00">
            <w:pPr>
              <w:ind w:right="176"/>
              <w:jc w:val="both"/>
            </w:pPr>
            <w:r w:rsidRPr="00B94C00">
              <w:t>10 milliards</w:t>
            </w:r>
          </w:p>
        </w:tc>
        <w:tc>
          <w:tcPr>
            <w:tcW w:w="3232" w:type="dxa"/>
            <w:shd w:val="clear" w:color="auto" w:fill="auto"/>
            <w:vAlign w:val="center"/>
          </w:tcPr>
          <w:p w14:paraId="016A5631" w14:textId="77777777" w:rsidR="002E7D29" w:rsidRPr="00B94C00" w:rsidRDefault="0082789C" w:rsidP="00B94C00">
            <w:proofErr w:type="spellStart"/>
            <w:r w:rsidRPr="00B94C00">
              <w:t>Agamor</w:t>
            </w:r>
            <w:proofErr w:type="spellEnd"/>
          </w:p>
        </w:tc>
      </w:tr>
      <w:tr w:rsidR="00B94C00" w:rsidRPr="00B94C00" w14:paraId="0CCB27D5" w14:textId="77777777" w:rsidTr="00C55DDD">
        <w:trPr>
          <w:trHeight w:val="251"/>
        </w:trPr>
        <w:tc>
          <w:tcPr>
            <w:tcW w:w="3077" w:type="dxa"/>
            <w:shd w:val="clear" w:color="auto" w:fill="auto"/>
            <w:vAlign w:val="center"/>
          </w:tcPr>
          <w:p w14:paraId="318A2B26" w14:textId="77777777" w:rsidR="002E7D29" w:rsidRPr="00B94C00" w:rsidRDefault="002E7D29" w:rsidP="00B94C00">
            <w:pPr>
              <w:jc w:val="both"/>
            </w:pPr>
            <w:r w:rsidRPr="00B94C00">
              <w:t xml:space="preserve">Fer </w:t>
            </w:r>
          </w:p>
        </w:tc>
        <w:tc>
          <w:tcPr>
            <w:tcW w:w="1079" w:type="dxa"/>
            <w:shd w:val="clear" w:color="auto" w:fill="auto"/>
            <w:vAlign w:val="center"/>
          </w:tcPr>
          <w:p w14:paraId="1CA63031" w14:textId="77777777" w:rsidR="002E7D29" w:rsidRPr="00B94C00" w:rsidRDefault="002E7D29" w:rsidP="00B94C00">
            <w:pPr>
              <w:jc w:val="both"/>
            </w:pPr>
            <w:r w:rsidRPr="00B94C00">
              <w:t>Tonnes</w:t>
            </w:r>
          </w:p>
        </w:tc>
        <w:tc>
          <w:tcPr>
            <w:tcW w:w="1692" w:type="dxa"/>
            <w:shd w:val="clear" w:color="auto" w:fill="auto"/>
            <w:vAlign w:val="center"/>
          </w:tcPr>
          <w:p w14:paraId="2E93840B" w14:textId="77777777" w:rsidR="002E7D29" w:rsidRPr="00B94C00" w:rsidRDefault="002E7D29" w:rsidP="00B94C00">
            <w:pPr>
              <w:ind w:right="176"/>
              <w:jc w:val="both"/>
            </w:pPr>
            <w:r w:rsidRPr="00B94C00">
              <w:t xml:space="preserve">2 milliards </w:t>
            </w:r>
          </w:p>
        </w:tc>
        <w:tc>
          <w:tcPr>
            <w:tcW w:w="3232" w:type="dxa"/>
            <w:shd w:val="clear" w:color="auto" w:fill="auto"/>
            <w:vAlign w:val="center"/>
          </w:tcPr>
          <w:p w14:paraId="6C3D7555" w14:textId="77777777" w:rsidR="002E7D29" w:rsidRPr="00B94C00" w:rsidRDefault="002E7D29" w:rsidP="00B94C00">
            <w:pPr>
              <w:jc w:val="both"/>
              <w:rPr>
                <w:b/>
                <w:i/>
              </w:rPr>
            </w:pPr>
            <w:r w:rsidRPr="00B94C00">
              <w:t xml:space="preserve">Kita, </w:t>
            </w:r>
            <w:proofErr w:type="spellStart"/>
            <w:r w:rsidRPr="00B94C00">
              <w:t>Naréna</w:t>
            </w:r>
            <w:proofErr w:type="spellEnd"/>
          </w:p>
        </w:tc>
      </w:tr>
      <w:tr w:rsidR="00B94C00" w:rsidRPr="00B94C00" w14:paraId="0CFFE9F9" w14:textId="77777777" w:rsidTr="00C55DDD">
        <w:trPr>
          <w:trHeight w:val="251"/>
        </w:trPr>
        <w:tc>
          <w:tcPr>
            <w:tcW w:w="3077" w:type="dxa"/>
            <w:shd w:val="clear" w:color="auto" w:fill="auto"/>
            <w:vAlign w:val="center"/>
          </w:tcPr>
          <w:p w14:paraId="68C3C3DC" w14:textId="77777777" w:rsidR="002E7D29" w:rsidRPr="00B94C00" w:rsidRDefault="002E7D29" w:rsidP="00B94C00">
            <w:pPr>
              <w:jc w:val="both"/>
            </w:pPr>
            <w:r w:rsidRPr="00B94C00">
              <w:t xml:space="preserve">Bauxite </w:t>
            </w:r>
          </w:p>
        </w:tc>
        <w:tc>
          <w:tcPr>
            <w:tcW w:w="1079" w:type="dxa"/>
            <w:shd w:val="clear" w:color="auto" w:fill="auto"/>
            <w:vAlign w:val="center"/>
          </w:tcPr>
          <w:p w14:paraId="393DB294" w14:textId="77777777" w:rsidR="002E7D29" w:rsidRPr="00B94C00" w:rsidRDefault="002E7D29" w:rsidP="00B94C00">
            <w:pPr>
              <w:jc w:val="both"/>
            </w:pPr>
            <w:r w:rsidRPr="00B94C00">
              <w:t>Tonnes</w:t>
            </w:r>
          </w:p>
        </w:tc>
        <w:tc>
          <w:tcPr>
            <w:tcW w:w="1692" w:type="dxa"/>
            <w:shd w:val="clear" w:color="auto" w:fill="auto"/>
            <w:vAlign w:val="center"/>
          </w:tcPr>
          <w:p w14:paraId="0EF8A193" w14:textId="77777777" w:rsidR="002E7D29" w:rsidRPr="00B94C00" w:rsidRDefault="002E7D29" w:rsidP="00B94C00">
            <w:pPr>
              <w:ind w:right="176"/>
              <w:jc w:val="both"/>
            </w:pPr>
            <w:r w:rsidRPr="00B94C00">
              <w:t>1,2 milliard</w:t>
            </w:r>
          </w:p>
        </w:tc>
        <w:tc>
          <w:tcPr>
            <w:tcW w:w="3232" w:type="dxa"/>
            <w:shd w:val="clear" w:color="auto" w:fill="auto"/>
            <w:vAlign w:val="center"/>
          </w:tcPr>
          <w:p w14:paraId="735B34A7" w14:textId="77777777" w:rsidR="002E7D29" w:rsidRPr="00B94C00" w:rsidRDefault="002E7D29" w:rsidP="00B94C00">
            <w:pPr>
              <w:jc w:val="both"/>
              <w:rPr>
                <w:b/>
                <w:i/>
              </w:rPr>
            </w:pPr>
            <w:r w:rsidRPr="00B94C00">
              <w:t>Kayes, et Ouest de Bamako</w:t>
            </w:r>
          </w:p>
        </w:tc>
      </w:tr>
      <w:tr w:rsidR="00B94C00" w:rsidRPr="00B94C00" w14:paraId="3B2BDDF2" w14:textId="77777777" w:rsidTr="00C55DDD">
        <w:trPr>
          <w:trHeight w:val="251"/>
        </w:trPr>
        <w:tc>
          <w:tcPr>
            <w:tcW w:w="3077" w:type="dxa"/>
            <w:shd w:val="clear" w:color="auto" w:fill="auto"/>
            <w:vAlign w:val="center"/>
          </w:tcPr>
          <w:p w14:paraId="50BFC04F" w14:textId="77777777" w:rsidR="002E7D29" w:rsidRPr="00B94C00" w:rsidRDefault="002E7D29" w:rsidP="00B94C00">
            <w:pPr>
              <w:jc w:val="both"/>
            </w:pPr>
            <w:r w:rsidRPr="00B94C00">
              <w:t xml:space="preserve">Marbre </w:t>
            </w:r>
          </w:p>
        </w:tc>
        <w:tc>
          <w:tcPr>
            <w:tcW w:w="1079" w:type="dxa"/>
            <w:shd w:val="clear" w:color="auto" w:fill="auto"/>
            <w:vAlign w:val="center"/>
          </w:tcPr>
          <w:p w14:paraId="67418225" w14:textId="77777777" w:rsidR="002E7D29" w:rsidRPr="00B94C00" w:rsidRDefault="002E7D29" w:rsidP="00B94C00">
            <w:pPr>
              <w:jc w:val="both"/>
            </w:pPr>
            <w:r w:rsidRPr="00B94C00">
              <w:t>Tonnes</w:t>
            </w:r>
          </w:p>
        </w:tc>
        <w:tc>
          <w:tcPr>
            <w:tcW w:w="1692" w:type="dxa"/>
            <w:shd w:val="clear" w:color="auto" w:fill="auto"/>
            <w:vAlign w:val="center"/>
          </w:tcPr>
          <w:p w14:paraId="572AB169" w14:textId="77777777" w:rsidR="002E7D29" w:rsidRPr="00B94C00" w:rsidRDefault="002E7D29" w:rsidP="00B94C00">
            <w:pPr>
              <w:ind w:right="176"/>
              <w:jc w:val="both"/>
            </w:pPr>
            <w:r w:rsidRPr="00B94C00">
              <w:t xml:space="preserve">60 millions </w:t>
            </w:r>
          </w:p>
        </w:tc>
        <w:tc>
          <w:tcPr>
            <w:tcW w:w="3232" w:type="dxa"/>
            <w:shd w:val="clear" w:color="auto" w:fill="auto"/>
            <w:vAlign w:val="center"/>
          </w:tcPr>
          <w:p w14:paraId="1BE4FF89" w14:textId="77777777" w:rsidR="002E7D29" w:rsidRPr="00B94C00" w:rsidRDefault="002E7D29" w:rsidP="00B94C00">
            <w:pPr>
              <w:jc w:val="both"/>
            </w:pPr>
            <w:proofErr w:type="spellStart"/>
            <w:r w:rsidRPr="00B94C00">
              <w:t>Bafoulabé</w:t>
            </w:r>
            <w:proofErr w:type="spellEnd"/>
          </w:p>
        </w:tc>
      </w:tr>
      <w:tr w:rsidR="00B94C00" w:rsidRPr="00B94C00" w14:paraId="4867F92B" w14:textId="77777777" w:rsidTr="00C55DDD">
        <w:trPr>
          <w:trHeight w:val="251"/>
        </w:trPr>
        <w:tc>
          <w:tcPr>
            <w:tcW w:w="3077" w:type="dxa"/>
            <w:shd w:val="clear" w:color="auto" w:fill="auto"/>
            <w:vAlign w:val="center"/>
          </w:tcPr>
          <w:p w14:paraId="1CEE6914" w14:textId="77777777" w:rsidR="002E7D29" w:rsidRPr="00B94C00" w:rsidRDefault="002E7D29" w:rsidP="00B94C00">
            <w:pPr>
              <w:jc w:val="both"/>
            </w:pPr>
            <w:r w:rsidRPr="00B94C00">
              <w:t xml:space="preserve">Sel gemme </w:t>
            </w:r>
          </w:p>
        </w:tc>
        <w:tc>
          <w:tcPr>
            <w:tcW w:w="1079" w:type="dxa"/>
            <w:shd w:val="clear" w:color="auto" w:fill="auto"/>
            <w:vAlign w:val="center"/>
          </w:tcPr>
          <w:p w14:paraId="0141E7C8" w14:textId="77777777" w:rsidR="002E7D29" w:rsidRPr="00B94C00" w:rsidRDefault="002E7D29" w:rsidP="00B94C00">
            <w:pPr>
              <w:jc w:val="both"/>
            </w:pPr>
            <w:r w:rsidRPr="00B94C00">
              <w:t>Tonnes</w:t>
            </w:r>
          </w:p>
        </w:tc>
        <w:tc>
          <w:tcPr>
            <w:tcW w:w="1692" w:type="dxa"/>
            <w:shd w:val="clear" w:color="auto" w:fill="auto"/>
            <w:vAlign w:val="center"/>
          </w:tcPr>
          <w:p w14:paraId="58658A05" w14:textId="77777777" w:rsidR="002E7D29" w:rsidRPr="00B94C00" w:rsidRDefault="002E7D29" w:rsidP="00B94C00">
            <w:pPr>
              <w:ind w:right="176"/>
              <w:jc w:val="both"/>
            </w:pPr>
            <w:r w:rsidRPr="00B94C00">
              <w:t>53 millions</w:t>
            </w:r>
          </w:p>
        </w:tc>
        <w:tc>
          <w:tcPr>
            <w:tcW w:w="3232" w:type="dxa"/>
            <w:shd w:val="clear" w:color="auto" w:fill="auto"/>
            <w:vAlign w:val="center"/>
          </w:tcPr>
          <w:p w14:paraId="4A6CBBA8" w14:textId="77777777" w:rsidR="002E7D29" w:rsidRPr="00B94C00" w:rsidRDefault="002E7D29" w:rsidP="00B94C00">
            <w:pPr>
              <w:jc w:val="both"/>
              <w:rPr>
                <w:b/>
                <w:i/>
              </w:rPr>
            </w:pPr>
            <w:r w:rsidRPr="00B94C00">
              <w:t>Taoudéni</w:t>
            </w:r>
          </w:p>
        </w:tc>
      </w:tr>
      <w:tr w:rsidR="00B94C00" w:rsidRPr="00B94C00" w14:paraId="6C4FD856" w14:textId="77777777" w:rsidTr="00C55DDD">
        <w:trPr>
          <w:trHeight w:val="251"/>
        </w:trPr>
        <w:tc>
          <w:tcPr>
            <w:tcW w:w="3077" w:type="dxa"/>
            <w:shd w:val="clear" w:color="auto" w:fill="auto"/>
            <w:vAlign w:val="center"/>
          </w:tcPr>
          <w:p w14:paraId="57CEB7FE" w14:textId="77777777" w:rsidR="002E7D29" w:rsidRPr="00B94C00" w:rsidRDefault="002E7D29" w:rsidP="00B94C00">
            <w:pPr>
              <w:jc w:val="both"/>
            </w:pPr>
            <w:r w:rsidRPr="00B94C00">
              <w:t xml:space="preserve">Calcaire </w:t>
            </w:r>
          </w:p>
        </w:tc>
        <w:tc>
          <w:tcPr>
            <w:tcW w:w="1079" w:type="dxa"/>
            <w:shd w:val="clear" w:color="auto" w:fill="auto"/>
            <w:vAlign w:val="center"/>
          </w:tcPr>
          <w:p w14:paraId="30756F27" w14:textId="77777777" w:rsidR="002E7D29" w:rsidRPr="00B94C00" w:rsidRDefault="002E7D29" w:rsidP="00B94C00">
            <w:pPr>
              <w:jc w:val="both"/>
            </w:pPr>
            <w:r w:rsidRPr="00B94C00">
              <w:t>Tonnes</w:t>
            </w:r>
          </w:p>
        </w:tc>
        <w:tc>
          <w:tcPr>
            <w:tcW w:w="1692" w:type="dxa"/>
            <w:shd w:val="clear" w:color="auto" w:fill="auto"/>
            <w:vAlign w:val="center"/>
          </w:tcPr>
          <w:p w14:paraId="243609E1" w14:textId="77777777" w:rsidR="002E7D29" w:rsidRPr="00B94C00" w:rsidRDefault="002E7D29" w:rsidP="00B94C00">
            <w:pPr>
              <w:ind w:right="176"/>
              <w:jc w:val="both"/>
            </w:pPr>
            <w:r w:rsidRPr="00B94C00">
              <w:t>40 millions</w:t>
            </w:r>
          </w:p>
        </w:tc>
        <w:tc>
          <w:tcPr>
            <w:tcW w:w="3232" w:type="dxa"/>
            <w:shd w:val="clear" w:color="auto" w:fill="auto"/>
            <w:vAlign w:val="center"/>
          </w:tcPr>
          <w:p w14:paraId="4825C6FE" w14:textId="77777777" w:rsidR="002E7D29" w:rsidRPr="00B94C00" w:rsidRDefault="002E7D29" w:rsidP="00B94C00">
            <w:pPr>
              <w:jc w:val="both"/>
              <w:rPr>
                <w:b/>
                <w:i/>
              </w:rPr>
            </w:pPr>
            <w:proofErr w:type="spellStart"/>
            <w:r w:rsidRPr="00B94C00">
              <w:t>Bafoulabé</w:t>
            </w:r>
            <w:proofErr w:type="spellEnd"/>
            <w:r w:rsidRPr="00B94C00">
              <w:t xml:space="preserve">, </w:t>
            </w:r>
            <w:proofErr w:type="spellStart"/>
            <w:r w:rsidRPr="00B94C00">
              <w:t>Hombori</w:t>
            </w:r>
            <w:proofErr w:type="spellEnd"/>
          </w:p>
        </w:tc>
      </w:tr>
      <w:tr w:rsidR="00B94C00" w:rsidRPr="00B94C00" w14:paraId="63316CC6" w14:textId="77777777" w:rsidTr="00C55DDD">
        <w:trPr>
          <w:trHeight w:val="251"/>
        </w:trPr>
        <w:tc>
          <w:tcPr>
            <w:tcW w:w="3077" w:type="dxa"/>
            <w:shd w:val="clear" w:color="auto" w:fill="auto"/>
            <w:vAlign w:val="center"/>
          </w:tcPr>
          <w:p w14:paraId="4E2B41D2" w14:textId="77777777" w:rsidR="002E7D29" w:rsidRPr="00B94C00" w:rsidRDefault="002E7D29" w:rsidP="00B94C00">
            <w:pPr>
              <w:jc w:val="both"/>
            </w:pPr>
            <w:r w:rsidRPr="00B94C00">
              <w:t xml:space="preserve">Phosphates </w:t>
            </w:r>
          </w:p>
        </w:tc>
        <w:tc>
          <w:tcPr>
            <w:tcW w:w="1079" w:type="dxa"/>
            <w:shd w:val="clear" w:color="auto" w:fill="auto"/>
            <w:vAlign w:val="center"/>
          </w:tcPr>
          <w:p w14:paraId="6C88E263" w14:textId="77777777" w:rsidR="002E7D29" w:rsidRPr="00B94C00" w:rsidRDefault="002E7D29" w:rsidP="00B94C00">
            <w:pPr>
              <w:jc w:val="both"/>
            </w:pPr>
            <w:r w:rsidRPr="00B94C00">
              <w:t>Tonnes</w:t>
            </w:r>
          </w:p>
        </w:tc>
        <w:tc>
          <w:tcPr>
            <w:tcW w:w="1692" w:type="dxa"/>
            <w:shd w:val="clear" w:color="auto" w:fill="auto"/>
            <w:vAlign w:val="center"/>
          </w:tcPr>
          <w:p w14:paraId="5A61ECA5" w14:textId="77777777" w:rsidR="002E7D29" w:rsidRPr="00B94C00" w:rsidRDefault="002E7D29" w:rsidP="00B94C00">
            <w:pPr>
              <w:ind w:right="176"/>
              <w:jc w:val="both"/>
            </w:pPr>
            <w:r w:rsidRPr="00B94C00">
              <w:t>20 millions</w:t>
            </w:r>
          </w:p>
        </w:tc>
        <w:tc>
          <w:tcPr>
            <w:tcW w:w="3232" w:type="dxa"/>
            <w:shd w:val="clear" w:color="auto" w:fill="auto"/>
            <w:vAlign w:val="center"/>
          </w:tcPr>
          <w:p w14:paraId="79C0595E" w14:textId="77777777" w:rsidR="002E7D29" w:rsidRPr="00B94C00" w:rsidRDefault="002E7D29" w:rsidP="00B94C00">
            <w:pPr>
              <w:jc w:val="both"/>
              <w:rPr>
                <w:b/>
                <w:i/>
              </w:rPr>
            </w:pPr>
            <w:proofErr w:type="spellStart"/>
            <w:r w:rsidRPr="00B94C00">
              <w:t>Tilemsi</w:t>
            </w:r>
            <w:proofErr w:type="spellEnd"/>
          </w:p>
        </w:tc>
      </w:tr>
      <w:tr w:rsidR="00B94C00" w:rsidRPr="00B94C00" w14:paraId="1783E912" w14:textId="77777777" w:rsidTr="00C55DDD">
        <w:trPr>
          <w:trHeight w:val="251"/>
        </w:trPr>
        <w:tc>
          <w:tcPr>
            <w:tcW w:w="3077" w:type="dxa"/>
            <w:shd w:val="clear" w:color="auto" w:fill="auto"/>
            <w:vAlign w:val="center"/>
          </w:tcPr>
          <w:p w14:paraId="7A26CB0E" w14:textId="77777777" w:rsidR="002E7D29" w:rsidRPr="00B94C00" w:rsidRDefault="002E7D29" w:rsidP="00B94C00">
            <w:pPr>
              <w:jc w:val="both"/>
            </w:pPr>
            <w:r w:rsidRPr="00B94C00">
              <w:t xml:space="preserve">Manganèse </w:t>
            </w:r>
          </w:p>
        </w:tc>
        <w:tc>
          <w:tcPr>
            <w:tcW w:w="1079" w:type="dxa"/>
            <w:shd w:val="clear" w:color="auto" w:fill="auto"/>
            <w:vAlign w:val="center"/>
          </w:tcPr>
          <w:p w14:paraId="3D48E434" w14:textId="77777777" w:rsidR="002E7D29" w:rsidRPr="00B94C00" w:rsidRDefault="002E7D29" w:rsidP="00B94C00">
            <w:pPr>
              <w:jc w:val="both"/>
            </w:pPr>
            <w:r w:rsidRPr="00B94C00">
              <w:t>Tonnes</w:t>
            </w:r>
          </w:p>
        </w:tc>
        <w:tc>
          <w:tcPr>
            <w:tcW w:w="1692" w:type="dxa"/>
            <w:shd w:val="clear" w:color="auto" w:fill="auto"/>
            <w:vAlign w:val="center"/>
          </w:tcPr>
          <w:p w14:paraId="30676C25" w14:textId="77777777" w:rsidR="002E7D29" w:rsidRPr="00B94C00" w:rsidRDefault="002E7D29" w:rsidP="00B94C00">
            <w:pPr>
              <w:ind w:right="176"/>
              <w:jc w:val="both"/>
            </w:pPr>
            <w:r w:rsidRPr="00B94C00">
              <w:t xml:space="preserve"> 10 millions</w:t>
            </w:r>
          </w:p>
        </w:tc>
        <w:tc>
          <w:tcPr>
            <w:tcW w:w="3232" w:type="dxa"/>
            <w:shd w:val="clear" w:color="auto" w:fill="auto"/>
            <w:vAlign w:val="center"/>
          </w:tcPr>
          <w:p w14:paraId="0AAC8556" w14:textId="77777777" w:rsidR="002E7D29" w:rsidRPr="00B94C00" w:rsidRDefault="002E7D29" w:rsidP="00B94C00">
            <w:pPr>
              <w:jc w:val="both"/>
              <w:rPr>
                <w:b/>
                <w:i/>
              </w:rPr>
            </w:pPr>
            <w:r w:rsidRPr="00B94C00">
              <w:t>Ansongo</w:t>
            </w:r>
          </w:p>
        </w:tc>
      </w:tr>
      <w:tr w:rsidR="00B94C00" w:rsidRPr="00B94C00" w14:paraId="4EE54EAA" w14:textId="77777777" w:rsidTr="00C55DDD">
        <w:trPr>
          <w:trHeight w:val="251"/>
        </w:trPr>
        <w:tc>
          <w:tcPr>
            <w:tcW w:w="3077" w:type="dxa"/>
            <w:shd w:val="clear" w:color="auto" w:fill="auto"/>
            <w:vAlign w:val="center"/>
          </w:tcPr>
          <w:p w14:paraId="3A910D30" w14:textId="77777777" w:rsidR="002E7D29" w:rsidRPr="00B94C00" w:rsidRDefault="002E7D29" w:rsidP="00B94C00">
            <w:pPr>
              <w:jc w:val="both"/>
            </w:pPr>
            <w:r w:rsidRPr="00B94C00">
              <w:t xml:space="preserve">Plomb-zinc </w:t>
            </w:r>
          </w:p>
        </w:tc>
        <w:tc>
          <w:tcPr>
            <w:tcW w:w="1079" w:type="dxa"/>
            <w:shd w:val="clear" w:color="auto" w:fill="auto"/>
            <w:vAlign w:val="center"/>
          </w:tcPr>
          <w:p w14:paraId="69B3C65F" w14:textId="77777777" w:rsidR="002E7D29" w:rsidRPr="00B94C00" w:rsidRDefault="002E7D29" w:rsidP="00B94C00">
            <w:pPr>
              <w:jc w:val="both"/>
            </w:pPr>
            <w:r w:rsidRPr="00B94C00">
              <w:t>Tonnes</w:t>
            </w:r>
          </w:p>
        </w:tc>
        <w:tc>
          <w:tcPr>
            <w:tcW w:w="1692" w:type="dxa"/>
            <w:shd w:val="clear" w:color="auto" w:fill="auto"/>
            <w:vAlign w:val="center"/>
          </w:tcPr>
          <w:p w14:paraId="30CE25D8" w14:textId="77777777" w:rsidR="002E7D29" w:rsidRPr="00B94C00" w:rsidRDefault="002E7D29" w:rsidP="00B94C00">
            <w:pPr>
              <w:ind w:right="176"/>
              <w:jc w:val="both"/>
            </w:pPr>
            <w:r w:rsidRPr="00B94C00">
              <w:t xml:space="preserve">1,7 million </w:t>
            </w:r>
          </w:p>
        </w:tc>
        <w:tc>
          <w:tcPr>
            <w:tcW w:w="3232" w:type="dxa"/>
            <w:shd w:val="clear" w:color="auto" w:fill="auto"/>
            <w:vAlign w:val="center"/>
          </w:tcPr>
          <w:p w14:paraId="6F8EA88E" w14:textId="77777777" w:rsidR="002E7D29" w:rsidRPr="00B94C00" w:rsidRDefault="002E7D29" w:rsidP="00B94C00">
            <w:pPr>
              <w:jc w:val="both"/>
            </w:pPr>
            <w:r w:rsidRPr="00B94C00">
              <w:t>Tessalit, Tamanrasset</w:t>
            </w:r>
          </w:p>
        </w:tc>
      </w:tr>
      <w:tr w:rsidR="00B94C00" w:rsidRPr="00B94C00" w14:paraId="158D3F6B" w14:textId="77777777" w:rsidTr="00C55DDD">
        <w:trPr>
          <w:trHeight w:val="251"/>
        </w:trPr>
        <w:tc>
          <w:tcPr>
            <w:tcW w:w="3077" w:type="dxa"/>
            <w:shd w:val="clear" w:color="auto" w:fill="auto"/>
            <w:vAlign w:val="center"/>
          </w:tcPr>
          <w:p w14:paraId="4E07ABFE" w14:textId="77777777" w:rsidR="002E7D29" w:rsidRPr="00B94C00" w:rsidRDefault="002E7D29" w:rsidP="00B94C00">
            <w:pPr>
              <w:jc w:val="both"/>
            </w:pPr>
            <w:r w:rsidRPr="00B94C00">
              <w:t xml:space="preserve">Gypse </w:t>
            </w:r>
          </w:p>
        </w:tc>
        <w:tc>
          <w:tcPr>
            <w:tcW w:w="1079" w:type="dxa"/>
            <w:shd w:val="clear" w:color="auto" w:fill="auto"/>
            <w:vAlign w:val="center"/>
          </w:tcPr>
          <w:p w14:paraId="175E201E" w14:textId="77777777" w:rsidR="002E7D29" w:rsidRPr="00B94C00" w:rsidRDefault="002E7D29" w:rsidP="00B94C00">
            <w:pPr>
              <w:jc w:val="both"/>
            </w:pPr>
            <w:r w:rsidRPr="00B94C00">
              <w:t>Tonnes</w:t>
            </w:r>
          </w:p>
        </w:tc>
        <w:tc>
          <w:tcPr>
            <w:tcW w:w="1692" w:type="dxa"/>
            <w:shd w:val="clear" w:color="auto" w:fill="auto"/>
            <w:vAlign w:val="center"/>
          </w:tcPr>
          <w:p w14:paraId="1102E782" w14:textId="77777777" w:rsidR="002E7D29" w:rsidRPr="00B94C00" w:rsidRDefault="002E7D29" w:rsidP="00B94C00">
            <w:pPr>
              <w:ind w:right="176"/>
              <w:jc w:val="both"/>
            </w:pPr>
            <w:r w:rsidRPr="00B94C00">
              <w:t xml:space="preserve">405 000 </w:t>
            </w:r>
          </w:p>
        </w:tc>
        <w:tc>
          <w:tcPr>
            <w:tcW w:w="3232" w:type="dxa"/>
            <w:shd w:val="clear" w:color="auto" w:fill="auto"/>
            <w:vAlign w:val="center"/>
          </w:tcPr>
          <w:p w14:paraId="37781A14" w14:textId="77777777" w:rsidR="002E7D29" w:rsidRPr="00B94C00" w:rsidRDefault="002E7D29" w:rsidP="00B94C00">
            <w:pPr>
              <w:jc w:val="both"/>
            </w:pPr>
            <w:proofErr w:type="spellStart"/>
            <w:r w:rsidRPr="00B94C00">
              <w:t>Kadiolo</w:t>
            </w:r>
            <w:proofErr w:type="spellEnd"/>
          </w:p>
        </w:tc>
      </w:tr>
      <w:tr w:rsidR="00B94C00" w:rsidRPr="00B94C00" w14:paraId="5D5B8B98" w14:textId="77777777" w:rsidTr="00C55DDD">
        <w:trPr>
          <w:trHeight w:val="251"/>
        </w:trPr>
        <w:tc>
          <w:tcPr>
            <w:tcW w:w="3077" w:type="dxa"/>
            <w:shd w:val="clear" w:color="auto" w:fill="auto"/>
            <w:vAlign w:val="center"/>
          </w:tcPr>
          <w:p w14:paraId="66C6B0A7" w14:textId="77777777" w:rsidR="002E7D29" w:rsidRPr="00B94C00" w:rsidRDefault="002E7D29" w:rsidP="00B94C00">
            <w:pPr>
              <w:jc w:val="both"/>
            </w:pPr>
            <w:r w:rsidRPr="00B94C00">
              <w:t>Uranium d’U3O6</w:t>
            </w:r>
          </w:p>
        </w:tc>
        <w:tc>
          <w:tcPr>
            <w:tcW w:w="1079" w:type="dxa"/>
            <w:shd w:val="clear" w:color="auto" w:fill="auto"/>
            <w:vAlign w:val="center"/>
          </w:tcPr>
          <w:p w14:paraId="6F73ED21" w14:textId="77777777" w:rsidR="002E7D29" w:rsidRPr="00B94C00" w:rsidRDefault="002E7D29" w:rsidP="00B94C00">
            <w:pPr>
              <w:jc w:val="both"/>
            </w:pPr>
            <w:r w:rsidRPr="00B94C00">
              <w:t>Tonnes</w:t>
            </w:r>
          </w:p>
        </w:tc>
        <w:tc>
          <w:tcPr>
            <w:tcW w:w="1692" w:type="dxa"/>
            <w:shd w:val="clear" w:color="auto" w:fill="auto"/>
            <w:vAlign w:val="center"/>
          </w:tcPr>
          <w:p w14:paraId="4D5CEB7F" w14:textId="77777777" w:rsidR="002E7D29" w:rsidRPr="00B94C00" w:rsidRDefault="002E7D29" w:rsidP="00B94C00">
            <w:pPr>
              <w:ind w:right="176"/>
              <w:jc w:val="both"/>
            </w:pPr>
            <w:r w:rsidRPr="00B94C00">
              <w:t xml:space="preserve">5 000 </w:t>
            </w:r>
          </w:p>
        </w:tc>
        <w:tc>
          <w:tcPr>
            <w:tcW w:w="3232" w:type="dxa"/>
            <w:vMerge w:val="restart"/>
            <w:shd w:val="clear" w:color="auto" w:fill="auto"/>
            <w:vAlign w:val="center"/>
          </w:tcPr>
          <w:p w14:paraId="35D80325" w14:textId="77777777" w:rsidR="002E7D29" w:rsidRDefault="002E7D29" w:rsidP="00B94C00">
            <w:pPr>
              <w:jc w:val="both"/>
            </w:pPr>
            <w:r w:rsidRPr="00B94C00">
              <w:t xml:space="preserve">Adrar des </w:t>
            </w:r>
            <w:proofErr w:type="spellStart"/>
            <w:r w:rsidRPr="00B94C00">
              <w:t>Iforas</w:t>
            </w:r>
            <w:proofErr w:type="spellEnd"/>
            <w:r w:rsidRPr="00B94C00">
              <w:t xml:space="preserve">, </w:t>
            </w:r>
            <w:proofErr w:type="spellStart"/>
            <w:r w:rsidRPr="00B94C00">
              <w:t>Faléa</w:t>
            </w:r>
            <w:proofErr w:type="spellEnd"/>
          </w:p>
          <w:p w14:paraId="00C33F2F" w14:textId="6909BE57" w:rsidR="00FB5B5E" w:rsidRPr="00B94C00" w:rsidRDefault="00FB5B5E" w:rsidP="00B94C00">
            <w:pPr>
              <w:jc w:val="both"/>
            </w:pPr>
          </w:p>
        </w:tc>
      </w:tr>
      <w:tr w:rsidR="00B94C00" w:rsidRPr="00B94C00" w14:paraId="4C3B6BFA" w14:textId="77777777" w:rsidTr="00C55DDD">
        <w:trPr>
          <w:trHeight w:val="251"/>
        </w:trPr>
        <w:tc>
          <w:tcPr>
            <w:tcW w:w="3077" w:type="dxa"/>
            <w:shd w:val="clear" w:color="auto" w:fill="auto"/>
            <w:vAlign w:val="center"/>
          </w:tcPr>
          <w:p w14:paraId="1C0735CA" w14:textId="77777777" w:rsidR="002E7D29" w:rsidRPr="00B94C00" w:rsidRDefault="002E7D29" w:rsidP="00B94C00">
            <w:pPr>
              <w:ind w:right="-108"/>
              <w:jc w:val="both"/>
            </w:pPr>
            <w:r w:rsidRPr="00B94C00">
              <w:lastRenderedPageBreak/>
              <w:t xml:space="preserve">Uranium d’U3O2 à 0,085 %  </w:t>
            </w:r>
          </w:p>
        </w:tc>
        <w:tc>
          <w:tcPr>
            <w:tcW w:w="1079" w:type="dxa"/>
            <w:shd w:val="clear" w:color="auto" w:fill="auto"/>
            <w:vAlign w:val="center"/>
          </w:tcPr>
          <w:p w14:paraId="5BA75714" w14:textId="77777777" w:rsidR="002E7D29" w:rsidRPr="00B94C00" w:rsidRDefault="002E7D29" w:rsidP="00B94C00">
            <w:pPr>
              <w:jc w:val="both"/>
            </w:pPr>
            <w:r w:rsidRPr="00B94C00">
              <w:t>Tonnes</w:t>
            </w:r>
          </w:p>
        </w:tc>
        <w:tc>
          <w:tcPr>
            <w:tcW w:w="1692" w:type="dxa"/>
            <w:shd w:val="clear" w:color="auto" w:fill="auto"/>
            <w:vAlign w:val="center"/>
          </w:tcPr>
          <w:p w14:paraId="3DC48C28" w14:textId="77777777" w:rsidR="002E7D29" w:rsidRPr="00B94C00" w:rsidRDefault="002E7D29" w:rsidP="00B94C00">
            <w:pPr>
              <w:ind w:right="176"/>
              <w:jc w:val="both"/>
            </w:pPr>
            <w:r w:rsidRPr="00B94C00">
              <w:t xml:space="preserve">200 </w:t>
            </w:r>
          </w:p>
        </w:tc>
        <w:tc>
          <w:tcPr>
            <w:tcW w:w="3232" w:type="dxa"/>
            <w:vMerge/>
            <w:shd w:val="clear" w:color="auto" w:fill="auto"/>
            <w:vAlign w:val="center"/>
          </w:tcPr>
          <w:p w14:paraId="3841B7F8" w14:textId="77777777" w:rsidR="002E7D29" w:rsidRPr="00B94C00" w:rsidRDefault="002E7D29" w:rsidP="00B94C00">
            <w:pPr>
              <w:jc w:val="both"/>
            </w:pPr>
          </w:p>
        </w:tc>
      </w:tr>
      <w:tr w:rsidR="00FB5B5E" w:rsidRPr="00B94C00" w14:paraId="395848AF" w14:textId="77777777" w:rsidTr="00C55DDD">
        <w:trPr>
          <w:trHeight w:val="251"/>
        </w:trPr>
        <w:tc>
          <w:tcPr>
            <w:tcW w:w="3077" w:type="dxa"/>
            <w:shd w:val="clear" w:color="auto" w:fill="auto"/>
            <w:vAlign w:val="center"/>
          </w:tcPr>
          <w:p w14:paraId="642E7073" w14:textId="4FB71E24" w:rsidR="00FB5B5E" w:rsidRPr="00B94C00" w:rsidRDefault="00FB5B5E" w:rsidP="00B94C00">
            <w:pPr>
              <w:ind w:right="-108"/>
              <w:jc w:val="both"/>
            </w:pPr>
            <w:r w:rsidRPr="00B94C00">
              <w:t>Lignite</w:t>
            </w:r>
          </w:p>
        </w:tc>
        <w:tc>
          <w:tcPr>
            <w:tcW w:w="1079" w:type="dxa"/>
            <w:shd w:val="clear" w:color="auto" w:fill="auto"/>
            <w:vAlign w:val="center"/>
          </w:tcPr>
          <w:p w14:paraId="649CE96E" w14:textId="77777777" w:rsidR="00FB5B5E" w:rsidRPr="00B94C00" w:rsidRDefault="00FB5B5E" w:rsidP="00B94C00">
            <w:pPr>
              <w:jc w:val="both"/>
            </w:pPr>
          </w:p>
        </w:tc>
        <w:tc>
          <w:tcPr>
            <w:tcW w:w="1692" w:type="dxa"/>
            <w:shd w:val="clear" w:color="auto" w:fill="auto"/>
            <w:vAlign w:val="center"/>
          </w:tcPr>
          <w:p w14:paraId="72B41240" w14:textId="42D689EE" w:rsidR="00FB5B5E" w:rsidRPr="00B94C00" w:rsidRDefault="00FB5B5E" w:rsidP="00FB5B5E">
            <w:pPr>
              <w:ind w:right="176"/>
            </w:pPr>
            <w:r w:rsidRPr="00B94C00">
              <w:t>Le volume n’est pas encore cubé.</w:t>
            </w:r>
          </w:p>
        </w:tc>
        <w:tc>
          <w:tcPr>
            <w:tcW w:w="3232" w:type="dxa"/>
            <w:shd w:val="clear" w:color="auto" w:fill="auto"/>
            <w:vAlign w:val="center"/>
          </w:tcPr>
          <w:p w14:paraId="012D13AB" w14:textId="2F21C1E7" w:rsidR="00FB5B5E" w:rsidRPr="00B94C00" w:rsidRDefault="00FB5B5E" w:rsidP="00B94C00">
            <w:pPr>
              <w:jc w:val="both"/>
            </w:pPr>
            <w:r w:rsidRPr="00B94C00">
              <w:t xml:space="preserve">Bandiagara, </w:t>
            </w:r>
            <w:proofErr w:type="spellStart"/>
            <w:r w:rsidRPr="00B94C00">
              <w:t>Tirely</w:t>
            </w:r>
            <w:proofErr w:type="spellEnd"/>
          </w:p>
        </w:tc>
      </w:tr>
      <w:tr w:rsidR="00FB5B5E" w:rsidRPr="00B94C00" w14:paraId="619B0273" w14:textId="77777777" w:rsidTr="00C55DDD">
        <w:trPr>
          <w:trHeight w:val="251"/>
        </w:trPr>
        <w:tc>
          <w:tcPr>
            <w:tcW w:w="3077" w:type="dxa"/>
            <w:shd w:val="clear" w:color="auto" w:fill="auto"/>
            <w:vAlign w:val="center"/>
          </w:tcPr>
          <w:p w14:paraId="540989D1" w14:textId="52435C01" w:rsidR="00FB5B5E" w:rsidRPr="00B94C00" w:rsidRDefault="00FB5B5E" w:rsidP="00FB5B5E">
            <w:pPr>
              <w:ind w:right="-108"/>
              <w:jc w:val="both"/>
            </w:pPr>
            <w:r>
              <w:t>Diamant</w:t>
            </w:r>
          </w:p>
        </w:tc>
        <w:tc>
          <w:tcPr>
            <w:tcW w:w="1079" w:type="dxa"/>
            <w:shd w:val="clear" w:color="auto" w:fill="auto"/>
            <w:vAlign w:val="center"/>
          </w:tcPr>
          <w:p w14:paraId="0CF8EBF9" w14:textId="7D2D720B" w:rsidR="00FB5B5E" w:rsidRPr="00B94C00" w:rsidRDefault="00FB5B5E" w:rsidP="00FB5B5E">
            <w:pPr>
              <w:jc w:val="both"/>
            </w:pPr>
            <w:r>
              <w:t>Carat</w:t>
            </w:r>
          </w:p>
        </w:tc>
        <w:tc>
          <w:tcPr>
            <w:tcW w:w="1692" w:type="dxa"/>
            <w:shd w:val="clear" w:color="auto" w:fill="auto"/>
            <w:vAlign w:val="center"/>
          </w:tcPr>
          <w:p w14:paraId="44816927" w14:textId="63601D59" w:rsidR="00FB5B5E" w:rsidRPr="00B94C00" w:rsidRDefault="00FB5B5E" w:rsidP="00FB5B5E">
            <w:pPr>
              <w:ind w:right="176"/>
              <w:jc w:val="both"/>
            </w:pPr>
            <w:r>
              <w:t>2 359 331</w:t>
            </w:r>
          </w:p>
        </w:tc>
        <w:tc>
          <w:tcPr>
            <w:tcW w:w="3232" w:type="dxa"/>
            <w:shd w:val="clear" w:color="auto" w:fill="auto"/>
            <w:vAlign w:val="center"/>
          </w:tcPr>
          <w:p w14:paraId="33ABD1C3" w14:textId="066B9EA1" w:rsidR="00FB5B5E" w:rsidRPr="00B94C00" w:rsidRDefault="00FB5B5E" w:rsidP="00FB5B5E">
            <w:pPr>
              <w:jc w:val="both"/>
            </w:pPr>
            <w:proofErr w:type="spellStart"/>
            <w:r>
              <w:t>Kenieba</w:t>
            </w:r>
            <w:proofErr w:type="spellEnd"/>
            <w:r>
              <w:t xml:space="preserve">, </w:t>
            </w:r>
            <w:proofErr w:type="spellStart"/>
            <w:r>
              <w:t>Yanfolila</w:t>
            </w:r>
            <w:proofErr w:type="spellEnd"/>
            <w:r>
              <w:t xml:space="preserve">, </w:t>
            </w:r>
            <w:proofErr w:type="spellStart"/>
            <w:r>
              <w:t>Kangaba</w:t>
            </w:r>
            <w:proofErr w:type="spellEnd"/>
          </w:p>
        </w:tc>
      </w:tr>
    </w:tbl>
    <w:p w14:paraId="0A09E868" w14:textId="77777777" w:rsidR="002E7D29" w:rsidRPr="00B94C00" w:rsidRDefault="002E7D29" w:rsidP="00B94C00">
      <w:pPr>
        <w:jc w:val="both"/>
      </w:pPr>
      <w:r w:rsidRPr="00B94C00">
        <w:rPr>
          <w:u w:val="single"/>
        </w:rPr>
        <w:t>Source </w:t>
      </w:r>
      <w:r w:rsidRPr="00B94C00">
        <w:t>: Document de cadrage ITIE 2012</w:t>
      </w:r>
    </w:p>
    <w:p w14:paraId="392582DF" w14:textId="77777777" w:rsidR="00B94C00" w:rsidRDefault="00B94C00" w:rsidP="00B94C00">
      <w:pPr>
        <w:jc w:val="both"/>
      </w:pPr>
    </w:p>
    <w:p w14:paraId="6F1A7B7A" w14:textId="77777777" w:rsidR="00E31818" w:rsidRDefault="002E7D29" w:rsidP="00B94C00">
      <w:pPr>
        <w:jc w:val="both"/>
      </w:pPr>
      <w:r w:rsidRPr="00B94C00">
        <w:t xml:space="preserve">L’or est actuellement le premier produit d’exportation du pays en valeur et </w:t>
      </w:r>
      <w:r w:rsidR="00E31818" w:rsidRPr="00B94C00">
        <w:t xml:space="preserve">constitue un des plus grands </w:t>
      </w:r>
      <w:r w:rsidRPr="00B94C00">
        <w:t>contributeur</w:t>
      </w:r>
      <w:r w:rsidR="00E31818" w:rsidRPr="00B94C00">
        <w:t>s</w:t>
      </w:r>
      <w:r w:rsidRPr="00B94C00">
        <w:t xml:space="preserve"> à la croissance économique. </w:t>
      </w:r>
      <w:r w:rsidR="00BD6448" w:rsidRPr="00B94C00">
        <w:t>L</w:t>
      </w:r>
      <w:r w:rsidRPr="00B94C00">
        <w:rPr>
          <w:rStyle w:val="normaltextrun"/>
        </w:rPr>
        <w:t xml:space="preserve">es ressources générées </w:t>
      </w:r>
      <w:r w:rsidR="00E31818" w:rsidRPr="00B94C00">
        <w:rPr>
          <w:rStyle w:val="normaltextrun"/>
        </w:rPr>
        <w:t xml:space="preserve">par le secteur </w:t>
      </w:r>
      <w:r w:rsidRPr="00B94C00">
        <w:rPr>
          <w:rStyle w:val="normaltextrun"/>
        </w:rPr>
        <w:t>se chiffrent en effet entre 250 à 300 milliards FCFA par an.</w:t>
      </w:r>
      <w:r w:rsidRPr="00B94C00">
        <w:rPr>
          <w:rStyle w:val="eop"/>
        </w:rPr>
        <w:t> </w:t>
      </w:r>
      <w:r w:rsidR="00BD6448" w:rsidRPr="00B94C00">
        <w:t>Le Mali en est en 2015, le 3</w:t>
      </w:r>
      <w:r w:rsidRPr="00B94C00">
        <w:rPr>
          <w:vertAlign w:val="superscript"/>
        </w:rPr>
        <w:t>ème</w:t>
      </w:r>
      <w:r w:rsidRPr="00B94C00">
        <w:t xml:space="preserve"> producteur afri</w:t>
      </w:r>
      <w:r w:rsidR="00BD6448" w:rsidRPr="00B94C00">
        <w:t xml:space="preserve">cain derrière l’Afrique du Sud et </w:t>
      </w:r>
      <w:r w:rsidRPr="00B94C00">
        <w:t>le Ghana</w:t>
      </w:r>
      <w:r w:rsidR="00E31818" w:rsidRPr="00B94C00">
        <w:t>.</w:t>
      </w:r>
    </w:p>
    <w:p w14:paraId="65FFE8AF" w14:textId="77777777" w:rsidR="00B94C00" w:rsidRPr="00B94C00" w:rsidRDefault="00B94C00" w:rsidP="00B94C00">
      <w:pPr>
        <w:jc w:val="both"/>
      </w:pPr>
    </w:p>
    <w:p w14:paraId="258E7B09" w14:textId="77777777" w:rsidR="002E7D29" w:rsidRDefault="002E7D29" w:rsidP="00B94C00">
      <w:pPr>
        <w:jc w:val="both"/>
      </w:pPr>
      <w:r w:rsidRPr="00B94C00">
        <w:t>Le pays tire p</w:t>
      </w:r>
      <w:r w:rsidR="00E31818" w:rsidRPr="00B94C00">
        <w:t xml:space="preserve">rès </w:t>
      </w:r>
      <w:r w:rsidRPr="00B94C00">
        <w:t xml:space="preserve">de </w:t>
      </w:r>
      <w:r w:rsidR="00E31818" w:rsidRPr="00B94C00">
        <w:t>6</w:t>
      </w:r>
      <w:r w:rsidRPr="00B94C00">
        <w:t xml:space="preserve">% de son PIB de l’industrie aurifère qui génère </w:t>
      </w:r>
      <w:r w:rsidR="00E31818" w:rsidRPr="00B94C00">
        <w:t xml:space="preserve">65 à </w:t>
      </w:r>
      <w:r w:rsidRPr="00B94C00">
        <w:t xml:space="preserve">70% des recettes d’exportation et </w:t>
      </w:r>
      <w:r w:rsidR="00E31818" w:rsidRPr="00B94C00">
        <w:t xml:space="preserve">21 à 28% des recettes fiscales. Cependant, ce secteur reste exposé </w:t>
      </w:r>
      <w:r w:rsidR="00E92475" w:rsidRPr="00B94C00">
        <w:t xml:space="preserve">aujourd’hui </w:t>
      </w:r>
      <w:r w:rsidR="00E31818" w:rsidRPr="00B94C00">
        <w:t xml:space="preserve">au risque </w:t>
      </w:r>
      <w:r w:rsidR="00E92475" w:rsidRPr="00B94C00">
        <w:t xml:space="preserve">des conséquences de la monoculture de l’or, </w:t>
      </w:r>
      <w:r w:rsidRPr="00B94C00">
        <w:t>d’où la nécessité de diversifier la production minière par la mise en valeur des autres ressources minières et d’intensifier la recherche pétrolière.</w:t>
      </w:r>
    </w:p>
    <w:p w14:paraId="6612CC9A" w14:textId="77777777" w:rsidR="00B94C00" w:rsidRPr="00B94C00" w:rsidRDefault="00B94C00" w:rsidP="00B94C00">
      <w:pPr>
        <w:jc w:val="both"/>
      </w:pPr>
    </w:p>
    <w:p w14:paraId="7A4022F5" w14:textId="77777777" w:rsidR="002E7D29" w:rsidRDefault="002E7D29" w:rsidP="00B94C00">
      <w:pPr>
        <w:jc w:val="both"/>
      </w:pPr>
      <w:r w:rsidRPr="00B94C00">
        <w:t>En ce qui concerne, le pétrole, les résultats obtenus suite aux travaux récents sont très encourageants et pourraient rapidement confirmer le potentiel pétrolier des zones de travaux. L’industrie quant à elle n’occupe que 3% de la population active, ce qui reflète bien l’atrophie de ce secteur économique.</w:t>
      </w:r>
    </w:p>
    <w:p w14:paraId="098A0A3E" w14:textId="77777777" w:rsidR="00B94C00" w:rsidRPr="00B94C00" w:rsidRDefault="00B94C00" w:rsidP="00B94C00">
      <w:pPr>
        <w:jc w:val="both"/>
      </w:pPr>
    </w:p>
    <w:p w14:paraId="0FB79C1B" w14:textId="77777777" w:rsidR="002E7D29" w:rsidRDefault="002E7D29" w:rsidP="00B94C00">
      <w:pPr>
        <w:jc w:val="both"/>
      </w:pPr>
      <w:r w:rsidRPr="00B94C00">
        <w:t>Compte tenu de la faible capacité d’absorption en main d’œuvre des secteurs publics et privés, la population évolue en grande majorité dans le secteur informel qui joue un rôle essentiel en matière d’emplois et de revenus pour la population. A cause de certains impacts néfastes des activités informelles sur les entreprises structurées notamment la concurrence déloyale, plus de la moitié des entreprises créées disparaissent avant d’atteindre cinq (5) ans d’existence.</w:t>
      </w:r>
    </w:p>
    <w:p w14:paraId="11EC7866" w14:textId="77777777" w:rsidR="00B94C00" w:rsidRPr="00B94C00" w:rsidRDefault="00B94C00" w:rsidP="00B94C00">
      <w:pPr>
        <w:jc w:val="both"/>
      </w:pPr>
    </w:p>
    <w:p w14:paraId="37D3AA8F" w14:textId="7DC1EC2B" w:rsidR="002E7D29" w:rsidRPr="00B94C00" w:rsidRDefault="002E7D29" w:rsidP="00B94C00">
      <w:pPr>
        <w:jc w:val="both"/>
      </w:pPr>
      <w:r w:rsidRPr="00B94C00">
        <w:t xml:space="preserve">Traditionnellement, le Mali présente l’image d’un pays ouvert avec un environnement réglementaire, législatif et institutionnel de plus en plus </w:t>
      </w:r>
      <w:proofErr w:type="gramStart"/>
      <w:r w:rsidRPr="00B94C00">
        <w:t>allégé</w:t>
      </w:r>
      <w:proofErr w:type="gramEnd"/>
      <w:r w:rsidRPr="00B94C00">
        <w:t>, et économiquement engagé dans la voie de l’intégration sous régionale. Il est largement ouvert à l’investissement privé et partage ses frontières sur une longueur d’environ 7.000 kms avec sept (7) autres pays. Cette position géographique en fait un carrefour naturel d’échanges Au Mali, les traces de l’activité minière sont très anciennes et remontent au XIII</w:t>
      </w:r>
      <w:r w:rsidRPr="00B94C00">
        <w:rPr>
          <w:vertAlign w:val="superscript"/>
        </w:rPr>
        <w:t>ème</w:t>
      </w:r>
      <w:r w:rsidRPr="00B94C00">
        <w:t xml:space="preserve"> siècle (puits d’orpaillage et de sel, forges anciennes, pierres taillées, etc.). Cette vocation minière pluriséculaire a été éloquemment illustrée par le voyage à la Mecque en 1324 du souverain mandingue, </w:t>
      </w:r>
      <w:proofErr w:type="spellStart"/>
      <w:r w:rsidRPr="00B94C00">
        <w:t>Kankou</w:t>
      </w:r>
      <w:proofErr w:type="spellEnd"/>
      <w:r w:rsidRPr="00B94C00">
        <w:t xml:space="preserve"> Moussa avec plus de dix (10</w:t>
      </w:r>
      <w:r w:rsidR="00F704FA" w:rsidRPr="00B94C00">
        <w:t>) tonnes</w:t>
      </w:r>
      <w:r w:rsidRPr="00B94C00">
        <w:t xml:space="preserve"> d’or.</w:t>
      </w:r>
    </w:p>
    <w:p w14:paraId="4E43110E" w14:textId="77777777" w:rsidR="002E7D29" w:rsidRPr="00B94C00" w:rsidRDefault="002E7D29" w:rsidP="00B94C00">
      <w:pPr>
        <w:jc w:val="both"/>
      </w:pPr>
    </w:p>
    <w:p w14:paraId="7DF22F82" w14:textId="77777777" w:rsidR="002E7D29" w:rsidRPr="00B94C00" w:rsidRDefault="005847EB" w:rsidP="00B94C00">
      <w:pPr>
        <w:rPr>
          <w:b/>
        </w:rPr>
      </w:pPr>
      <w:r w:rsidRPr="00B94C00">
        <w:rPr>
          <w:b/>
        </w:rPr>
        <w:t xml:space="preserve">I.1. </w:t>
      </w:r>
      <w:r w:rsidR="002E7D29" w:rsidRPr="00B94C00">
        <w:rPr>
          <w:b/>
          <w:u w:val="single"/>
        </w:rPr>
        <w:t>Rappel historique</w:t>
      </w:r>
    </w:p>
    <w:p w14:paraId="4F157DDE" w14:textId="77777777" w:rsidR="00B94C00" w:rsidRDefault="00B94C00" w:rsidP="00B94C00">
      <w:pPr>
        <w:jc w:val="both"/>
      </w:pPr>
    </w:p>
    <w:p w14:paraId="068AA05E" w14:textId="522A3642" w:rsidR="002E7D29" w:rsidRPr="00B94C00" w:rsidRDefault="002E7D29" w:rsidP="00B94C00">
      <w:pPr>
        <w:jc w:val="both"/>
      </w:pPr>
      <w:r w:rsidRPr="00B94C00">
        <w:t xml:space="preserve">L’activité minière </w:t>
      </w:r>
      <w:r w:rsidR="00F704FA" w:rsidRPr="00B94C00">
        <w:t>a été</w:t>
      </w:r>
      <w:r w:rsidRPr="00B94C00">
        <w:t xml:space="preserve"> pratiquée au Mali depuis des siècles et les premiers travaux formels de recherche géologique et minière datent de la période coloniale. Ainsi chaque grosse mission militaire était accompagnée d’un géologue. Par ailleurs, certains officiers des troupes coloniales sont à l’origine de bien des renseignements utilisés plus tard par des géologues professionnels. La carte de l’AOF à 1/5.000.000</w:t>
      </w:r>
      <w:r w:rsidRPr="00B94C00">
        <w:rPr>
          <w:vertAlign w:val="superscript"/>
        </w:rPr>
        <w:t>ème</w:t>
      </w:r>
      <w:r w:rsidRPr="00B94C00">
        <w:t xml:space="preserve"> publiée en 1911 à l’issue de différents travaux en est une illustration. </w:t>
      </w:r>
    </w:p>
    <w:p w14:paraId="0F36ED26" w14:textId="77777777" w:rsidR="002E7D29" w:rsidRDefault="002E7D29" w:rsidP="00B94C00">
      <w:pPr>
        <w:jc w:val="both"/>
      </w:pPr>
      <w:r w:rsidRPr="00B94C00">
        <w:lastRenderedPageBreak/>
        <w:t xml:space="preserve">Après la première guerre mondiale, les études se poursuivent dans l’Est du pays, aboutissant à des cartes géologiques des régions de Bandiagara, </w:t>
      </w:r>
      <w:proofErr w:type="spellStart"/>
      <w:r w:rsidRPr="00B94C00">
        <w:t>Gondo</w:t>
      </w:r>
      <w:proofErr w:type="spellEnd"/>
      <w:r w:rsidRPr="00B94C00">
        <w:t xml:space="preserve">, </w:t>
      </w:r>
      <w:proofErr w:type="spellStart"/>
      <w:r w:rsidRPr="00B94C00">
        <w:t>Hombori</w:t>
      </w:r>
      <w:proofErr w:type="spellEnd"/>
      <w:r w:rsidRPr="00B94C00">
        <w:t xml:space="preserve"> en 1933, à une note sur « les séries anciennes de la Boucle du Niger » entre 1942 et 1945 ainsi qu’à l’esquisse d’une partie de la géologie du bassin de Taoudéni et de la bordure ouest de l’Adrar des </w:t>
      </w:r>
      <w:proofErr w:type="spellStart"/>
      <w:r w:rsidRPr="00B94C00">
        <w:t>Iforas</w:t>
      </w:r>
      <w:proofErr w:type="spellEnd"/>
      <w:r w:rsidRPr="00B94C00">
        <w:t>. Ces idées constitueront des hypothèses de travail communément utilisées par des géologues d’A.O.F. entre 1946 et 1955</w:t>
      </w:r>
      <w:r w:rsidRPr="00B94C00">
        <w:rPr>
          <w:rStyle w:val="Appelnotedebasdep"/>
        </w:rPr>
        <w:footnoteReference w:id="4"/>
      </w:r>
      <w:r w:rsidRPr="00B94C00">
        <w:t>.</w:t>
      </w:r>
    </w:p>
    <w:p w14:paraId="49348AB8" w14:textId="77777777" w:rsidR="00B94C00" w:rsidRPr="00B94C00" w:rsidRDefault="00B94C00" w:rsidP="00B94C00">
      <w:pPr>
        <w:jc w:val="both"/>
      </w:pPr>
    </w:p>
    <w:p w14:paraId="7FBA8C5B" w14:textId="77777777" w:rsidR="002E7D29" w:rsidRDefault="002E7D29" w:rsidP="00B94C00">
      <w:pPr>
        <w:jc w:val="both"/>
        <w:rPr>
          <w:rFonts w:eastAsia="Tahoma"/>
        </w:rPr>
      </w:pPr>
      <w:r w:rsidRPr="00B94C00">
        <w:t>La création du service géologique de l’A.O.F. en 1930 a par ailleurs permis l’établissement de différentes cartes géologiques au 1/500.000</w:t>
      </w:r>
      <w:r w:rsidRPr="00B94C00">
        <w:rPr>
          <w:vertAlign w:val="superscript"/>
        </w:rPr>
        <w:t>ème</w:t>
      </w:r>
      <w:r w:rsidRPr="00B94C00">
        <w:t xml:space="preserve"> ainsi que la découverte des indices d’or de </w:t>
      </w:r>
      <w:proofErr w:type="spellStart"/>
      <w:r w:rsidRPr="00B94C00">
        <w:t>Kalana</w:t>
      </w:r>
      <w:proofErr w:type="spellEnd"/>
      <w:r w:rsidRPr="00B94C00">
        <w:t xml:space="preserve"> et de </w:t>
      </w:r>
      <w:proofErr w:type="spellStart"/>
      <w:r w:rsidRPr="00B94C00">
        <w:t>Médinandi</w:t>
      </w:r>
      <w:proofErr w:type="spellEnd"/>
      <w:r w:rsidRPr="00B94C00">
        <w:t xml:space="preserve">, celle des gisements de Cuivre et de Zinc dans l’Adrar des </w:t>
      </w:r>
      <w:proofErr w:type="spellStart"/>
      <w:r w:rsidRPr="00B94C00">
        <w:t>Iforas</w:t>
      </w:r>
      <w:proofErr w:type="spellEnd"/>
      <w:r w:rsidRPr="00B94C00">
        <w:t xml:space="preserve">, du Manganèse à Ansongo et quelques pipes de kimberlites dans le secteur de </w:t>
      </w:r>
      <w:proofErr w:type="spellStart"/>
      <w:r w:rsidRPr="00B94C00">
        <w:t>Kéniéba</w:t>
      </w:r>
      <w:proofErr w:type="spellEnd"/>
      <w:r w:rsidRPr="00B94C00">
        <w:t>. Enfin, en 1959 une dernière carte d’ensemble sur l’A.O.F. sera établie à l’échelle 1/2.000.000</w:t>
      </w:r>
      <w:r w:rsidRPr="00B94C00">
        <w:rPr>
          <w:vertAlign w:val="superscript"/>
        </w:rPr>
        <w:t>ème</w:t>
      </w:r>
      <w:r w:rsidRPr="00B94C00">
        <w:t>. On peut donc constater que t</w:t>
      </w:r>
      <w:r w:rsidRPr="00B94C00">
        <w:rPr>
          <w:rFonts w:eastAsia="Tahoma"/>
        </w:rPr>
        <w:t>outes les cartes géologiques du Mali notamment les anomalies les plus importantes encore en cours aujourd’hui, sont issues de cette période.</w:t>
      </w:r>
    </w:p>
    <w:p w14:paraId="32A78542" w14:textId="77777777" w:rsidR="00B94C00" w:rsidRPr="00B94C00" w:rsidRDefault="00B94C00" w:rsidP="00B94C00">
      <w:pPr>
        <w:jc w:val="both"/>
        <w:rPr>
          <w:rFonts w:eastAsia="Tahoma"/>
        </w:rPr>
      </w:pPr>
    </w:p>
    <w:p w14:paraId="5FAFF4BD" w14:textId="77777777" w:rsidR="002E7D29" w:rsidRDefault="002E7D29" w:rsidP="00B94C00">
      <w:pPr>
        <w:jc w:val="both"/>
        <w:textAlignment w:val="baseline"/>
        <w:rPr>
          <w:rFonts w:eastAsia="Tahoma"/>
        </w:rPr>
      </w:pPr>
      <w:r w:rsidRPr="00B94C00">
        <w:rPr>
          <w:rFonts w:eastAsia="Tahoma"/>
        </w:rPr>
        <w:t xml:space="preserve">A partir de l’indépendance en 1960, il sera créé un Bureau Malien Minier en 1962 qui deviendra plus tard la SONAREM (Société Nationale de Recherche et d’Exploitation Minière) en 1963. La SONAREM de 1963 à 1969, fut l’unique organisme public de recherche minière et pétrolière au Mali. Les travaux de la SONAREM ont abouti à de nombreuses découvertes tels </w:t>
      </w:r>
      <w:proofErr w:type="spellStart"/>
      <w:proofErr w:type="gramStart"/>
      <w:r w:rsidRPr="00B94C00">
        <w:rPr>
          <w:rFonts w:eastAsia="Tahoma"/>
        </w:rPr>
        <w:t>que,entre</w:t>
      </w:r>
      <w:proofErr w:type="spellEnd"/>
      <w:proofErr w:type="gramEnd"/>
      <w:r w:rsidRPr="00B94C00">
        <w:rPr>
          <w:rFonts w:eastAsia="Tahoma"/>
        </w:rPr>
        <w:t xml:space="preserve"> autres, les phosphates de Bourem, l’or de </w:t>
      </w:r>
      <w:proofErr w:type="spellStart"/>
      <w:r w:rsidRPr="00B94C00">
        <w:rPr>
          <w:rFonts w:eastAsia="Tahoma"/>
        </w:rPr>
        <w:t>Médinandi</w:t>
      </w:r>
      <w:proofErr w:type="spellEnd"/>
      <w:r w:rsidRPr="00B94C00">
        <w:rPr>
          <w:rFonts w:eastAsia="Tahoma"/>
        </w:rPr>
        <w:t xml:space="preserve"> et de </w:t>
      </w:r>
      <w:proofErr w:type="spellStart"/>
      <w:r w:rsidRPr="00B94C00">
        <w:rPr>
          <w:rFonts w:eastAsia="Tahoma"/>
        </w:rPr>
        <w:t>Kalana</w:t>
      </w:r>
      <w:proofErr w:type="spellEnd"/>
      <w:r w:rsidRPr="00B94C00">
        <w:rPr>
          <w:rFonts w:eastAsia="Tahoma"/>
        </w:rPr>
        <w:t xml:space="preserve">, les calcaires de </w:t>
      </w:r>
      <w:proofErr w:type="spellStart"/>
      <w:r w:rsidRPr="00B94C00">
        <w:rPr>
          <w:rFonts w:eastAsia="Tahoma"/>
        </w:rPr>
        <w:t>Diamou</w:t>
      </w:r>
      <w:proofErr w:type="spellEnd"/>
      <w:r w:rsidRPr="00B94C00">
        <w:rPr>
          <w:rFonts w:eastAsia="Tahoma"/>
        </w:rPr>
        <w:t xml:space="preserve">, le fer de </w:t>
      </w:r>
      <w:proofErr w:type="spellStart"/>
      <w:r w:rsidRPr="00B94C00">
        <w:rPr>
          <w:rFonts w:eastAsia="Tahoma"/>
        </w:rPr>
        <w:t>Balé</w:t>
      </w:r>
      <w:proofErr w:type="spellEnd"/>
      <w:r w:rsidRPr="00B94C00">
        <w:rPr>
          <w:rFonts w:eastAsia="Tahoma"/>
        </w:rPr>
        <w:t xml:space="preserve"> etc.</w:t>
      </w:r>
    </w:p>
    <w:p w14:paraId="7C4CE69A" w14:textId="77777777" w:rsidR="00B94C00" w:rsidRPr="00B94C00" w:rsidRDefault="00B94C00" w:rsidP="00B94C00">
      <w:pPr>
        <w:jc w:val="both"/>
        <w:textAlignment w:val="baseline"/>
        <w:rPr>
          <w:rFonts w:eastAsia="Tahoma"/>
        </w:rPr>
      </w:pPr>
    </w:p>
    <w:p w14:paraId="2D378A06" w14:textId="77777777" w:rsidR="002E7D29" w:rsidRDefault="002E7D29" w:rsidP="00B94C00">
      <w:pPr>
        <w:jc w:val="both"/>
        <w:textAlignment w:val="baseline"/>
        <w:rPr>
          <w:rFonts w:eastAsia="Tahoma"/>
        </w:rPr>
      </w:pPr>
      <w:r w:rsidRPr="00B94C00">
        <w:rPr>
          <w:rFonts w:eastAsia="Tahoma"/>
        </w:rPr>
        <w:t>A partir de 1969, la situation évoluera à la suite d’une réorganisation des structures de la recherche minière et pétrolière avec la création de la DNGM (Direction Nationale de la Géologie et des Mines). La DNGM devint l’organisme officiel chargé de promouvoir la recherche, l’exploitation et la transformation des ressources du sous-sol et, l’activité de la SONAREM fut presque exclusivement orientée vers la recherche de l’or</w:t>
      </w:r>
      <w:r w:rsidRPr="00B94C00">
        <w:rPr>
          <w:rStyle w:val="Appelnotedebasdep"/>
          <w:rFonts w:eastAsia="Tahoma"/>
        </w:rPr>
        <w:footnoteReference w:id="5"/>
      </w:r>
      <w:r w:rsidRPr="00B94C00">
        <w:rPr>
          <w:rFonts w:eastAsia="Tahoma"/>
        </w:rPr>
        <w:t xml:space="preserve">. </w:t>
      </w:r>
    </w:p>
    <w:p w14:paraId="46B6C732" w14:textId="77777777" w:rsidR="00B94C00" w:rsidRPr="00B94C00" w:rsidRDefault="00B94C00" w:rsidP="00B94C00">
      <w:pPr>
        <w:jc w:val="both"/>
        <w:textAlignment w:val="baseline"/>
        <w:rPr>
          <w:rFonts w:eastAsia="Tahoma"/>
        </w:rPr>
      </w:pPr>
    </w:p>
    <w:p w14:paraId="6D0499C9" w14:textId="77777777" w:rsidR="002E7D29" w:rsidRDefault="002E7D29" w:rsidP="00B94C00">
      <w:pPr>
        <w:jc w:val="both"/>
        <w:textAlignment w:val="baseline"/>
        <w:rPr>
          <w:rFonts w:eastAsia="Tahoma"/>
        </w:rPr>
      </w:pPr>
      <w:r w:rsidRPr="00B94C00">
        <w:rPr>
          <w:rFonts w:eastAsia="Tahoma"/>
        </w:rPr>
        <w:t>Le Mali a par ailleurs bénéficié au cours de cette période de nombreuses assistances bilatérales et multilatérales dont la première fut celle de l’Union Soviétique.</w:t>
      </w:r>
    </w:p>
    <w:p w14:paraId="648C9EF1" w14:textId="77777777" w:rsidR="00B94C00" w:rsidRPr="00B94C00" w:rsidRDefault="00B94C00" w:rsidP="00B94C00">
      <w:pPr>
        <w:jc w:val="both"/>
        <w:textAlignment w:val="baseline"/>
        <w:rPr>
          <w:rFonts w:eastAsia="Tahoma"/>
        </w:rPr>
      </w:pPr>
    </w:p>
    <w:p w14:paraId="01BA6530" w14:textId="77777777" w:rsidR="002E7D29" w:rsidRDefault="002E7D29" w:rsidP="00B94C00">
      <w:pPr>
        <w:jc w:val="both"/>
      </w:pPr>
      <w:r w:rsidRPr="00B94C00">
        <w:t>Il fallut attendre les années 1970, après le premier coup d’état militaire de 1968 pour voir le secteur minier cité dans les plans de développement du Mali et la définition d’une législation minière plus incitative, plus libérale et ouverte à l’investissement privé avec l’adoption de l’Ordonnance N°30/CMLN du 23 mai 1969</w:t>
      </w:r>
      <w:r w:rsidRPr="00B94C00">
        <w:rPr>
          <w:rStyle w:val="Appelnotedebasdep"/>
        </w:rPr>
        <w:footnoteReference w:id="6"/>
      </w:r>
      <w:r w:rsidRPr="00B94C00">
        <w:t xml:space="preserve"> portant Organisation de la Recherche, de l’Exploitation et le transport par canalisation des Hydrocarbures et l’ouverture du secteur à l’investissement privé direct.</w:t>
      </w:r>
    </w:p>
    <w:p w14:paraId="66C8898C" w14:textId="77777777" w:rsidR="00B94C00" w:rsidRPr="00B94C00" w:rsidRDefault="00B94C00" w:rsidP="00B94C00">
      <w:pPr>
        <w:jc w:val="both"/>
      </w:pPr>
    </w:p>
    <w:p w14:paraId="3651B906" w14:textId="77777777" w:rsidR="002E7D29" w:rsidRPr="00B94C00" w:rsidRDefault="002E7D29" w:rsidP="00B94C00">
      <w:pPr>
        <w:jc w:val="both"/>
        <w:textAlignment w:val="baseline"/>
        <w:rPr>
          <w:rFonts w:eastAsia="Tahoma"/>
        </w:rPr>
      </w:pPr>
      <w:r w:rsidRPr="00B94C00">
        <w:rPr>
          <w:rFonts w:eastAsia="Tahoma"/>
        </w:rPr>
        <w:t>A partir de 1974 on assiste à la diversification des partenaires à la fois bilatéraux et multilatéraux. Ainsi, le Mali a connu depuis son indépendance quatre (4) codes miniers non pétroliers :</w:t>
      </w:r>
    </w:p>
    <w:p w14:paraId="7833DAA4" w14:textId="77777777" w:rsidR="002E7D29" w:rsidRPr="00B94C00" w:rsidRDefault="002E7D29" w:rsidP="00B94C00">
      <w:pPr>
        <w:numPr>
          <w:ilvl w:val="0"/>
          <w:numId w:val="15"/>
        </w:numPr>
        <w:spacing w:after="240"/>
        <w:ind w:left="714" w:hanging="357"/>
        <w:jc w:val="both"/>
        <w:textAlignment w:val="baseline"/>
        <w:rPr>
          <w:rFonts w:eastAsia="Tahoma"/>
        </w:rPr>
      </w:pPr>
      <w:proofErr w:type="gramStart"/>
      <w:r w:rsidRPr="00B94C00">
        <w:rPr>
          <w:rFonts w:eastAsia="Tahoma"/>
        </w:rPr>
        <w:t>le</w:t>
      </w:r>
      <w:proofErr w:type="gramEnd"/>
      <w:r w:rsidRPr="00B94C00">
        <w:rPr>
          <w:rFonts w:eastAsia="Tahoma"/>
        </w:rPr>
        <w:t xml:space="preserve"> premier datant de 1963 était basé essentiellement sur les sociétés et entreprises d'Etat ;</w:t>
      </w:r>
    </w:p>
    <w:p w14:paraId="7857C002" w14:textId="77777777" w:rsidR="002E7D29" w:rsidRPr="00B94C00" w:rsidRDefault="002E7D29" w:rsidP="00B94C00">
      <w:pPr>
        <w:numPr>
          <w:ilvl w:val="0"/>
          <w:numId w:val="15"/>
        </w:numPr>
        <w:spacing w:after="240"/>
        <w:ind w:left="714" w:hanging="357"/>
        <w:jc w:val="both"/>
        <w:textAlignment w:val="baseline"/>
        <w:rPr>
          <w:rFonts w:eastAsia="Tahoma"/>
        </w:rPr>
      </w:pPr>
      <w:proofErr w:type="gramStart"/>
      <w:r w:rsidRPr="00B94C00">
        <w:rPr>
          <w:rFonts w:eastAsia="Tahoma"/>
        </w:rPr>
        <w:t>le</w:t>
      </w:r>
      <w:proofErr w:type="gramEnd"/>
      <w:r w:rsidRPr="00B94C00">
        <w:rPr>
          <w:rFonts w:eastAsia="Tahoma"/>
        </w:rPr>
        <w:t xml:space="preserve"> second, promulgué en 1970 a consacré l'entrée du pays dans l'économie libérale ; </w:t>
      </w:r>
    </w:p>
    <w:p w14:paraId="596E056F" w14:textId="77777777" w:rsidR="002E7D29" w:rsidRPr="00B94C00" w:rsidRDefault="002E7D29" w:rsidP="00B94C00">
      <w:pPr>
        <w:numPr>
          <w:ilvl w:val="0"/>
          <w:numId w:val="15"/>
        </w:numPr>
        <w:spacing w:after="240"/>
        <w:ind w:left="714" w:hanging="357"/>
        <w:jc w:val="both"/>
        <w:textAlignment w:val="baseline"/>
        <w:rPr>
          <w:rFonts w:eastAsia="Tahoma"/>
        </w:rPr>
      </w:pPr>
      <w:proofErr w:type="gramStart"/>
      <w:r w:rsidRPr="00B94C00">
        <w:rPr>
          <w:rFonts w:eastAsia="Tahoma"/>
        </w:rPr>
        <w:lastRenderedPageBreak/>
        <w:t>le</w:t>
      </w:r>
      <w:proofErr w:type="gramEnd"/>
      <w:r w:rsidRPr="00B94C00">
        <w:rPr>
          <w:rFonts w:eastAsia="Tahoma"/>
        </w:rPr>
        <w:t xml:space="preserve"> troisième code adopté en 1991, a favorisé le partenariat de l'Etat avec des sociétés privées, enregistrées dans les bourses internationales ;</w:t>
      </w:r>
    </w:p>
    <w:p w14:paraId="6CD36523" w14:textId="77777777" w:rsidR="002E7D29" w:rsidRPr="00B94C00" w:rsidRDefault="002E7D29" w:rsidP="00B94C00">
      <w:pPr>
        <w:numPr>
          <w:ilvl w:val="0"/>
          <w:numId w:val="15"/>
        </w:numPr>
        <w:spacing w:after="240"/>
        <w:ind w:left="714" w:hanging="357"/>
        <w:jc w:val="both"/>
        <w:textAlignment w:val="baseline"/>
        <w:rPr>
          <w:rFonts w:eastAsia="Tahoma"/>
        </w:rPr>
      </w:pPr>
      <w:proofErr w:type="gramStart"/>
      <w:r w:rsidRPr="00B94C00">
        <w:rPr>
          <w:rFonts w:eastAsia="Tahoma"/>
        </w:rPr>
        <w:t>enfin</w:t>
      </w:r>
      <w:proofErr w:type="gramEnd"/>
      <w:r w:rsidRPr="00B94C00">
        <w:rPr>
          <w:rFonts w:eastAsia="Tahoma"/>
        </w:rPr>
        <w:t xml:space="preserve"> le quatrième et dernier code en vigueur a été adopté en 2012, mais fait l’objet d’une procédure de relecture en cours.</w:t>
      </w:r>
    </w:p>
    <w:p w14:paraId="04DBEC8D" w14:textId="4B0EC09F" w:rsidR="002E7D29" w:rsidRPr="00B94C00" w:rsidRDefault="002E7D29" w:rsidP="00B94C00">
      <w:pPr>
        <w:jc w:val="both"/>
        <w:textAlignment w:val="baseline"/>
        <w:rPr>
          <w:rFonts w:eastAsia="Tahoma"/>
        </w:rPr>
      </w:pPr>
      <w:r w:rsidRPr="00B94C00">
        <w:rPr>
          <w:rFonts w:eastAsia="Tahoma"/>
        </w:rPr>
        <w:t xml:space="preserve">Depuis 2014, un processus de relecture du Code minier a été initié par le Ministère des mines, en vue de l’adapter au contexte du secteur minier. Ce processus de </w:t>
      </w:r>
      <w:r w:rsidR="00F704FA" w:rsidRPr="00B94C00">
        <w:rPr>
          <w:rFonts w:eastAsia="Tahoma"/>
        </w:rPr>
        <w:t>relecture implique</w:t>
      </w:r>
      <w:r w:rsidRPr="00B94C00">
        <w:rPr>
          <w:rFonts w:eastAsia="Tahoma"/>
        </w:rPr>
        <w:t xml:space="preserve"> l’ensemble des parties prenantes et est en cours.</w:t>
      </w:r>
    </w:p>
    <w:p w14:paraId="040E8204" w14:textId="77777777" w:rsidR="005847EB" w:rsidRPr="00B94C00" w:rsidRDefault="005847EB" w:rsidP="00B94C00">
      <w:pPr>
        <w:rPr>
          <w:b/>
        </w:rPr>
      </w:pPr>
    </w:p>
    <w:p w14:paraId="3B9E8E0C" w14:textId="77777777" w:rsidR="002E7D29" w:rsidRPr="00B94C00" w:rsidRDefault="002E7D29" w:rsidP="00B94C00">
      <w:pPr>
        <w:rPr>
          <w:b/>
        </w:rPr>
      </w:pPr>
      <w:r w:rsidRPr="00B94C00">
        <w:rPr>
          <w:b/>
        </w:rPr>
        <w:t xml:space="preserve">I.2. </w:t>
      </w:r>
      <w:r w:rsidRPr="00B94C00">
        <w:rPr>
          <w:b/>
          <w:u w:val="single"/>
        </w:rPr>
        <w:t>Point de la coopération bilatérale et multilatérale</w:t>
      </w:r>
    </w:p>
    <w:p w14:paraId="4CBC3DD9" w14:textId="77777777" w:rsidR="00B94C00" w:rsidRDefault="00B94C00" w:rsidP="00B94C00">
      <w:pPr>
        <w:jc w:val="both"/>
        <w:textAlignment w:val="baseline"/>
        <w:rPr>
          <w:rFonts w:eastAsia="Tahoma"/>
        </w:rPr>
      </w:pPr>
    </w:p>
    <w:p w14:paraId="6C9D7F5A" w14:textId="77777777" w:rsidR="002E7D29" w:rsidRDefault="002E7D29" w:rsidP="00B94C00">
      <w:pPr>
        <w:jc w:val="both"/>
        <w:textAlignment w:val="baseline"/>
      </w:pPr>
      <w:r w:rsidRPr="00B94C00">
        <w:rPr>
          <w:rFonts w:eastAsia="Tahoma"/>
        </w:rPr>
        <w:t>Ainsi la coopération française (1974-1989) intervenant à travers le BRGM, a permis la réalisation d’un inventaire exhaustif de toutes les ressources minérales dans le pays, la recherche de l’or, du diamant et de l’uranium dans le Sud et l’Ouest du pays. Cette</w:t>
      </w:r>
      <w:r w:rsidRPr="00B94C00">
        <w:t xml:space="preserve"> coopération, à travers différents projets a contribué à l’exploration géochimique des régions de Sikasso, de </w:t>
      </w:r>
      <w:proofErr w:type="spellStart"/>
      <w:r w:rsidRPr="00B94C00">
        <w:t>Kangaba</w:t>
      </w:r>
      <w:proofErr w:type="spellEnd"/>
      <w:r w:rsidRPr="00B94C00">
        <w:t xml:space="preserve"> et de </w:t>
      </w:r>
      <w:proofErr w:type="spellStart"/>
      <w:r w:rsidRPr="00B94C00">
        <w:t>Kéniéba</w:t>
      </w:r>
      <w:proofErr w:type="spellEnd"/>
      <w:r w:rsidRPr="00B94C00">
        <w:t xml:space="preserve">. Les résultats les plus marquants sont la mise en évidence du gisement de </w:t>
      </w:r>
      <w:proofErr w:type="spellStart"/>
      <w:r w:rsidRPr="00B94C00">
        <w:t>Loulo</w:t>
      </w:r>
      <w:proofErr w:type="spellEnd"/>
      <w:r w:rsidRPr="00B94C00">
        <w:t xml:space="preserve"> et celle des Indices de </w:t>
      </w:r>
      <w:proofErr w:type="spellStart"/>
      <w:r w:rsidRPr="00B94C00">
        <w:t>Tabakoto</w:t>
      </w:r>
      <w:proofErr w:type="spellEnd"/>
      <w:r w:rsidRPr="00B94C00">
        <w:t xml:space="preserve">, de Ségala et beaucoup d’autres dans la région de </w:t>
      </w:r>
      <w:proofErr w:type="spellStart"/>
      <w:r w:rsidRPr="00B94C00">
        <w:t>Kéniéba</w:t>
      </w:r>
      <w:proofErr w:type="spellEnd"/>
      <w:r w:rsidRPr="00B94C00">
        <w:t>. Toutes ces anomalies devinrent accessibles aux grandes compagnies minières, aux sociétés juniors d’Australie, d’Afrique du Sud et du Canada, ainsi qu’aux nationaux.</w:t>
      </w:r>
    </w:p>
    <w:p w14:paraId="712B9182" w14:textId="77777777" w:rsidR="00B94C00" w:rsidRPr="00B94C00" w:rsidRDefault="00B94C00" w:rsidP="00B94C00">
      <w:pPr>
        <w:jc w:val="both"/>
        <w:textAlignment w:val="baseline"/>
        <w:rPr>
          <w:rFonts w:eastAsia="Tahoma"/>
        </w:rPr>
      </w:pPr>
    </w:p>
    <w:p w14:paraId="2F7A2522" w14:textId="77777777" w:rsidR="002E7D29" w:rsidRDefault="002E7D29" w:rsidP="00B94C00">
      <w:pPr>
        <w:jc w:val="both"/>
        <w:textAlignment w:val="baseline"/>
      </w:pPr>
      <w:r w:rsidRPr="00B94C00">
        <w:rPr>
          <w:rFonts w:eastAsia="Tahoma"/>
        </w:rPr>
        <w:t>L’assistance du PNUD durera de 1979 à 1992 et s’est traduite par le</w:t>
      </w:r>
      <w:r w:rsidRPr="00B94C00">
        <w:t xml:space="preserve"> projet de cartographie et de prospection géochimique sol « Or-Bagoé ». Elle a abouti à la découverte de nombreuses anomalies aurifères et à celle du gisement de </w:t>
      </w:r>
      <w:proofErr w:type="spellStart"/>
      <w:r w:rsidRPr="00B94C00">
        <w:t>Syama</w:t>
      </w:r>
      <w:proofErr w:type="spellEnd"/>
      <w:r w:rsidRPr="00B94C00">
        <w:t xml:space="preserve"> en 1984, à la collecte et à l’analyse de milliers d’échantillons sol pour or et métaux de base, au traitement et à la diffusion des données, à la mise en place d’un laboratoire moderne, d’un centre de traitement informatisé et des structures performantes et bien équipées pour les travaux de cartographie, de géologie, de géochimie, de géophysique et de forage.</w:t>
      </w:r>
    </w:p>
    <w:p w14:paraId="7BEF5B65" w14:textId="77777777" w:rsidR="00B94C00" w:rsidRPr="00B94C00" w:rsidRDefault="00B94C00" w:rsidP="00B94C00">
      <w:pPr>
        <w:jc w:val="both"/>
        <w:textAlignment w:val="baseline"/>
      </w:pPr>
    </w:p>
    <w:p w14:paraId="28922DED" w14:textId="77777777" w:rsidR="002E7D29" w:rsidRDefault="002E7D29" w:rsidP="00B94C00">
      <w:pPr>
        <w:jc w:val="both"/>
        <w:textAlignment w:val="baseline"/>
        <w:rPr>
          <w:rFonts w:eastAsia="Tahoma"/>
        </w:rPr>
      </w:pPr>
      <w:r w:rsidRPr="00B94C00">
        <w:rPr>
          <w:rFonts w:eastAsia="Tahoma"/>
        </w:rPr>
        <w:t xml:space="preserve">Cette assistance s’achèvera par la mise en place du Programme de Développement des Ressources Minérales (PDRM), Service rattaché à la DNGM et destiné à continuer l’activité de développement des ressources minérales en rassemblant et en utilisant les fonds de l’Etat et les fonds provenant de l’assistance bilatérale et multilatérales. </w:t>
      </w:r>
    </w:p>
    <w:p w14:paraId="0AF896DF" w14:textId="77777777" w:rsidR="00B94C00" w:rsidRPr="00B94C00" w:rsidRDefault="00B94C00" w:rsidP="00B94C00">
      <w:pPr>
        <w:jc w:val="both"/>
        <w:textAlignment w:val="baseline"/>
        <w:rPr>
          <w:rFonts w:eastAsia="Tahoma"/>
        </w:rPr>
      </w:pPr>
    </w:p>
    <w:p w14:paraId="7DC09E35" w14:textId="77777777" w:rsidR="002E7D29" w:rsidRDefault="002E7D29" w:rsidP="00B94C00">
      <w:pPr>
        <w:jc w:val="both"/>
        <w:textAlignment w:val="baseline"/>
        <w:rPr>
          <w:rFonts w:eastAsia="Tahoma"/>
        </w:rPr>
      </w:pPr>
      <w:r w:rsidRPr="00B94C00">
        <w:rPr>
          <w:rFonts w:eastAsia="Tahoma"/>
        </w:rPr>
        <w:t xml:space="preserve">L’intervention de l’Union Européenne entre 1987-1993 dans le cadre du projet Mali Ouest I et II et entre 2000-2007 dans le cadre du projet SYSMIN et de la Banque Européenne de Développement (1999-2006) ont également largement contribué au développement minier par la réalisation de projets de prospection et de campagnes de géophysique aéroportée, dont celui de « Mali-Ouest ». </w:t>
      </w:r>
    </w:p>
    <w:p w14:paraId="6182561B" w14:textId="77777777" w:rsidR="00B94C00" w:rsidRPr="00B94C00" w:rsidRDefault="00B94C00" w:rsidP="00B94C00">
      <w:pPr>
        <w:jc w:val="both"/>
        <w:textAlignment w:val="baseline"/>
        <w:rPr>
          <w:rFonts w:eastAsia="Tahoma"/>
        </w:rPr>
      </w:pPr>
    </w:p>
    <w:p w14:paraId="602E3794" w14:textId="77777777" w:rsidR="002E7D29" w:rsidRPr="00B94C00" w:rsidRDefault="002E7D29" w:rsidP="00B94C00">
      <w:pPr>
        <w:jc w:val="both"/>
        <w:textAlignment w:val="baseline"/>
        <w:rPr>
          <w:rFonts w:eastAsia="Tahoma"/>
          <w:b/>
        </w:rPr>
      </w:pPr>
      <w:r w:rsidRPr="00B94C00">
        <w:rPr>
          <w:rFonts w:eastAsia="Tahoma"/>
        </w:rPr>
        <w:t xml:space="preserve">Cette assistance a permis la collecte de données géo-scientifiques d’une très grande ampleur et </w:t>
      </w:r>
      <w:r w:rsidRPr="00B94C00">
        <w:t>a ainsi permis la découverte de nombreuses anomalies aurifères en 1987. Deux de ces anomalies furent transformées en gisements de classe mondiale (</w:t>
      </w:r>
      <w:proofErr w:type="spellStart"/>
      <w:r w:rsidRPr="00B94C00">
        <w:t>Sadiola</w:t>
      </w:r>
      <w:proofErr w:type="spellEnd"/>
      <w:r w:rsidRPr="00B94C00">
        <w:t xml:space="preserve"> en 1997 et </w:t>
      </w:r>
      <w:proofErr w:type="spellStart"/>
      <w:r w:rsidRPr="00B94C00">
        <w:t>Yatéla</w:t>
      </w:r>
      <w:proofErr w:type="spellEnd"/>
      <w:r w:rsidRPr="00B94C00">
        <w:t xml:space="preserve"> en 2001) par la société </w:t>
      </w:r>
      <w:proofErr w:type="spellStart"/>
      <w:r w:rsidRPr="00B94C00">
        <w:t>Anglogold</w:t>
      </w:r>
      <w:proofErr w:type="spellEnd"/>
      <w:r w:rsidRPr="00B94C00">
        <w:t xml:space="preserve"> associée à </w:t>
      </w:r>
      <w:proofErr w:type="spellStart"/>
      <w:r w:rsidRPr="00B94C00">
        <w:t>Iamgold</w:t>
      </w:r>
      <w:proofErr w:type="spellEnd"/>
      <w:r w:rsidRPr="00B94C00">
        <w:t xml:space="preserve"> et à l’Etat malien.</w:t>
      </w:r>
    </w:p>
    <w:p w14:paraId="68170693" w14:textId="77777777" w:rsidR="002E7D29" w:rsidRDefault="002E7D29" w:rsidP="00B94C00">
      <w:pPr>
        <w:jc w:val="both"/>
        <w:textAlignment w:val="baseline"/>
      </w:pPr>
      <w:r w:rsidRPr="00B94C00">
        <w:rPr>
          <w:rFonts w:eastAsia="Tahoma"/>
        </w:rPr>
        <w:t>Quant à la coopération Belge (1984-1987), elle a à travers le</w:t>
      </w:r>
      <w:r w:rsidRPr="00B94C00">
        <w:t xml:space="preserve"> projet de cartographie du degré carré de </w:t>
      </w:r>
      <w:proofErr w:type="spellStart"/>
      <w:r w:rsidRPr="00B94C00">
        <w:t>Massigui</w:t>
      </w:r>
      <w:proofErr w:type="spellEnd"/>
      <w:r w:rsidRPr="00B94C00">
        <w:t xml:space="preserve">, abouti à son tour à la découverte de nombreuses anomalies aurifères dont celle de </w:t>
      </w:r>
      <w:proofErr w:type="spellStart"/>
      <w:r w:rsidRPr="00B94C00">
        <w:lastRenderedPageBreak/>
        <w:t>Morila</w:t>
      </w:r>
      <w:proofErr w:type="spellEnd"/>
      <w:r w:rsidRPr="00B94C00">
        <w:t xml:space="preserve"> qui fut confirmée en gisement par BHP </w:t>
      </w:r>
      <w:proofErr w:type="spellStart"/>
      <w:r w:rsidRPr="00B94C00">
        <w:t>Minerals</w:t>
      </w:r>
      <w:proofErr w:type="spellEnd"/>
      <w:r w:rsidRPr="00B94C00">
        <w:t xml:space="preserve"> en 1994 et développée par les sociétés </w:t>
      </w:r>
      <w:proofErr w:type="spellStart"/>
      <w:r w:rsidRPr="00B94C00">
        <w:t>Randgold</w:t>
      </w:r>
      <w:proofErr w:type="spellEnd"/>
      <w:r w:rsidRPr="00B94C00">
        <w:t xml:space="preserve"> et </w:t>
      </w:r>
      <w:proofErr w:type="spellStart"/>
      <w:r w:rsidRPr="00B94C00">
        <w:t>Anglogold</w:t>
      </w:r>
      <w:proofErr w:type="spellEnd"/>
      <w:r w:rsidRPr="00B94C00">
        <w:t xml:space="preserve"> en mine de classe mondiale en l’an 2000.</w:t>
      </w:r>
    </w:p>
    <w:p w14:paraId="56641F20" w14:textId="77777777" w:rsidR="00B94C00" w:rsidRPr="00B94C00" w:rsidRDefault="00B94C00" w:rsidP="00B94C00">
      <w:pPr>
        <w:jc w:val="both"/>
        <w:textAlignment w:val="baseline"/>
      </w:pPr>
    </w:p>
    <w:p w14:paraId="5A0AF3C7" w14:textId="77777777" w:rsidR="002E7D29" w:rsidRDefault="002E7D29" w:rsidP="00B94C00">
      <w:pPr>
        <w:jc w:val="both"/>
        <w:textAlignment w:val="baseline"/>
        <w:rPr>
          <w:rFonts w:eastAsia="Tahoma"/>
        </w:rPr>
      </w:pPr>
      <w:r w:rsidRPr="00B94C00">
        <w:rPr>
          <w:rFonts w:eastAsia="Tahoma"/>
        </w:rPr>
        <w:t xml:space="preserve">L’assistance de la Banque Mondiale a commencé en 1995 avec le projet PATSM (Projet d’Assistance Technique au Secteur Minier). Ce projet s’est surtout attelé à l’organisation de la base de données géo scientifique, au renforcement des capacités et à la Gouvernance. Elle a ainsi </w:t>
      </w:r>
      <w:r w:rsidRPr="00B94C00">
        <w:t>appuyé la restructuration des services administratifs et techniques</w:t>
      </w:r>
      <w:r w:rsidRPr="00B94C00">
        <w:rPr>
          <w:b/>
        </w:rPr>
        <w:t xml:space="preserve">, </w:t>
      </w:r>
      <w:r w:rsidRPr="00B94C00">
        <w:t>la synthèse des données géologiques et minières</w:t>
      </w:r>
      <w:r w:rsidRPr="00B94C00">
        <w:rPr>
          <w:b/>
        </w:rPr>
        <w:t xml:space="preserve">, </w:t>
      </w:r>
      <w:r w:rsidRPr="00B94C00">
        <w:t>l</w:t>
      </w:r>
      <w:r w:rsidRPr="00B94C00">
        <w:rPr>
          <w:b/>
        </w:rPr>
        <w:t>’</w:t>
      </w:r>
      <w:r w:rsidRPr="00B94C00">
        <w:t>édition de cartes géologiques de synthèse actualisées au 1</w:t>
      </w:r>
      <w:r w:rsidRPr="00B94C00">
        <w:rPr>
          <w:b/>
        </w:rPr>
        <w:t>:</w:t>
      </w:r>
      <w:r w:rsidRPr="00B94C00">
        <w:t>1.500.000</w:t>
      </w:r>
      <w:r w:rsidRPr="00B94C00">
        <w:rPr>
          <w:vertAlign w:val="superscript"/>
        </w:rPr>
        <w:t>ème</w:t>
      </w:r>
      <w:r w:rsidRPr="00B94C00">
        <w:rPr>
          <w:b/>
        </w:rPr>
        <w:t xml:space="preserve">, </w:t>
      </w:r>
      <w:r w:rsidRPr="00B94C00">
        <w:t>au 1</w:t>
      </w:r>
      <w:r w:rsidRPr="00B94C00">
        <w:rPr>
          <w:b/>
        </w:rPr>
        <w:t>:</w:t>
      </w:r>
      <w:r w:rsidRPr="00B94C00">
        <w:t>500.000</w:t>
      </w:r>
      <w:r w:rsidRPr="00B94C00">
        <w:rPr>
          <w:vertAlign w:val="superscript"/>
        </w:rPr>
        <w:t>ème</w:t>
      </w:r>
      <w:r w:rsidRPr="00B94C00">
        <w:t xml:space="preserve"> et au 1</w:t>
      </w:r>
      <w:r w:rsidRPr="00B94C00">
        <w:rPr>
          <w:b/>
        </w:rPr>
        <w:t>:</w:t>
      </w:r>
      <w:r w:rsidRPr="00B94C00">
        <w:t>200.000</w:t>
      </w:r>
      <w:r w:rsidRPr="00B94C00">
        <w:rPr>
          <w:vertAlign w:val="superscript"/>
        </w:rPr>
        <w:t>ème</w:t>
      </w:r>
      <w:r w:rsidRPr="00B94C00">
        <w:rPr>
          <w:b/>
        </w:rPr>
        <w:t xml:space="preserve">, </w:t>
      </w:r>
      <w:r w:rsidRPr="00B94C00">
        <w:t>l</w:t>
      </w:r>
      <w:r w:rsidRPr="00B94C00">
        <w:rPr>
          <w:b/>
        </w:rPr>
        <w:t>’</w:t>
      </w:r>
      <w:r w:rsidRPr="00B94C00">
        <w:t>amélioration et la modernisation du Centre de Documentation</w:t>
      </w:r>
      <w:r w:rsidRPr="00B94C00">
        <w:rPr>
          <w:b/>
        </w:rPr>
        <w:t xml:space="preserve">, </w:t>
      </w:r>
      <w:r w:rsidRPr="00B94C00">
        <w:t>la mise en place d</w:t>
      </w:r>
      <w:r w:rsidRPr="00B94C00">
        <w:rPr>
          <w:b/>
        </w:rPr>
        <w:t>’</w:t>
      </w:r>
      <w:r w:rsidRPr="00B94C00">
        <w:t>un système d</w:t>
      </w:r>
      <w:r w:rsidRPr="00B94C00">
        <w:rPr>
          <w:b/>
        </w:rPr>
        <w:t>’</w:t>
      </w:r>
      <w:r w:rsidRPr="00B94C00">
        <w:t>information géographique (SIG) facilitant la conservation</w:t>
      </w:r>
      <w:r w:rsidRPr="00B94C00">
        <w:rPr>
          <w:b/>
        </w:rPr>
        <w:t xml:space="preserve">, </w:t>
      </w:r>
      <w:r w:rsidRPr="00B94C00">
        <w:t>le traitement et l</w:t>
      </w:r>
      <w:r w:rsidRPr="00B94C00">
        <w:rPr>
          <w:b/>
        </w:rPr>
        <w:t>’</w:t>
      </w:r>
      <w:r w:rsidRPr="00B94C00">
        <w:t>accès aux données pour tous les usagers</w:t>
      </w:r>
      <w:r w:rsidRPr="00B94C00">
        <w:rPr>
          <w:b/>
        </w:rPr>
        <w:t>, l</w:t>
      </w:r>
      <w:r w:rsidRPr="00B94C00">
        <w:t>a relecture du code minier, la r</w:t>
      </w:r>
      <w:r w:rsidRPr="00B94C00">
        <w:rPr>
          <w:rFonts w:eastAsia="Tahoma"/>
        </w:rPr>
        <w:t>evue et l’amélioration de la Législation et de la Réglementation applicables à l’Exploitation Minière Artisanale et à la petite mine</w:t>
      </w:r>
      <w:r w:rsidRPr="00B94C00">
        <w:t xml:space="preserve"> en</w:t>
      </w:r>
      <w:r w:rsidRPr="00B94C00">
        <w:rPr>
          <w:rFonts w:eastAsia="Tahoma"/>
        </w:rPr>
        <w:t xml:space="preserve"> 1999 et la mise en place du cadastre Minier en 2006. </w:t>
      </w:r>
    </w:p>
    <w:p w14:paraId="7136FB5F" w14:textId="77777777" w:rsidR="00B94C00" w:rsidRPr="00B94C00" w:rsidRDefault="00B94C00" w:rsidP="00B94C00">
      <w:pPr>
        <w:jc w:val="both"/>
        <w:textAlignment w:val="baseline"/>
        <w:rPr>
          <w:rFonts w:eastAsia="Tahoma"/>
        </w:rPr>
      </w:pPr>
    </w:p>
    <w:p w14:paraId="655662CC" w14:textId="77777777" w:rsidR="002E7D29" w:rsidRDefault="002E7D29" w:rsidP="00B94C00">
      <w:pPr>
        <w:jc w:val="both"/>
        <w:textAlignment w:val="baseline"/>
      </w:pPr>
      <w:r w:rsidRPr="00B94C00">
        <w:rPr>
          <w:rFonts w:eastAsia="Tahoma"/>
        </w:rPr>
        <w:t xml:space="preserve">Enfin la JICA </w:t>
      </w:r>
      <w:r w:rsidRPr="00B94C00">
        <w:t>(</w:t>
      </w:r>
      <w:r w:rsidR="00BD6448" w:rsidRPr="00B94C00">
        <w:t xml:space="preserve">Agence Japonaise de </w:t>
      </w:r>
      <w:r w:rsidRPr="00B94C00">
        <w:t xml:space="preserve">Coopération </w:t>
      </w:r>
      <w:r w:rsidR="00BD6448" w:rsidRPr="00B94C00">
        <w:t>Internationale</w:t>
      </w:r>
      <w:r w:rsidRPr="00B94C00">
        <w:t>)</w:t>
      </w:r>
      <w:r w:rsidR="00BD6448" w:rsidRPr="00B94C00">
        <w:t xml:space="preserve"> </w:t>
      </w:r>
      <w:r w:rsidRPr="00B94C00">
        <w:rPr>
          <w:rFonts w:eastAsia="Tahoma"/>
        </w:rPr>
        <w:t>(1993-1999),</w:t>
      </w:r>
      <w:r w:rsidRPr="00B94C00">
        <w:t xml:space="preserve"> a financé la prospection géochimique sol et la cartographie de la zone de </w:t>
      </w:r>
      <w:proofErr w:type="spellStart"/>
      <w:r w:rsidRPr="00B94C00">
        <w:t>Kékoro</w:t>
      </w:r>
      <w:proofErr w:type="spellEnd"/>
      <w:r w:rsidRPr="00B94C00">
        <w:t>-Baoulé-</w:t>
      </w:r>
      <w:proofErr w:type="spellStart"/>
      <w:r w:rsidRPr="00B94C00">
        <w:t>Banifing</w:t>
      </w:r>
      <w:proofErr w:type="spellEnd"/>
      <w:r w:rsidRPr="00B94C00">
        <w:t xml:space="preserve"> sur la feuille au 1/200.000</w:t>
      </w:r>
      <w:r w:rsidRPr="00B94C00">
        <w:rPr>
          <w:vertAlign w:val="superscript"/>
        </w:rPr>
        <w:t>ème</w:t>
      </w:r>
      <w:r w:rsidRPr="00B94C00">
        <w:t xml:space="preserve"> de Bougouni</w:t>
      </w:r>
      <w:r w:rsidRPr="00B94C00">
        <w:rPr>
          <w:b/>
        </w:rPr>
        <w:t xml:space="preserve">. </w:t>
      </w:r>
      <w:r w:rsidRPr="00B94C00">
        <w:t>La première phase des travaux de recherche a été réalisée au cours des années 1997 à 1999 qui a abouti à ce jour à la découverte de nombreux indices en cours de suivi</w:t>
      </w:r>
      <w:r w:rsidRPr="00B94C00">
        <w:rPr>
          <w:b/>
        </w:rPr>
        <w:t xml:space="preserve">. </w:t>
      </w:r>
      <w:r w:rsidRPr="00B94C00">
        <w:t xml:space="preserve">La seconde phase du projet avec la </w:t>
      </w:r>
      <w:r w:rsidR="007D6ACC" w:rsidRPr="00B94C00">
        <w:t xml:space="preserve">JICA </w:t>
      </w:r>
      <w:r w:rsidRPr="00B94C00">
        <w:t xml:space="preserve">concernait </w:t>
      </w:r>
      <w:proofErr w:type="spellStart"/>
      <w:r w:rsidRPr="00B94C00">
        <w:t>Kékoro</w:t>
      </w:r>
      <w:proofErr w:type="spellEnd"/>
      <w:r w:rsidRPr="00B94C00">
        <w:t>-Baoulé-</w:t>
      </w:r>
      <w:proofErr w:type="spellStart"/>
      <w:r w:rsidRPr="00B94C00">
        <w:t>Banifing</w:t>
      </w:r>
      <w:proofErr w:type="spellEnd"/>
      <w:r w:rsidRPr="00B94C00">
        <w:t>.</w:t>
      </w:r>
    </w:p>
    <w:p w14:paraId="3E190C8B" w14:textId="77777777" w:rsidR="00B94C00" w:rsidRPr="00B94C00" w:rsidRDefault="00B94C00" w:rsidP="00B94C00">
      <w:pPr>
        <w:jc w:val="both"/>
        <w:textAlignment w:val="baseline"/>
      </w:pPr>
    </w:p>
    <w:p w14:paraId="62030191" w14:textId="77777777" w:rsidR="002E7D29" w:rsidRDefault="002E7D29" w:rsidP="00B94C00">
      <w:pPr>
        <w:jc w:val="both"/>
        <w:textAlignment w:val="baseline"/>
        <w:rPr>
          <w:b/>
        </w:rPr>
      </w:pPr>
      <w:r w:rsidRPr="00B94C00">
        <w:t>Les programmes récents et les projets actuellement en cours d</w:t>
      </w:r>
      <w:r w:rsidRPr="00B94C00">
        <w:rPr>
          <w:b/>
        </w:rPr>
        <w:t>’</w:t>
      </w:r>
      <w:r w:rsidRPr="00B94C00">
        <w:t>exécution dans le secteur minier (hors pétrole) sont pour la plupart hérités de la phase ascendante 1980-2000où l</w:t>
      </w:r>
      <w:r w:rsidRPr="00B94C00">
        <w:rPr>
          <w:b/>
        </w:rPr>
        <w:t>’</w:t>
      </w:r>
      <w:r w:rsidRPr="00B94C00">
        <w:t>investissement privé direct dans l</w:t>
      </w:r>
      <w:r w:rsidRPr="00B94C00">
        <w:rPr>
          <w:b/>
        </w:rPr>
        <w:t>’</w:t>
      </w:r>
      <w:r w:rsidRPr="00B94C00">
        <w:t>exploration et l</w:t>
      </w:r>
      <w:r w:rsidRPr="00B94C00">
        <w:rPr>
          <w:b/>
        </w:rPr>
        <w:t>’</w:t>
      </w:r>
      <w:r w:rsidRPr="00B94C00">
        <w:t>exploitation de l</w:t>
      </w:r>
      <w:r w:rsidRPr="00B94C00">
        <w:rPr>
          <w:b/>
        </w:rPr>
        <w:t>’</w:t>
      </w:r>
      <w:r w:rsidRPr="00B94C00">
        <w:t>or a connu une expansion considérable (+139</w:t>
      </w:r>
      <w:r w:rsidRPr="00B94C00">
        <w:rPr>
          <w:b/>
        </w:rPr>
        <w:t>,</w:t>
      </w:r>
      <w:r w:rsidRPr="00B94C00">
        <w:t>2% entre 1994 et 1998)</w:t>
      </w:r>
      <w:r w:rsidRPr="00B94C00">
        <w:rPr>
          <w:b/>
        </w:rPr>
        <w:t xml:space="preserve">. </w:t>
      </w:r>
    </w:p>
    <w:p w14:paraId="2860060C" w14:textId="77777777" w:rsidR="00B94C00" w:rsidRPr="00B94C00" w:rsidRDefault="00B94C00" w:rsidP="00B94C00">
      <w:pPr>
        <w:jc w:val="both"/>
        <w:textAlignment w:val="baseline"/>
      </w:pPr>
    </w:p>
    <w:p w14:paraId="06D4C332" w14:textId="697A02F7" w:rsidR="002E7D29" w:rsidRPr="00B94C00" w:rsidRDefault="002E7D29" w:rsidP="00B94C00">
      <w:pPr>
        <w:jc w:val="both"/>
        <w:textAlignment w:val="baseline"/>
      </w:pPr>
      <w:r w:rsidRPr="00B94C00">
        <w:t xml:space="preserve">Ainsi, avant 1990, la production nationale en or était estimée à 2 tonnes produites par les orpailleurs. En l’an 2002, elle a atteint le chiffre record de 63,7 tonnes générant des recettes fiscales de 39,6 milliards. La production d’or est retombée en 2004 en deçà de 50 tonnes, plus représentatif du niveau de production annuelle </w:t>
      </w:r>
      <w:proofErr w:type="spellStart"/>
      <w:r w:rsidRPr="00B94C00">
        <w:t>actue</w:t>
      </w:r>
      <w:proofErr w:type="spellEnd"/>
      <w:r w:rsidR="00F01272">
        <w:t xml:space="preserve"> </w:t>
      </w:r>
      <w:proofErr w:type="spellStart"/>
      <w:r w:rsidRPr="00B94C00">
        <w:t>lle</w:t>
      </w:r>
      <w:proofErr w:type="spellEnd"/>
      <w:r w:rsidRPr="00B94C00">
        <w:t xml:space="preserve"> au Mali, le record de 2002 étant lié avant tout à des teneurs exceptionnelles presque inattendues.</w:t>
      </w:r>
    </w:p>
    <w:p w14:paraId="2B50F78F" w14:textId="77777777" w:rsidR="005847EB" w:rsidRPr="00B94C00" w:rsidRDefault="005847EB" w:rsidP="00B94C00">
      <w:pPr>
        <w:spacing w:line="276" w:lineRule="auto"/>
        <w:rPr>
          <w:b/>
        </w:rPr>
      </w:pPr>
    </w:p>
    <w:p w14:paraId="5C35EABC" w14:textId="77777777" w:rsidR="002E7D29" w:rsidRPr="00B94C00" w:rsidRDefault="002E7D29" w:rsidP="00B94C00">
      <w:r w:rsidRPr="00B94C00">
        <w:rPr>
          <w:b/>
        </w:rPr>
        <w:t xml:space="preserve">I.3 – </w:t>
      </w:r>
      <w:r w:rsidRPr="00B94C00">
        <w:rPr>
          <w:b/>
          <w:u w:val="single"/>
        </w:rPr>
        <w:t>Point de la recherche pétrolière</w:t>
      </w:r>
    </w:p>
    <w:p w14:paraId="1B7B1A92" w14:textId="77777777" w:rsidR="00B94C00" w:rsidRDefault="00B94C00" w:rsidP="00B94C00">
      <w:pPr>
        <w:jc w:val="both"/>
        <w:textAlignment w:val="baseline"/>
      </w:pPr>
    </w:p>
    <w:p w14:paraId="5CB71892" w14:textId="77777777" w:rsidR="002E7D29" w:rsidRDefault="002E7D29" w:rsidP="00B94C00">
      <w:pPr>
        <w:jc w:val="both"/>
        <w:textAlignment w:val="baseline"/>
      </w:pPr>
      <w:r w:rsidRPr="00B94C00">
        <w:t xml:space="preserve">Dans le secteur pétrolier, dès la période coloniale notamment à partir de 1953, des missions de pré reconnaissance pétrolière seront en activité sur l’ensemble de </w:t>
      </w:r>
      <w:proofErr w:type="gramStart"/>
      <w:r w:rsidRPr="00B94C00">
        <w:t>l’A.O.F</w:t>
      </w:r>
      <w:proofErr w:type="gramEnd"/>
      <w:r w:rsidRPr="00B94C00">
        <w:t xml:space="preserve"> dont le Mali.</w:t>
      </w:r>
    </w:p>
    <w:p w14:paraId="77368874" w14:textId="77777777" w:rsidR="00B94C00" w:rsidRPr="00B94C00" w:rsidRDefault="00B94C00" w:rsidP="00B94C00">
      <w:pPr>
        <w:jc w:val="both"/>
        <w:textAlignment w:val="baseline"/>
      </w:pPr>
    </w:p>
    <w:p w14:paraId="021DCE2B" w14:textId="77777777" w:rsidR="002E7D29" w:rsidRPr="00B94C00" w:rsidRDefault="002E7D29" w:rsidP="00B94C00">
      <w:pPr>
        <w:jc w:val="both"/>
        <w:textAlignment w:val="baseline"/>
      </w:pPr>
      <w:r w:rsidRPr="00B94C00">
        <w:t xml:space="preserve">Après l’indépendance, avec la création de la SONAREM, les activités de recherche ont abouti à l’implantation des forages pétroliers de </w:t>
      </w:r>
      <w:proofErr w:type="spellStart"/>
      <w:r w:rsidRPr="00B94C00">
        <w:t>Tahabanat</w:t>
      </w:r>
      <w:proofErr w:type="spellEnd"/>
      <w:r w:rsidRPr="00B94C00">
        <w:t xml:space="preserve"> en 1966 avec 1970 mètres de profondeur et celui d’In </w:t>
      </w:r>
      <w:proofErr w:type="spellStart"/>
      <w:r w:rsidRPr="00B94C00">
        <w:t>Tamat</w:t>
      </w:r>
      <w:proofErr w:type="spellEnd"/>
      <w:r w:rsidRPr="00B94C00">
        <w:t xml:space="preserve"> en 1945 avec 1145 mètres de profondeur.</w:t>
      </w:r>
    </w:p>
    <w:p w14:paraId="4C7AFD32" w14:textId="77777777" w:rsidR="002E7D29" w:rsidRDefault="002E7D29" w:rsidP="00B94C00">
      <w:pPr>
        <w:jc w:val="both"/>
        <w:textAlignment w:val="baseline"/>
      </w:pPr>
      <w:r w:rsidRPr="00B94C00">
        <w:t>En 1969 fût adoptée le Code pétrolier pour favoriser l’investissement privé, étranger ou national au Mali. C’est ainsi qu’à partir de 1970, les sociétés privées étrangères apparurent au Mali pour opérer grâce à des permis de recherche</w:t>
      </w:r>
      <w:r w:rsidRPr="00B94C00">
        <w:rPr>
          <w:rStyle w:val="Appelnotedebasdep"/>
        </w:rPr>
        <w:footnoteReference w:id="7"/>
      </w:r>
      <w:r w:rsidRPr="00B94C00">
        <w:t>.</w:t>
      </w:r>
    </w:p>
    <w:p w14:paraId="25503C23" w14:textId="77777777" w:rsidR="00E0217D" w:rsidRPr="00B94C00" w:rsidRDefault="00E0217D" w:rsidP="00B94C00">
      <w:pPr>
        <w:jc w:val="both"/>
        <w:textAlignment w:val="baseline"/>
      </w:pPr>
    </w:p>
    <w:p w14:paraId="121FD473" w14:textId="77777777" w:rsidR="002E7D29" w:rsidRDefault="002E7D29" w:rsidP="00B94C00">
      <w:pPr>
        <w:jc w:val="both"/>
        <w:textAlignment w:val="baseline"/>
      </w:pPr>
      <w:r w:rsidRPr="00B94C00">
        <w:lastRenderedPageBreak/>
        <w:t>La période 1979-1985 a été pour le Mali la période du rêve pétrolier à la faveur de l’explosion des budgets d’exploration à travers le monde suite aux crises pétrolières des années 70 et début des années 80</w:t>
      </w:r>
      <w:r w:rsidRPr="00B94C00">
        <w:rPr>
          <w:rStyle w:val="Appelnotedebasdep"/>
        </w:rPr>
        <w:footnoteReference w:id="8"/>
      </w:r>
      <w:r w:rsidRPr="00B94C00">
        <w:t>.</w:t>
      </w:r>
    </w:p>
    <w:p w14:paraId="6A25E910" w14:textId="77777777" w:rsidR="00E0217D" w:rsidRPr="00B94C00" w:rsidRDefault="00E0217D" w:rsidP="00B94C00">
      <w:pPr>
        <w:jc w:val="both"/>
        <w:textAlignment w:val="baseline"/>
      </w:pPr>
    </w:p>
    <w:p w14:paraId="4B6AE7E0" w14:textId="77777777" w:rsidR="002E7D29" w:rsidRDefault="002E7D29" w:rsidP="00B94C00">
      <w:pPr>
        <w:jc w:val="both"/>
        <w:textAlignment w:val="baseline"/>
      </w:pPr>
      <w:r w:rsidRPr="00B94C00">
        <w:t>Le programme de synthèse géologique et pétrolière du bassin de Taoudenni au Mali et en Mauritanie, financé par la BIRD a permis une meilleure connaissance de la géologie, de la stratigraphie et de l’évolution géomorphologique et structurale de ce vaste bassin d’un million cinq cent mille kilomètres carrés (1.500.000 km</w:t>
      </w:r>
      <w:r w:rsidRPr="00B94C00">
        <w:rPr>
          <w:vertAlign w:val="superscript"/>
        </w:rPr>
        <w:t>2</w:t>
      </w:r>
      <w:r w:rsidRPr="00B94C00">
        <w:t>) et une meilleure appréciation de son intérêt pétrolier.</w:t>
      </w:r>
    </w:p>
    <w:p w14:paraId="5F4E46C7" w14:textId="77777777" w:rsidR="00E0217D" w:rsidRPr="00B94C00" w:rsidRDefault="00E0217D" w:rsidP="00B94C00">
      <w:pPr>
        <w:jc w:val="both"/>
        <w:textAlignment w:val="baseline"/>
      </w:pPr>
    </w:p>
    <w:p w14:paraId="58FE284B" w14:textId="77777777" w:rsidR="002E7D29" w:rsidRDefault="002E7D29" w:rsidP="00B94C00">
      <w:pPr>
        <w:jc w:val="both"/>
        <w:textAlignment w:val="baseline"/>
      </w:pPr>
      <w:r w:rsidRPr="00B94C00">
        <w:t>Deux (2) forages furent réalisés au Mali (</w:t>
      </w:r>
      <w:proofErr w:type="spellStart"/>
      <w:r w:rsidRPr="00B94C00">
        <w:t>Yarba</w:t>
      </w:r>
      <w:proofErr w:type="spellEnd"/>
      <w:r w:rsidRPr="00B94C00">
        <w:t xml:space="preserve"> en 1981 et </w:t>
      </w:r>
      <w:proofErr w:type="spellStart"/>
      <w:r w:rsidRPr="00B94C00">
        <w:t>Atouila</w:t>
      </w:r>
      <w:proofErr w:type="spellEnd"/>
      <w:r w:rsidRPr="00B94C00">
        <w:t xml:space="preserve"> en 1985) et permirent de mettre en évidence deux indices de gaz humides (Méthane à Butane) dans les tests à </w:t>
      </w:r>
      <w:proofErr w:type="spellStart"/>
      <w:r w:rsidRPr="00B94C00">
        <w:t>Abolag</w:t>
      </w:r>
      <w:proofErr w:type="spellEnd"/>
      <w:r w:rsidRPr="00B94C00">
        <w:t xml:space="preserve"> et à </w:t>
      </w:r>
      <w:proofErr w:type="spellStart"/>
      <w:r w:rsidRPr="00B94C00">
        <w:t>Yarba</w:t>
      </w:r>
      <w:proofErr w:type="spellEnd"/>
      <w:r w:rsidRPr="00B94C00">
        <w:t xml:space="preserve">. </w:t>
      </w:r>
    </w:p>
    <w:p w14:paraId="295CA395" w14:textId="77777777" w:rsidR="00E0217D" w:rsidRPr="00B94C00" w:rsidRDefault="00E0217D" w:rsidP="00B94C00">
      <w:pPr>
        <w:jc w:val="both"/>
        <w:textAlignment w:val="baseline"/>
      </w:pPr>
    </w:p>
    <w:p w14:paraId="61FC58E7" w14:textId="77777777" w:rsidR="002E7D29" w:rsidRDefault="002E7D29" w:rsidP="00B94C00">
      <w:pPr>
        <w:jc w:val="both"/>
        <w:textAlignment w:val="baseline"/>
      </w:pPr>
      <w:r w:rsidRPr="00B94C00">
        <w:t xml:space="preserve">Les résultats </w:t>
      </w:r>
      <w:r w:rsidR="00BD6448" w:rsidRPr="00B94C00">
        <w:t xml:space="preserve">ont été </w:t>
      </w:r>
      <w:r w:rsidRPr="00B94C00">
        <w:t>décevant sur l’existence et la maturité de la matière organique, la qualité des réservoirs et des pièges éventuels tant sur le plan local que régional. Ces résultats coïncidant avec la chute des cours du pétrole, ont conduit à un arrêt prolongé des activités de recherche dans le bassin en 1985 après le forage d’</w:t>
      </w:r>
      <w:proofErr w:type="spellStart"/>
      <w:r w:rsidRPr="00B94C00">
        <w:t>Atouila</w:t>
      </w:r>
      <w:proofErr w:type="spellEnd"/>
      <w:r w:rsidRPr="00B94C00">
        <w:t xml:space="preserve">. </w:t>
      </w:r>
    </w:p>
    <w:p w14:paraId="28EB8497" w14:textId="77777777" w:rsidR="00E0217D" w:rsidRPr="00B94C00" w:rsidRDefault="00E0217D" w:rsidP="00B94C00">
      <w:pPr>
        <w:jc w:val="both"/>
        <w:textAlignment w:val="baseline"/>
      </w:pPr>
    </w:p>
    <w:p w14:paraId="6E4A5331" w14:textId="77777777" w:rsidR="00E0217D" w:rsidRDefault="002E7D29" w:rsidP="00B94C00">
      <w:pPr>
        <w:jc w:val="both"/>
        <w:textAlignment w:val="baseline"/>
      </w:pPr>
      <w:r w:rsidRPr="00B94C00">
        <w:t xml:space="preserve">La proximité des bases d’exploration des Sociétés pétrolières australiennes, liée aux découvertes en offshore en Mauritanie, couplée avec la flambée des cours du pétrole dans les années 2000 s’est accompagné d’un regain d’intérêt pour le bassin de Taoudéni et la remise </w:t>
      </w:r>
      <w:proofErr w:type="spellStart"/>
      <w:r w:rsidRPr="00B94C00">
        <w:t>encause</w:t>
      </w:r>
      <w:proofErr w:type="spellEnd"/>
      <w:r w:rsidRPr="00B94C00">
        <w:t xml:space="preserve"> de certains préjugés sur sa série stratigraphique et l’absence supposée de matière organique de bonne qualité, susceptible de générer des hydrocarbures liquides.</w:t>
      </w:r>
    </w:p>
    <w:p w14:paraId="346683CD" w14:textId="77777777" w:rsidR="002E7D29" w:rsidRPr="00B94C00" w:rsidRDefault="002E7D29" w:rsidP="00B94C00">
      <w:pPr>
        <w:jc w:val="both"/>
        <w:textAlignment w:val="baseline"/>
      </w:pPr>
      <w:r w:rsidRPr="00B94C00">
        <w:t xml:space="preserve"> </w:t>
      </w:r>
    </w:p>
    <w:p w14:paraId="5BDB12D5" w14:textId="77777777" w:rsidR="002E7D29" w:rsidRDefault="002E7D29" w:rsidP="00B94C00">
      <w:pPr>
        <w:jc w:val="both"/>
        <w:textAlignment w:val="baseline"/>
      </w:pPr>
      <w:r w:rsidRPr="00B94C00">
        <w:t>Un partenariat avec la Société Algérienne SONATRACH a permis à la DNGM de procéder à une actualisation des données sur les bassins sédimentaires de Taoudenni</w:t>
      </w:r>
      <w:r w:rsidRPr="00B94C00">
        <w:rPr>
          <w:b/>
        </w:rPr>
        <w:t xml:space="preserve">, </w:t>
      </w:r>
      <w:r w:rsidRPr="00B94C00">
        <w:t xml:space="preserve">du </w:t>
      </w:r>
      <w:proofErr w:type="spellStart"/>
      <w:r w:rsidRPr="00B94C00">
        <w:t>Tamesna</w:t>
      </w:r>
      <w:proofErr w:type="spellEnd"/>
      <w:r w:rsidRPr="00B94C00">
        <w:t xml:space="preserve"> et le Graben de Gao</w:t>
      </w:r>
      <w:r w:rsidRPr="00B94C00">
        <w:rPr>
          <w:b/>
        </w:rPr>
        <w:t xml:space="preserve">. </w:t>
      </w:r>
      <w:r w:rsidRPr="00B94C00">
        <w:t>Malheureusement la crise sécuritaire qui sévit dans la région depuis 2012 a donné un coup d’arrêt, au moins provisoire à toute cette dynamique.</w:t>
      </w:r>
    </w:p>
    <w:p w14:paraId="7E6E5A87" w14:textId="77777777" w:rsidR="00F204BE" w:rsidRPr="00B94C00" w:rsidRDefault="00F204BE" w:rsidP="00B94C00">
      <w:pPr>
        <w:jc w:val="both"/>
        <w:textAlignment w:val="baseline"/>
        <w:rPr>
          <w:b/>
        </w:rPr>
      </w:pPr>
    </w:p>
    <w:p w14:paraId="6A93F57C" w14:textId="77777777" w:rsidR="002E7D29" w:rsidRDefault="002E7D29" w:rsidP="00B94C00">
      <w:pPr>
        <w:jc w:val="both"/>
      </w:pPr>
      <w:r w:rsidRPr="00B94C00">
        <w:t>Ainsi, le secteur pétrolier a suivi une évolution quasi similaire que le secteur minier avec :</w:t>
      </w:r>
    </w:p>
    <w:p w14:paraId="493D8D68" w14:textId="77777777" w:rsidR="00F204BE" w:rsidRPr="00B94C00" w:rsidRDefault="00F204BE" w:rsidP="00B94C00">
      <w:pPr>
        <w:jc w:val="both"/>
      </w:pPr>
    </w:p>
    <w:p w14:paraId="5966B62E" w14:textId="77777777" w:rsidR="002E7D29" w:rsidRPr="00B94C00" w:rsidRDefault="002E7D29" w:rsidP="00F204BE">
      <w:pPr>
        <w:numPr>
          <w:ilvl w:val="0"/>
          <w:numId w:val="2"/>
        </w:numPr>
        <w:tabs>
          <w:tab w:val="clear" w:pos="720"/>
        </w:tabs>
        <w:spacing w:after="240"/>
        <w:ind w:left="567" w:hanging="357"/>
        <w:jc w:val="both"/>
      </w:pPr>
      <w:proofErr w:type="gramStart"/>
      <w:r w:rsidRPr="00B94C00">
        <w:t>l’adoption</w:t>
      </w:r>
      <w:proofErr w:type="gramEnd"/>
      <w:r w:rsidRPr="00B94C00">
        <w:t xml:space="preserve"> du premier Code Pétrolier et Minier en 1961, donnait le droit exclusif à la Société Nationale de Recherche Minière (SONAREM) avec l’assistance technique des soviétiques. Cette loi est restée en vigueur jusqu’en 1968 ; </w:t>
      </w:r>
    </w:p>
    <w:p w14:paraId="5467F606" w14:textId="77777777" w:rsidR="002E7D29" w:rsidRPr="00B94C00" w:rsidRDefault="002E7D29" w:rsidP="00F204BE">
      <w:pPr>
        <w:numPr>
          <w:ilvl w:val="0"/>
          <w:numId w:val="2"/>
        </w:numPr>
        <w:tabs>
          <w:tab w:val="clear" w:pos="720"/>
        </w:tabs>
        <w:spacing w:after="240"/>
        <w:ind w:left="567" w:hanging="357"/>
        <w:jc w:val="both"/>
      </w:pPr>
      <w:proofErr w:type="gramStart"/>
      <w:r w:rsidRPr="00B94C00">
        <w:t>l’adoption</w:t>
      </w:r>
      <w:proofErr w:type="gramEnd"/>
      <w:r w:rsidRPr="00B94C00">
        <w:t>, en 1969 d’un nouveau code pétrolier par l’ordonnance N° 30/CMLN du 23 mai 1969 modifiée par celle du N°21/CMLN du 20 avril 1970 et a mis fin à l’exclusivité du droit de la SONAREM ;</w:t>
      </w:r>
    </w:p>
    <w:p w14:paraId="335632ED" w14:textId="77777777" w:rsidR="002E7D29" w:rsidRPr="00B94C00" w:rsidRDefault="002E7D29" w:rsidP="00F204BE">
      <w:pPr>
        <w:numPr>
          <w:ilvl w:val="0"/>
          <w:numId w:val="2"/>
        </w:numPr>
        <w:tabs>
          <w:tab w:val="clear" w:pos="720"/>
        </w:tabs>
        <w:spacing w:after="240"/>
        <w:ind w:left="567" w:hanging="357"/>
        <w:jc w:val="both"/>
      </w:pPr>
      <w:proofErr w:type="gramStart"/>
      <w:r w:rsidRPr="00B94C00">
        <w:t>la</w:t>
      </w:r>
      <w:proofErr w:type="gramEnd"/>
      <w:r w:rsidRPr="00B94C00">
        <w:t xml:space="preserve"> relecture en 2003, du code de 1969 qui a abouti à l’adoption de la nouvelle loi pétrolière N°4-037 du 02 août 2004 portant organisation de la recherche, de l’exploitation, du transport et du raffinage des hydrocarbures tenant lieu de Code pétrolier du Mali et de son décret d’application N°04-357/P-RM du 08 septembre 2004 fixant les modalités d’application du Code pétrolier ;</w:t>
      </w:r>
    </w:p>
    <w:p w14:paraId="0CEC7369" w14:textId="77777777" w:rsidR="002E7D29" w:rsidRPr="00B94C00" w:rsidRDefault="002E7D29" w:rsidP="00F204BE">
      <w:pPr>
        <w:numPr>
          <w:ilvl w:val="0"/>
          <w:numId w:val="2"/>
        </w:numPr>
        <w:shd w:val="clear" w:color="auto" w:fill="FFFFFF"/>
        <w:tabs>
          <w:tab w:val="clear" w:pos="720"/>
        </w:tabs>
        <w:spacing w:after="240"/>
        <w:ind w:left="567" w:hanging="357"/>
        <w:jc w:val="both"/>
      </w:pPr>
      <w:proofErr w:type="gramStart"/>
      <w:r w:rsidRPr="00B94C00">
        <w:lastRenderedPageBreak/>
        <w:t>l’adoption</w:t>
      </w:r>
      <w:proofErr w:type="gramEnd"/>
      <w:r w:rsidRPr="00B94C00">
        <w:t xml:space="preserve"> en 2008 de la Loi N°08-027 du 23 juillet 2008 portant modification de la Loi N°04-037 du 02 août 2004 et son décret d’application N°08-473/P-RM du 7 août 2008 fixant les conditions et les modalités de prorogation de l'autorisation de recherche</w:t>
      </w:r>
      <w:r w:rsidR="00F204BE">
        <w:t> ;</w:t>
      </w:r>
    </w:p>
    <w:p w14:paraId="6614374B" w14:textId="77777777" w:rsidR="002E7D29" w:rsidRPr="00B94C00" w:rsidRDefault="002E7D29" w:rsidP="00F204BE">
      <w:pPr>
        <w:numPr>
          <w:ilvl w:val="0"/>
          <w:numId w:val="2"/>
        </w:numPr>
        <w:tabs>
          <w:tab w:val="clear" w:pos="720"/>
        </w:tabs>
        <w:spacing w:after="240"/>
        <w:ind w:left="567" w:hanging="357"/>
        <w:jc w:val="both"/>
      </w:pPr>
      <w:proofErr w:type="gramStart"/>
      <w:r w:rsidRPr="00B94C00">
        <w:t>et</w:t>
      </w:r>
      <w:proofErr w:type="gramEnd"/>
      <w:r w:rsidRPr="00B94C00">
        <w:t xml:space="preserve"> enfin la  relecture en 2014 du code de 02 août 2004 et l’adoption de la nouvelle Loi pétrolière N°2015-35 du 16 juillet 2015. </w:t>
      </w:r>
    </w:p>
    <w:p w14:paraId="309A2245" w14:textId="77777777" w:rsidR="002E7D29" w:rsidRPr="00B94C00" w:rsidRDefault="002E7D29" w:rsidP="00B94C00">
      <w:pPr>
        <w:shd w:val="clear" w:color="auto" w:fill="FFFFFF"/>
        <w:jc w:val="both"/>
      </w:pPr>
      <w:r w:rsidRPr="00B94C00">
        <w:t>Pour mener à bien la promotion des activités pétrolières au Mali, il a été créé une structure appelée « Autorité pour la promotion de la Recherche Pétrolière au Mali » (AUREP)</w:t>
      </w:r>
      <w:r w:rsidR="00BD6448" w:rsidRPr="00B94C00">
        <w:t xml:space="preserve"> par Ordonnance N°04-033 du 23 s</w:t>
      </w:r>
      <w:r w:rsidRPr="00B94C00">
        <w:t>eptembre 2004. L'AUREP est responsable entre autres de recevoir et d’examiner les demandes de recherche.</w:t>
      </w:r>
    </w:p>
    <w:p w14:paraId="24218BBB" w14:textId="77777777" w:rsidR="005847EB" w:rsidRPr="00B94C00" w:rsidRDefault="005847EB" w:rsidP="00B94C00">
      <w:pPr>
        <w:shd w:val="clear" w:color="auto" w:fill="FFFFFF"/>
        <w:jc w:val="both"/>
      </w:pPr>
    </w:p>
    <w:p w14:paraId="35FA5688" w14:textId="77777777" w:rsidR="002E7D29" w:rsidRPr="00B94C00" w:rsidRDefault="002E7D29" w:rsidP="00B94C00">
      <w:pPr>
        <w:rPr>
          <w:b/>
        </w:rPr>
      </w:pPr>
      <w:r w:rsidRPr="00B94C00">
        <w:rPr>
          <w:b/>
        </w:rPr>
        <w:t xml:space="preserve">I.4 – </w:t>
      </w:r>
      <w:r w:rsidRPr="00B94C00">
        <w:rPr>
          <w:b/>
          <w:u w:val="single"/>
        </w:rPr>
        <w:t>Rappel des différents cadres de référence</w:t>
      </w:r>
    </w:p>
    <w:p w14:paraId="5FD671D3" w14:textId="77777777" w:rsidR="00F204BE" w:rsidRDefault="00F204BE" w:rsidP="00B94C00">
      <w:pPr>
        <w:jc w:val="both"/>
      </w:pPr>
    </w:p>
    <w:p w14:paraId="40D9A45D" w14:textId="77777777" w:rsidR="002E7D29" w:rsidRDefault="002E7D29" w:rsidP="00B94C00">
      <w:pPr>
        <w:jc w:val="both"/>
      </w:pPr>
      <w:r w:rsidRPr="00B94C00">
        <w:t>Nonobstant la diversité des régimes politiques qui se sont succédé au cours de l’histoire minière malienne, et les orientations et stratégies politiques adoptées en fonction des options politiques, le Gouvernement du Mali a toujours accordé une importance particulière au développement du secteur minier. On peut ainsi citer entre autres :</w:t>
      </w:r>
    </w:p>
    <w:p w14:paraId="78834F29" w14:textId="77777777" w:rsidR="00F204BE" w:rsidRPr="00B94C00" w:rsidRDefault="00F204BE" w:rsidP="00B94C00">
      <w:pPr>
        <w:jc w:val="both"/>
      </w:pPr>
    </w:p>
    <w:p w14:paraId="6080CDC1" w14:textId="77777777" w:rsidR="002E7D29" w:rsidRPr="00B94C00" w:rsidRDefault="002E7D29" w:rsidP="00F204BE">
      <w:pPr>
        <w:pStyle w:val="Paragraphedeliste"/>
        <w:numPr>
          <w:ilvl w:val="0"/>
          <w:numId w:val="16"/>
        </w:numPr>
        <w:spacing w:after="240" w:line="360" w:lineRule="auto"/>
        <w:ind w:left="714" w:hanging="357"/>
        <w:jc w:val="both"/>
      </w:pPr>
      <w:proofErr w:type="gramStart"/>
      <w:r w:rsidRPr="00B94C00">
        <w:t>le</w:t>
      </w:r>
      <w:proofErr w:type="gramEnd"/>
      <w:r w:rsidRPr="00B94C00">
        <w:t xml:space="preserve"> Séminaire gouvernemental de 1994 au cours duquel des orientations ont été formulées pour une politique des mines au Mali ;</w:t>
      </w:r>
    </w:p>
    <w:p w14:paraId="48625AAD" w14:textId="77777777" w:rsidR="002E7D29" w:rsidRPr="00B94C00" w:rsidRDefault="002E7D29" w:rsidP="00F204BE">
      <w:pPr>
        <w:pStyle w:val="Paragraphedeliste"/>
        <w:numPr>
          <w:ilvl w:val="0"/>
          <w:numId w:val="16"/>
        </w:numPr>
        <w:spacing w:after="240" w:line="360" w:lineRule="auto"/>
        <w:ind w:left="714" w:hanging="357"/>
        <w:jc w:val="both"/>
      </w:pPr>
      <w:proofErr w:type="gramStart"/>
      <w:r w:rsidRPr="00B94C00">
        <w:t>la</w:t>
      </w:r>
      <w:proofErr w:type="gramEnd"/>
      <w:r w:rsidRPr="00B94C00">
        <w:t xml:space="preserve"> Déclaration de Politique minière de 1998 ; </w:t>
      </w:r>
    </w:p>
    <w:p w14:paraId="003D7877" w14:textId="77777777" w:rsidR="002E7D29" w:rsidRPr="00B94C00" w:rsidRDefault="002E7D29" w:rsidP="00F204BE">
      <w:pPr>
        <w:pStyle w:val="Paragraphedeliste"/>
        <w:numPr>
          <w:ilvl w:val="0"/>
          <w:numId w:val="16"/>
        </w:numPr>
        <w:spacing w:after="240" w:line="360" w:lineRule="auto"/>
        <w:ind w:left="714" w:hanging="357"/>
        <w:jc w:val="both"/>
      </w:pPr>
      <w:proofErr w:type="gramStart"/>
      <w:r w:rsidRPr="00B94C00">
        <w:t>le</w:t>
      </w:r>
      <w:proofErr w:type="gramEnd"/>
      <w:r w:rsidRPr="00B94C00">
        <w:t xml:space="preserve"> Programme de Développement du Secteur Minier (PDSM) en 2005 ; </w:t>
      </w:r>
    </w:p>
    <w:p w14:paraId="514329FF" w14:textId="77777777" w:rsidR="002E7D29" w:rsidRPr="00B94C00" w:rsidRDefault="002E7D29" w:rsidP="00F204BE">
      <w:pPr>
        <w:pStyle w:val="Paragraphedeliste"/>
        <w:numPr>
          <w:ilvl w:val="0"/>
          <w:numId w:val="16"/>
        </w:numPr>
        <w:spacing w:after="240" w:line="360" w:lineRule="auto"/>
        <w:ind w:left="714" w:hanging="357"/>
        <w:jc w:val="both"/>
      </w:pPr>
      <w:proofErr w:type="gramStart"/>
      <w:r w:rsidRPr="00B94C00">
        <w:t>la</w:t>
      </w:r>
      <w:proofErr w:type="gramEnd"/>
      <w:r w:rsidRPr="00B94C00">
        <w:t xml:space="preserve"> stratégie de diversification du secteur minier en 2011 ;</w:t>
      </w:r>
    </w:p>
    <w:p w14:paraId="18AF0165" w14:textId="77777777" w:rsidR="002E7D29" w:rsidRPr="00B94C00" w:rsidRDefault="002E7D29" w:rsidP="00F204BE">
      <w:pPr>
        <w:pStyle w:val="Paragraphedeliste"/>
        <w:numPr>
          <w:ilvl w:val="0"/>
          <w:numId w:val="16"/>
        </w:numPr>
        <w:spacing w:after="240" w:line="360" w:lineRule="auto"/>
        <w:ind w:left="714" w:hanging="357"/>
        <w:jc w:val="both"/>
      </w:pPr>
      <w:proofErr w:type="gramStart"/>
      <w:r w:rsidRPr="00B94C00">
        <w:t>le</w:t>
      </w:r>
      <w:proofErr w:type="gramEnd"/>
      <w:r w:rsidRPr="00B94C00">
        <w:t xml:space="preserve"> plan d’actions du Ministère en charge des mines d’octobre 2013 ;</w:t>
      </w:r>
    </w:p>
    <w:p w14:paraId="0CD534D2" w14:textId="77777777" w:rsidR="002E7D29" w:rsidRPr="00B94C00" w:rsidRDefault="002E7D29" w:rsidP="00F204BE">
      <w:pPr>
        <w:pStyle w:val="Paragraphedeliste"/>
        <w:numPr>
          <w:ilvl w:val="0"/>
          <w:numId w:val="16"/>
        </w:numPr>
        <w:spacing w:after="240" w:line="360" w:lineRule="auto"/>
        <w:ind w:left="714" w:hanging="357"/>
        <w:jc w:val="both"/>
      </w:pPr>
      <w:proofErr w:type="gramStart"/>
      <w:r w:rsidRPr="00B94C00">
        <w:t>la</w:t>
      </w:r>
      <w:proofErr w:type="gramEnd"/>
      <w:r w:rsidRPr="00B94C00">
        <w:t xml:space="preserve"> Déclaration de</w:t>
      </w:r>
      <w:r w:rsidR="00BD6448" w:rsidRPr="00B94C00">
        <w:t xml:space="preserve"> Politique </w:t>
      </w:r>
      <w:r w:rsidR="00F92497" w:rsidRPr="00B94C00">
        <w:t>G</w:t>
      </w:r>
      <w:r w:rsidR="00BD6448" w:rsidRPr="00B94C00">
        <w:t>énérale du Premier m</w:t>
      </w:r>
      <w:r w:rsidRPr="00B94C00">
        <w:t>inistre en 2014 ;</w:t>
      </w:r>
    </w:p>
    <w:p w14:paraId="6A580772" w14:textId="77777777" w:rsidR="002E7D29" w:rsidRPr="00B94C00" w:rsidRDefault="00F92497" w:rsidP="00F204BE">
      <w:pPr>
        <w:pStyle w:val="Paragraphedeliste"/>
        <w:numPr>
          <w:ilvl w:val="0"/>
          <w:numId w:val="16"/>
        </w:numPr>
        <w:spacing w:after="240" w:line="360" w:lineRule="auto"/>
        <w:ind w:left="714" w:hanging="357"/>
        <w:jc w:val="both"/>
      </w:pPr>
      <w:proofErr w:type="gramStart"/>
      <w:r w:rsidRPr="00B94C00">
        <w:t>l</w:t>
      </w:r>
      <w:r w:rsidR="002E7D29" w:rsidRPr="00B94C00">
        <w:t>es</w:t>
      </w:r>
      <w:proofErr w:type="gramEnd"/>
      <w:r w:rsidR="002E7D29" w:rsidRPr="00B94C00">
        <w:t xml:space="preserve"> différentes versions du Code Minier.</w:t>
      </w:r>
    </w:p>
    <w:p w14:paraId="4E22923B" w14:textId="77777777" w:rsidR="002E7D29" w:rsidRDefault="002E7D29" w:rsidP="00B94C00">
      <w:pPr>
        <w:jc w:val="both"/>
      </w:pPr>
      <w:r w:rsidRPr="00B94C00">
        <w:t>Tous ces cadres et stratégies minières sont à la base ou ont été induits par la Déclaration de Politique sectorielle des Mines du Mali, adoptée par le Gouvernement en Novembre1998 et dont voici ci-dessous un rappel des principales lignes directrices.</w:t>
      </w:r>
    </w:p>
    <w:p w14:paraId="1F50B7E7" w14:textId="77777777" w:rsidR="00B94C00" w:rsidRPr="00B94C00" w:rsidRDefault="00B94C00" w:rsidP="00B94C00">
      <w:pPr>
        <w:jc w:val="both"/>
      </w:pPr>
    </w:p>
    <w:p w14:paraId="76ABE3EB" w14:textId="77777777" w:rsidR="002E7D29" w:rsidRDefault="002E7D29" w:rsidP="00B94C00">
      <w:pPr>
        <w:ind w:right="-2"/>
        <w:jc w:val="both"/>
        <w:textAlignment w:val="baseline"/>
      </w:pPr>
      <w:r w:rsidRPr="00B94C00">
        <w:t>Aux termes de la Déclara</w:t>
      </w:r>
      <w:r w:rsidR="00E92475" w:rsidRPr="00B94C00">
        <w:t>tion de Politique minière, l’</w:t>
      </w:r>
      <w:r w:rsidRPr="00B94C00">
        <w:t xml:space="preserve">objectif principal assigné au secteur minier </w:t>
      </w:r>
      <w:r w:rsidR="00E92475" w:rsidRPr="00B94C00">
        <w:t>est l’</w:t>
      </w:r>
      <w:r w:rsidRPr="00B94C00">
        <w:t xml:space="preserve">accroissement substantiel de la part des produits miniers dans le PIB en vue d’améliorer le bien-être social du peuple malien grâce à une juste distribution des revenus tirés du secteur. </w:t>
      </w:r>
    </w:p>
    <w:p w14:paraId="3B53A7C1" w14:textId="77777777" w:rsidR="00B94C00" w:rsidRPr="00B94C00" w:rsidRDefault="00B94C00" w:rsidP="00B94C00">
      <w:pPr>
        <w:ind w:right="-2"/>
        <w:jc w:val="both"/>
        <w:textAlignment w:val="baseline"/>
      </w:pPr>
    </w:p>
    <w:p w14:paraId="13577AD9" w14:textId="21EDB919" w:rsidR="002E7D29" w:rsidRDefault="002E7D29" w:rsidP="00B94C00">
      <w:pPr>
        <w:ind w:right="-2"/>
        <w:jc w:val="both"/>
        <w:textAlignment w:val="baseline"/>
      </w:pPr>
      <w:r w:rsidRPr="00B94C00">
        <w:t xml:space="preserve">Les résultats attendus de cette politique sont notamment une amélioration de la balance commerciale, l'accroissement des recettes fiscales, le développement des activités connexes (transports, services, </w:t>
      </w:r>
      <w:r w:rsidR="00AE28B6" w:rsidRPr="00B94C00">
        <w:t>fournitures</w:t>
      </w:r>
      <w:r w:rsidR="00AE28B6">
        <w:t>…</w:t>
      </w:r>
      <w:r w:rsidRPr="00B94C00">
        <w:t>) et l'émergence d'une industrie locale de transformation.</w:t>
      </w:r>
    </w:p>
    <w:p w14:paraId="1E10813E" w14:textId="77777777" w:rsidR="00B94C00" w:rsidRPr="00B94C00" w:rsidRDefault="00B94C00" w:rsidP="00B94C00">
      <w:pPr>
        <w:ind w:right="-2"/>
        <w:jc w:val="both"/>
        <w:textAlignment w:val="baseline"/>
      </w:pPr>
    </w:p>
    <w:p w14:paraId="7A3AFA04" w14:textId="77777777" w:rsidR="002E7D29" w:rsidRDefault="002E7D29" w:rsidP="00B94C00">
      <w:pPr>
        <w:ind w:right="-2"/>
        <w:jc w:val="both"/>
        <w:textAlignment w:val="baseline"/>
      </w:pPr>
      <w:r w:rsidRPr="00B94C00">
        <w:t>Pour la réalisation de cet objectif essentiel, l</w:t>
      </w:r>
      <w:r w:rsidR="00E92475" w:rsidRPr="00B94C00">
        <w:t>’</w:t>
      </w:r>
      <w:r w:rsidRPr="00B94C00">
        <w:t xml:space="preserve">Etat reconnaît au secteur privé le rôle moteur de développer l'industrie minière malienne. Le secteur privé devra en assumer les risques, apporter </w:t>
      </w:r>
      <w:r w:rsidRPr="00B94C00">
        <w:lastRenderedPageBreak/>
        <w:t xml:space="preserve">les moyens financiers, matériels et humains nécessaires au développement de l'industrie minière dans le cadre de règles simples, claires et transparentes édictées par l'Etat. </w:t>
      </w:r>
    </w:p>
    <w:p w14:paraId="43966B22" w14:textId="77777777" w:rsidR="00B94C00" w:rsidRPr="00B94C00" w:rsidRDefault="00B94C00" w:rsidP="00B94C00">
      <w:pPr>
        <w:ind w:right="-2"/>
        <w:jc w:val="both"/>
        <w:textAlignment w:val="baseline"/>
      </w:pPr>
    </w:p>
    <w:p w14:paraId="7C98BE9B" w14:textId="77777777" w:rsidR="002E7D29" w:rsidRDefault="002E7D29" w:rsidP="00B94C00">
      <w:pPr>
        <w:ind w:right="-2"/>
        <w:jc w:val="both"/>
        <w:textAlignment w:val="baseline"/>
      </w:pPr>
      <w:r w:rsidRPr="00B94C00">
        <w:t>En conséquence, l</w:t>
      </w:r>
      <w:r w:rsidR="00E92475" w:rsidRPr="00B94C00">
        <w:t>’</w:t>
      </w:r>
      <w:r w:rsidRPr="00B94C00">
        <w:t>Etat réaffirme le principe de son désengagement progressif de l’exploitation minière, pour se concentrer sur ses missions fondamentales de mise en place des structures de base, de création d'un environnement favorable à l'investissement, de promotion du secteur, de définition du cadre juridique et institutionnel incitatif et de l’application rigoureuse de la réglementation.</w:t>
      </w:r>
    </w:p>
    <w:p w14:paraId="0AD5368D" w14:textId="77777777" w:rsidR="00B94C00" w:rsidRPr="00B94C00" w:rsidRDefault="00B94C00" w:rsidP="00B94C00">
      <w:pPr>
        <w:ind w:right="-2"/>
        <w:jc w:val="both"/>
        <w:textAlignment w:val="baseline"/>
      </w:pPr>
    </w:p>
    <w:p w14:paraId="309A649D" w14:textId="77777777" w:rsidR="002E7D29" w:rsidRPr="00B94C00" w:rsidRDefault="002E7D29" w:rsidP="00B94C00">
      <w:pPr>
        <w:jc w:val="both"/>
        <w:textAlignment w:val="baseline"/>
      </w:pPr>
      <w:r w:rsidRPr="00B94C00">
        <w:t>Pour réaliser sa nouvelle stratégie, le Gouvernement a adopté un programme d'actions composé de quatre (4) volets : i) la révision du cadre juridique, ii) la réforme institutionnelle, iii) la promotion et iv) la formation.</w:t>
      </w:r>
    </w:p>
    <w:p w14:paraId="2E12A704" w14:textId="77777777" w:rsidR="002E7D29" w:rsidRPr="00B94C00" w:rsidRDefault="002E7D29" w:rsidP="00B94C00">
      <w:pPr>
        <w:pStyle w:val="Titre1"/>
      </w:pPr>
    </w:p>
    <w:p w14:paraId="1C9DFEFA" w14:textId="77777777" w:rsidR="002E7D29" w:rsidRPr="00B94C00" w:rsidRDefault="002E7D29" w:rsidP="00B94C00">
      <w:pPr>
        <w:pStyle w:val="Titre1"/>
      </w:pPr>
      <w:bookmarkStart w:id="2" w:name="_Toc500920862"/>
      <w:r w:rsidRPr="00B94C00">
        <w:t xml:space="preserve">II. </w:t>
      </w:r>
      <w:r w:rsidRPr="00B94C00">
        <w:rPr>
          <w:u w:val="single"/>
        </w:rPr>
        <w:t>JUSTIFICATION</w:t>
      </w:r>
      <w:bookmarkEnd w:id="2"/>
    </w:p>
    <w:p w14:paraId="744B6AF9" w14:textId="77777777" w:rsidR="00CC542A" w:rsidRDefault="00CC542A" w:rsidP="00B94C00">
      <w:pPr>
        <w:pStyle w:val="berschrift1"/>
        <w:tabs>
          <w:tab w:val="clear" w:pos="709"/>
          <w:tab w:val="left" w:pos="567"/>
        </w:tabs>
        <w:spacing w:before="0" w:after="0" w:line="240" w:lineRule="auto"/>
        <w:jc w:val="both"/>
        <w:rPr>
          <w:b w:val="0"/>
          <w:color w:val="auto"/>
          <w:sz w:val="24"/>
          <w:szCs w:val="24"/>
        </w:rPr>
      </w:pPr>
      <w:bookmarkStart w:id="3" w:name="_Toc371249935"/>
    </w:p>
    <w:p w14:paraId="0C53CE78" w14:textId="77777777" w:rsidR="002E7D29" w:rsidRPr="00B94C00" w:rsidRDefault="002E7D29" w:rsidP="00B94C00">
      <w:pPr>
        <w:pStyle w:val="berschrift1"/>
        <w:tabs>
          <w:tab w:val="clear" w:pos="709"/>
          <w:tab w:val="left" w:pos="567"/>
        </w:tabs>
        <w:spacing w:before="0" w:after="0" w:line="240" w:lineRule="auto"/>
        <w:jc w:val="both"/>
        <w:rPr>
          <w:b w:val="0"/>
          <w:color w:val="auto"/>
          <w:sz w:val="24"/>
          <w:szCs w:val="24"/>
        </w:rPr>
      </w:pPr>
      <w:r w:rsidRPr="00B94C00">
        <w:rPr>
          <w:b w:val="0"/>
          <w:color w:val="auto"/>
          <w:sz w:val="24"/>
          <w:szCs w:val="24"/>
        </w:rPr>
        <w:t>Les chefs d’État et de gouvernement d’Afrique ont adopté en février 2009 la Vision du régime Minier de l’Afrique (VMA) dont l’objectif principal est de promouvoir </w:t>
      </w:r>
      <w:r w:rsidRPr="00B94C00">
        <w:rPr>
          <w:color w:val="auto"/>
          <w:sz w:val="24"/>
          <w:szCs w:val="24"/>
        </w:rPr>
        <w:t xml:space="preserve">« une exploitation équitable et optimale des ressources minières en vue d’une large croissance durable et d’un développement socio-économique soutenu ». </w:t>
      </w:r>
      <w:r w:rsidRPr="00B94C00">
        <w:rPr>
          <w:b w:val="0"/>
          <w:color w:val="auto"/>
          <w:sz w:val="24"/>
          <w:szCs w:val="24"/>
        </w:rPr>
        <w:t xml:space="preserve">Il s’agit d’une approche novatrice en ce sens qu’elle va au-delà de l'amélioration des régimes miniers nationaux pour déterminer comment l'exploitation minière peut contribuer véritablement au développement local, national et régional. </w:t>
      </w:r>
    </w:p>
    <w:p w14:paraId="06247663" w14:textId="77777777" w:rsidR="002E7D29" w:rsidRPr="00B94C00" w:rsidRDefault="002E7D29" w:rsidP="00B94C00">
      <w:pPr>
        <w:pStyle w:val="berschrift1"/>
        <w:tabs>
          <w:tab w:val="clear" w:pos="709"/>
          <w:tab w:val="left" w:pos="567"/>
        </w:tabs>
        <w:spacing w:before="0" w:after="0" w:line="240" w:lineRule="auto"/>
        <w:jc w:val="both"/>
        <w:rPr>
          <w:b w:val="0"/>
          <w:color w:val="auto"/>
          <w:sz w:val="24"/>
          <w:szCs w:val="24"/>
        </w:rPr>
      </w:pPr>
      <w:r w:rsidRPr="00B94C00">
        <w:rPr>
          <w:b w:val="0"/>
          <w:color w:val="auto"/>
          <w:sz w:val="24"/>
          <w:szCs w:val="24"/>
        </w:rPr>
        <w:t>Les principes, les objectifs et le plan d’actions de la VMA ont été entièrement validés par des groupes d’experts et approuvés par les instances décisionnelles de l’Union Africaine ainsi que par des responsables techniques et politiques dont la Conférence des chefs d’État et de gouvernement de l’Union Africaine.</w:t>
      </w:r>
    </w:p>
    <w:p w14:paraId="3FDE6E8F" w14:textId="77777777" w:rsidR="002E7D29" w:rsidRPr="00B94C00" w:rsidRDefault="002E7D29" w:rsidP="00B94C00">
      <w:pPr>
        <w:jc w:val="both"/>
        <w:rPr>
          <w:lang w:eastAsia="zh-CN"/>
        </w:rPr>
      </w:pPr>
    </w:p>
    <w:p w14:paraId="53443F70" w14:textId="77777777" w:rsidR="002E7D29" w:rsidRDefault="00F92497" w:rsidP="00B94C00">
      <w:pPr>
        <w:jc w:val="both"/>
        <w:rPr>
          <w:lang w:eastAsia="zh-CN"/>
        </w:rPr>
      </w:pPr>
      <w:r w:rsidRPr="00B94C00">
        <w:rPr>
          <w:lang w:eastAsia="zh-CN"/>
        </w:rPr>
        <w:t>La v</w:t>
      </w:r>
      <w:r w:rsidR="002E7D29" w:rsidRPr="00B94C00">
        <w:rPr>
          <w:lang w:eastAsia="zh-CN"/>
        </w:rPr>
        <w:t>ision repose sur cinq points d’intervention stratégiques que sont :</w:t>
      </w:r>
    </w:p>
    <w:p w14:paraId="7C427D35" w14:textId="77777777" w:rsidR="00CC542A" w:rsidRPr="00B94C00" w:rsidRDefault="00CC542A" w:rsidP="00B94C00">
      <w:pPr>
        <w:jc w:val="both"/>
        <w:rPr>
          <w:lang w:eastAsia="zh-CN"/>
        </w:rPr>
      </w:pPr>
    </w:p>
    <w:p w14:paraId="1DCA4C13" w14:textId="77777777" w:rsidR="002E7D29" w:rsidRPr="00B94C00" w:rsidRDefault="002E7D29" w:rsidP="00CC542A">
      <w:pPr>
        <w:pStyle w:val="Paragraphedeliste"/>
        <w:numPr>
          <w:ilvl w:val="0"/>
          <w:numId w:val="5"/>
        </w:numPr>
        <w:spacing w:after="240" w:line="360" w:lineRule="auto"/>
        <w:ind w:left="714" w:hanging="357"/>
        <w:jc w:val="both"/>
        <w:rPr>
          <w:lang w:eastAsia="zh-CN"/>
        </w:rPr>
      </w:pPr>
      <w:proofErr w:type="gramStart"/>
      <w:r w:rsidRPr="00B94C00">
        <w:rPr>
          <w:lang w:eastAsia="zh-CN"/>
        </w:rPr>
        <w:t>le</w:t>
      </w:r>
      <w:proofErr w:type="gramEnd"/>
      <w:r w:rsidRPr="00B94C00">
        <w:rPr>
          <w:lang w:eastAsia="zh-CN"/>
        </w:rPr>
        <w:t xml:space="preserve"> niveau et la qualité des données potentielles des ressources ;</w:t>
      </w:r>
    </w:p>
    <w:p w14:paraId="74D52514" w14:textId="77777777" w:rsidR="002E7D29" w:rsidRPr="00B94C00" w:rsidRDefault="002E7D29" w:rsidP="00CC542A">
      <w:pPr>
        <w:pStyle w:val="Paragraphedeliste"/>
        <w:numPr>
          <w:ilvl w:val="0"/>
          <w:numId w:val="5"/>
        </w:numPr>
        <w:spacing w:after="240" w:line="360" w:lineRule="auto"/>
        <w:ind w:left="714" w:hanging="357"/>
        <w:jc w:val="both"/>
        <w:rPr>
          <w:lang w:eastAsia="zh-CN"/>
        </w:rPr>
      </w:pPr>
      <w:proofErr w:type="gramStart"/>
      <w:r w:rsidRPr="00B94C00">
        <w:rPr>
          <w:lang w:eastAsia="zh-CN"/>
        </w:rPr>
        <w:t>la</w:t>
      </w:r>
      <w:proofErr w:type="gramEnd"/>
      <w:r w:rsidRPr="00B94C00">
        <w:rPr>
          <w:lang w:eastAsia="zh-CN"/>
        </w:rPr>
        <w:t xml:space="preserve"> capacité de négociation des contrats ;</w:t>
      </w:r>
    </w:p>
    <w:p w14:paraId="2FFC689A" w14:textId="77777777" w:rsidR="002E7D29" w:rsidRPr="00B94C00" w:rsidRDefault="002E7D29" w:rsidP="00CC542A">
      <w:pPr>
        <w:pStyle w:val="Paragraphedeliste"/>
        <w:numPr>
          <w:ilvl w:val="0"/>
          <w:numId w:val="5"/>
        </w:numPr>
        <w:spacing w:after="240" w:line="360" w:lineRule="auto"/>
        <w:ind w:left="714" w:hanging="357"/>
        <w:jc w:val="both"/>
        <w:rPr>
          <w:lang w:eastAsia="zh-CN"/>
        </w:rPr>
      </w:pPr>
      <w:proofErr w:type="gramStart"/>
      <w:r w:rsidRPr="00B94C00">
        <w:rPr>
          <w:lang w:eastAsia="zh-CN"/>
        </w:rPr>
        <w:t>le</w:t>
      </w:r>
      <w:proofErr w:type="gramEnd"/>
      <w:r w:rsidRPr="00B94C00">
        <w:rPr>
          <w:lang w:eastAsia="zh-CN"/>
        </w:rPr>
        <w:t xml:space="preserve"> développement des ressources humaines africaines ;</w:t>
      </w:r>
    </w:p>
    <w:p w14:paraId="0145AB00" w14:textId="77777777" w:rsidR="002E7D29" w:rsidRPr="00B94C00" w:rsidRDefault="002E7D29" w:rsidP="00CC542A">
      <w:pPr>
        <w:pStyle w:val="Paragraphedeliste"/>
        <w:numPr>
          <w:ilvl w:val="0"/>
          <w:numId w:val="5"/>
        </w:numPr>
        <w:spacing w:after="240" w:line="360" w:lineRule="auto"/>
        <w:ind w:left="714" w:hanging="357"/>
        <w:jc w:val="both"/>
        <w:rPr>
          <w:lang w:eastAsia="zh-CN"/>
        </w:rPr>
      </w:pPr>
      <w:proofErr w:type="gramStart"/>
      <w:r w:rsidRPr="00B94C00">
        <w:rPr>
          <w:lang w:eastAsia="zh-CN"/>
        </w:rPr>
        <w:t>l’amélioration</w:t>
      </w:r>
      <w:proofErr w:type="gramEnd"/>
      <w:r w:rsidRPr="00B94C00">
        <w:rPr>
          <w:lang w:eastAsia="zh-CN"/>
        </w:rPr>
        <w:t xml:space="preserve"> de la capacité de gestion des ressources ;</w:t>
      </w:r>
    </w:p>
    <w:p w14:paraId="68BDC450" w14:textId="77777777" w:rsidR="002E7D29" w:rsidRPr="00B94C00" w:rsidRDefault="002E7D29" w:rsidP="00CC542A">
      <w:pPr>
        <w:pStyle w:val="Paragraphedeliste"/>
        <w:numPr>
          <w:ilvl w:val="0"/>
          <w:numId w:val="5"/>
        </w:numPr>
        <w:spacing w:after="240" w:line="360" w:lineRule="auto"/>
        <w:ind w:left="714" w:hanging="357"/>
        <w:jc w:val="both"/>
        <w:rPr>
          <w:lang w:eastAsia="zh-CN"/>
        </w:rPr>
      </w:pPr>
      <w:proofErr w:type="gramStart"/>
      <w:r w:rsidRPr="00B94C00">
        <w:rPr>
          <w:lang w:eastAsia="zh-CN"/>
        </w:rPr>
        <w:t>la</w:t>
      </w:r>
      <w:proofErr w:type="gramEnd"/>
      <w:r w:rsidRPr="00B94C00">
        <w:rPr>
          <w:lang w:eastAsia="zh-CN"/>
        </w:rPr>
        <w:t xml:space="preserve"> résolution des problèmes infrastructurels.</w:t>
      </w:r>
      <w:r w:rsidRPr="00B94C00">
        <w:rPr>
          <w:lang w:eastAsia="zh-CN"/>
        </w:rPr>
        <w:tab/>
      </w:r>
    </w:p>
    <w:p w14:paraId="53211C6F" w14:textId="77777777" w:rsidR="002E7D29" w:rsidRPr="00B94C00" w:rsidRDefault="00F92497" w:rsidP="00B94C00">
      <w:pPr>
        <w:pStyle w:val="berschrift1"/>
        <w:tabs>
          <w:tab w:val="clear" w:pos="709"/>
          <w:tab w:val="left" w:pos="567"/>
        </w:tabs>
        <w:spacing w:before="0" w:after="0" w:line="240" w:lineRule="auto"/>
        <w:jc w:val="both"/>
        <w:rPr>
          <w:b w:val="0"/>
          <w:color w:val="auto"/>
          <w:sz w:val="24"/>
          <w:szCs w:val="24"/>
        </w:rPr>
      </w:pPr>
      <w:r w:rsidRPr="00B94C00">
        <w:rPr>
          <w:b w:val="0"/>
          <w:color w:val="auto"/>
          <w:sz w:val="24"/>
          <w:szCs w:val="24"/>
        </w:rPr>
        <w:t>L’adaptation de cette v</w:t>
      </w:r>
      <w:r w:rsidR="002E7D29" w:rsidRPr="00B94C00">
        <w:rPr>
          <w:b w:val="0"/>
          <w:color w:val="auto"/>
          <w:sz w:val="24"/>
          <w:szCs w:val="24"/>
        </w:rPr>
        <w:t>ision à l’échelle nationale est une étape nécessaire de sa réalisation en vue de faciliter son appropr</w:t>
      </w:r>
      <w:r w:rsidRPr="00B94C00">
        <w:rPr>
          <w:b w:val="0"/>
          <w:color w:val="auto"/>
          <w:sz w:val="24"/>
          <w:szCs w:val="24"/>
        </w:rPr>
        <w:t>iation par chaque pays africain</w:t>
      </w:r>
      <w:r w:rsidR="002E7D29" w:rsidRPr="00B94C00">
        <w:rPr>
          <w:b w:val="0"/>
          <w:color w:val="auto"/>
          <w:sz w:val="24"/>
          <w:szCs w:val="24"/>
        </w:rPr>
        <w:t xml:space="preserve"> notamment ceux ayant une vocation minière marquée tel que le Mali.</w:t>
      </w:r>
    </w:p>
    <w:p w14:paraId="384CBECB" w14:textId="77777777" w:rsidR="002E7D29" w:rsidRDefault="002E7D29" w:rsidP="00B94C00">
      <w:pPr>
        <w:pStyle w:val="berschrift1"/>
        <w:tabs>
          <w:tab w:val="clear" w:pos="709"/>
          <w:tab w:val="left" w:pos="567"/>
        </w:tabs>
        <w:spacing w:before="0" w:after="0" w:line="240" w:lineRule="auto"/>
        <w:jc w:val="both"/>
        <w:rPr>
          <w:b w:val="0"/>
          <w:color w:val="auto"/>
          <w:sz w:val="24"/>
          <w:szCs w:val="24"/>
        </w:rPr>
      </w:pPr>
      <w:r w:rsidRPr="00B94C00">
        <w:rPr>
          <w:b w:val="0"/>
          <w:color w:val="auto"/>
          <w:sz w:val="24"/>
          <w:szCs w:val="24"/>
        </w:rPr>
        <w:t xml:space="preserve">Toutefois il est important de préciser que la vision nationale qui en découlera n’est pas appelée à remplacer les politiques sectorielles nationales relatives aux secteurs minier et pétrolier, elle doit plutôt veiller à la pleine intégration </w:t>
      </w:r>
      <w:r w:rsidR="0046325A">
        <w:rPr>
          <w:b w:val="0"/>
          <w:color w:val="auto"/>
          <w:sz w:val="24"/>
          <w:szCs w:val="24"/>
        </w:rPr>
        <w:t xml:space="preserve">des secteurs minier et </w:t>
      </w:r>
      <w:proofErr w:type="spellStart"/>
      <w:r w:rsidR="0046325A">
        <w:rPr>
          <w:b w:val="0"/>
          <w:color w:val="auto"/>
          <w:sz w:val="24"/>
          <w:szCs w:val="24"/>
        </w:rPr>
        <w:t>pétrolier</w:t>
      </w:r>
      <w:r w:rsidRPr="00B94C00">
        <w:rPr>
          <w:b w:val="0"/>
          <w:color w:val="auto"/>
          <w:sz w:val="24"/>
          <w:szCs w:val="24"/>
        </w:rPr>
        <w:t>dans</w:t>
      </w:r>
      <w:proofErr w:type="spellEnd"/>
      <w:r w:rsidRPr="00B94C00">
        <w:rPr>
          <w:b w:val="0"/>
          <w:color w:val="auto"/>
          <w:sz w:val="24"/>
          <w:szCs w:val="24"/>
        </w:rPr>
        <w:t xml:space="preserve"> les plans et stratégies nationaux de développement. </w:t>
      </w:r>
    </w:p>
    <w:p w14:paraId="73403DDF" w14:textId="77777777" w:rsidR="00CC542A" w:rsidRPr="00CC542A" w:rsidRDefault="00CC542A" w:rsidP="00CC542A">
      <w:pPr>
        <w:rPr>
          <w:lang w:eastAsia="zh-CN"/>
        </w:rPr>
      </w:pPr>
    </w:p>
    <w:p w14:paraId="029282D6" w14:textId="77777777" w:rsidR="002E7D29" w:rsidRDefault="002E7D29" w:rsidP="00B94C00">
      <w:pPr>
        <w:jc w:val="both"/>
      </w:pPr>
      <w:r w:rsidRPr="00B94C00">
        <w:t xml:space="preserve">Bien antérieurement à ce besoin d’harmonisation des politiques à l’échelle continentale, au Mali la Déclaration de Politique minière adoptée en 1998 avait déjà pour objectif principal de faire du secteur minier le moteur du développement économique et social. </w:t>
      </w:r>
    </w:p>
    <w:p w14:paraId="4A93704C" w14:textId="77777777" w:rsidR="00CC542A" w:rsidRDefault="002E7D29" w:rsidP="00B94C00">
      <w:pPr>
        <w:jc w:val="both"/>
      </w:pPr>
      <w:r w:rsidRPr="00B94C00">
        <w:lastRenderedPageBreak/>
        <w:t>Mais plus de quinze ans après, le constat est que la contribution du secteur au PIB reste encore relativement faible au regard des importantes réserves minières dont regorge le pays à savoir : l’or, le pétrole, le fer, le diamant, le calcaire, le phosphate, le sel gemme, l’uranium, etc.</w:t>
      </w:r>
    </w:p>
    <w:p w14:paraId="1547EA87" w14:textId="77777777" w:rsidR="002E7D29" w:rsidRPr="00B94C00" w:rsidRDefault="002E7D29" w:rsidP="00B94C00">
      <w:pPr>
        <w:jc w:val="both"/>
      </w:pPr>
      <w:r w:rsidRPr="00B94C00">
        <w:t xml:space="preserve"> </w:t>
      </w:r>
    </w:p>
    <w:p w14:paraId="02FD0B7F" w14:textId="77777777" w:rsidR="002E7D29" w:rsidRDefault="002E7D29" w:rsidP="00B94C00">
      <w:pPr>
        <w:jc w:val="both"/>
        <w:rPr>
          <w:rStyle w:val="normaltextrun"/>
        </w:rPr>
      </w:pPr>
      <w:r w:rsidRPr="00B94C00">
        <w:t>Par ailleurs, b</w:t>
      </w:r>
      <w:r w:rsidRPr="00B94C00">
        <w:rPr>
          <w:rStyle w:val="normaltextrun"/>
        </w:rPr>
        <w:t xml:space="preserve">eaucoup de plaintes continuent d’émaner des populations concernées, qui ne voient pas les retombées en termes de conditions de vie. Pour beaucoup, </w:t>
      </w:r>
      <w:r w:rsidRPr="00B94C00">
        <w:rPr>
          <w:rStyle w:val="normaltextrun"/>
          <w:b/>
        </w:rPr>
        <w:t>« l’or ne brille pas pour les maliens »</w:t>
      </w:r>
      <w:r w:rsidRPr="00B94C00">
        <w:rPr>
          <w:rStyle w:val="normaltextrun"/>
        </w:rPr>
        <w:t xml:space="preserve">. Il y a en effet une pauvreté non explicable dans les localités dans lesquelles s’exercent les activités minières. </w:t>
      </w:r>
    </w:p>
    <w:p w14:paraId="40AEC16E" w14:textId="77777777" w:rsidR="00CC542A" w:rsidRPr="00B94C00" w:rsidRDefault="00CC542A" w:rsidP="00B94C00">
      <w:pPr>
        <w:jc w:val="both"/>
        <w:rPr>
          <w:rStyle w:val="normaltextrun"/>
        </w:rPr>
      </w:pPr>
    </w:p>
    <w:p w14:paraId="0B3F7EF2" w14:textId="77777777" w:rsidR="002E7D29" w:rsidRDefault="002E7D29" w:rsidP="00B94C00">
      <w:pPr>
        <w:jc w:val="both"/>
      </w:pPr>
      <w:r w:rsidRPr="00B94C00">
        <w:t>Enfin, il convient de noter que l'émergence actuelle du secteur minier comme un contributeur majeur à l'économie malienne fait suite aux investissements importants réalisés dans les mines aurifères à partir des années 1990. Grâce à ces investissements, le Mali est devenu l’un des plus grands producteurs d’or en Afrique avec l’exploitation de neuf mines et une production d’environ 50 tonnes d’or par an</w:t>
      </w:r>
      <w:r w:rsidR="00CC542A">
        <w:t>.</w:t>
      </w:r>
    </w:p>
    <w:p w14:paraId="1DF5B633" w14:textId="77777777" w:rsidR="00CC542A" w:rsidRPr="00B94C00" w:rsidRDefault="00CC542A" w:rsidP="00B94C00">
      <w:pPr>
        <w:jc w:val="both"/>
      </w:pPr>
    </w:p>
    <w:p w14:paraId="765B836A" w14:textId="77777777" w:rsidR="002E7D29" w:rsidRDefault="002E7D29" w:rsidP="00B94C00">
      <w:pPr>
        <w:jc w:val="both"/>
        <w:rPr>
          <w:rStyle w:val="normaltextrun"/>
        </w:rPr>
      </w:pPr>
      <w:r w:rsidRPr="00B94C00">
        <w:rPr>
          <w:rStyle w:val="normaltextrun"/>
        </w:rPr>
        <w:t>Aujourd’hui</w:t>
      </w:r>
      <w:r w:rsidR="007D6ACC" w:rsidRPr="00B94C00">
        <w:rPr>
          <w:rStyle w:val="normaltextrun"/>
        </w:rPr>
        <w:t>, le département en charge des M</w:t>
      </w:r>
      <w:r w:rsidRPr="00B94C00">
        <w:rPr>
          <w:rStyle w:val="normaltextrun"/>
        </w:rPr>
        <w:t xml:space="preserve">ines du Mali entend tirer les leçons de tous ces constats et des </w:t>
      </w:r>
      <w:r w:rsidR="00E92475" w:rsidRPr="00B94C00">
        <w:rPr>
          <w:rStyle w:val="normaltextrun"/>
        </w:rPr>
        <w:t xml:space="preserve">stratégies </w:t>
      </w:r>
      <w:r w:rsidRPr="00B94C00">
        <w:rPr>
          <w:rStyle w:val="normaltextrun"/>
        </w:rPr>
        <w:t>minières mises en œuvre jusqu’ici et qui ont été axées essentiellement</w:t>
      </w:r>
      <w:r w:rsidR="00E92475" w:rsidRPr="00B94C00">
        <w:rPr>
          <w:rStyle w:val="normaltextrun"/>
        </w:rPr>
        <w:t>,</w:t>
      </w:r>
      <w:r w:rsidRPr="00B94C00">
        <w:rPr>
          <w:rStyle w:val="normaltextrun"/>
        </w:rPr>
        <w:t xml:space="preserve"> sur le souci d’att</w:t>
      </w:r>
      <w:r w:rsidR="00E92475" w:rsidRPr="00B94C00">
        <w:rPr>
          <w:rStyle w:val="normaltextrun"/>
        </w:rPr>
        <w:t>irer le maximum d’investisseurs</w:t>
      </w:r>
      <w:r w:rsidRPr="00B94C00">
        <w:rPr>
          <w:rStyle w:val="normaltextrun"/>
        </w:rPr>
        <w:t xml:space="preserve">, la maximisation de la rente minière, la volonté d’augmentation de </w:t>
      </w:r>
      <w:r w:rsidR="00E92475" w:rsidRPr="00B94C00">
        <w:rPr>
          <w:rStyle w:val="normaltextrun"/>
        </w:rPr>
        <w:t>s</w:t>
      </w:r>
      <w:r w:rsidRPr="00B94C00">
        <w:rPr>
          <w:rStyle w:val="normaltextrun"/>
        </w:rPr>
        <w:t xml:space="preserve">a </w:t>
      </w:r>
      <w:r w:rsidR="00E92475" w:rsidRPr="00B94C00">
        <w:rPr>
          <w:rStyle w:val="normaltextrun"/>
        </w:rPr>
        <w:t xml:space="preserve">part dans le </w:t>
      </w:r>
      <w:r w:rsidRPr="00B94C00">
        <w:rPr>
          <w:rStyle w:val="normaltextrun"/>
        </w:rPr>
        <w:t xml:space="preserve">PIB au détriment des questions de développement durable et environnementales. </w:t>
      </w:r>
    </w:p>
    <w:p w14:paraId="2FCD5EE3" w14:textId="77777777" w:rsidR="00CC542A" w:rsidRPr="00B94C00" w:rsidRDefault="00CC542A" w:rsidP="00B94C00">
      <w:pPr>
        <w:jc w:val="both"/>
        <w:rPr>
          <w:rStyle w:val="normaltextrun"/>
        </w:rPr>
      </w:pPr>
    </w:p>
    <w:p w14:paraId="74BDFB29" w14:textId="77777777" w:rsidR="002E7D29" w:rsidRDefault="002E7D29" w:rsidP="00B94C00">
      <w:pPr>
        <w:jc w:val="both"/>
        <w:rPr>
          <w:rStyle w:val="normaltextrun"/>
        </w:rPr>
      </w:pPr>
      <w:r w:rsidRPr="00B94C00">
        <w:rPr>
          <w:rStyle w:val="normaltextrun"/>
        </w:rPr>
        <w:t>Il s’est donné pour ambition d’évoluer du concept d’industrie extractive vers des dynamiques de développement durable intégrant les dimensions économiques, sociales, sociétales et environnementales.</w:t>
      </w:r>
    </w:p>
    <w:p w14:paraId="375945C9" w14:textId="77777777" w:rsidR="00CC542A" w:rsidRPr="00B94C00" w:rsidRDefault="00CC542A" w:rsidP="00B94C00">
      <w:pPr>
        <w:jc w:val="both"/>
        <w:rPr>
          <w:rStyle w:val="normaltextrun"/>
        </w:rPr>
      </w:pPr>
    </w:p>
    <w:p w14:paraId="76D70D74" w14:textId="77777777" w:rsidR="00CC542A" w:rsidRDefault="002E7D29" w:rsidP="00B94C00">
      <w:pPr>
        <w:jc w:val="both"/>
      </w:pPr>
      <w:r w:rsidRPr="00B94C00">
        <w:rPr>
          <w:rStyle w:val="normaltextrun"/>
        </w:rPr>
        <w:t>Ces dynamiques prendront en compte l’amélioration des conditions de vie des maliens, spécifiquement celles des populations riveraines des mines et ne considérerons plus l’activité minière</w:t>
      </w:r>
      <w:r w:rsidRPr="00B94C00">
        <w:t xml:space="preserve"> comme déconnectée du reste de l'activité économique nationale.</w:t>
      </w:r>
    </w:p>
    <w:p w14:paraId="332C0863" w14:textId="77777777" w:rsidR="002E7D29" w:rsidRPr="00B94C00" w:rsidRDefault="002E7D29" w:rsidP="00B94C00">
      <w:pPr>
        <w:jc w:val="both"/>
      </w:pPr>
      <w:r w:rsidRPr="00B94C00">
        <w:t xml:space="preserve"> </w:t>
      </w:r>
      <w:bookmarkEnd w:id="3"/>
    </w:p>
    <w:p w14:paraId="3B4A9183" w14:textId="77777777" w:rsidR="00CC542A" w:rsidRDefault="002E7D29" w:rsidP="00B94C00">
      <w:pPr>
        <w:jc w:val="both"/>
      </w:pPr>
      <w:r w:rsidRPr="00B94C00">
        <w:t>L'activité minière doit s’inscrire désormais dans un projet de développement durable sur le plan social, économique et environnemental notamment dans les communautés et régions abritant les sites d’exploitation. Elle ne sera plus considérée comme une activité à part entière, (une enclave), déconnectée du reste de l'activité économique nationale.</w:t>
      </w:r>
    </w:p>
    <w:p w14:paraId="36BD165F" w14:textId="77777777" w:rsidR="002E7D29" w:rsidRPr="00B94C00" w:rsidRDefault="002E7D29" w:rsidP="00B94C00">
      <w:pPr>
        <w:jc w:val="both"/>
      </w:pPr>
      <w:r w:rsidRPr="00B94C00">
        <w:t xml:space="preserve"> </w:t>
      </w:r>
    </w:p>
    <w:p w14:paraId="0F1014CE" w14:textId="77777777" w:rsidR="002E7D29" w:rsidRDefault="002E7D29" w:rsidP="00B94C00">
      <w:pPr>
        <w:jc w:val="both"/>
        <w:rPr>
          <w:b/>
        </w:rPr>
      </w:pPr>
      <w:r w:rsidRPr="00B94C00">
        <w:t>Pour traduire dans les faits ces nouvelles orientations, il est apparu nécessaire de doter le Mali d’une politique et d’une stratégie de développement du secteur minier qui seront institutionnalisées à travers une Loi de Programmation décennale de développement industriel du secteur minier (2018-2028) définissant très clairement les responsabilités de tous les acteurs intervenant dans le secteur.</w:t>
      </w:r>
    </w:p>
    <w:p w14:paraId="76FAD197" w14:textId="77777777" w:rsidR="00CC542A" w:rsidRPr="00B94C00" w:rsidRDefault="00CC542A" w:rsidP="00B94C00">
      <w:pPr>
        <w:jc w:val="both"/>
        <w:rPr>
          <w:b/>
        </w:rPr>
      </w:pPr>
    </w:p>
    <w:p w14:paraId="0F4774E3" w14:textId="77777777" w:rsidR="00A47304" w:rsidRDefault="00923186" w:rsidP="00B94C00">
      <w:pPr>
        <w:jc w:val="both"/>
      </w:pPr>
      <w:r w:rsidRPr="00B94C00">
        <w:t>Dans le même souci de rentabiliser les retombées de l’activité minière et d’assurer l’attractivité du pays en matière d’investissements étrangers, le Gouvernement avait commandité une étude diagnostique du secteur minier « diagnostic technique et financier des activités d’exploitation minière » qui a conclu de l’importance du secteur minier dans le processus de développement, mais aussi sur les opportunités que représente la relecture des textes de base du secteur minier, la réorganisation du secteur mais surtout l’instauration d’une véritable gouvernance dans le secteur.</w:t>
      </w:r>
    </w:p>
    <w:p w14:paraId="435BD2A6" w14:textId="77777777" w:rsidR="00923186" w:rsidRPr="00B94C00" w:rsidRDefault="00923186" w:rsidP="00B94C00">
      <w:pPr>
        <w:jc w:val="both"/>
      </w:pPr>
      <w:r w:rsidRPr="00B94C00">
        <w:lastRenderedPageBreak/>
        <w:t xml:space="preserve"> </w:t>
      </w:r>
    </w:p>
    <w:p w14:paraId="34AD0E43" w14:textId="77777777" w:rsidR="002E7D29" w:rsidRPr="00B94C00" w:rsidRDefault="002E7D29" w:rsidP="00B94C00">
      <w:pPr>
        <w:jc w:val="both"/>
      </w:pPr>
      <w:r w:rsidRPr="00B94C00">
        <w:t>La politiqu</w:t>
      </w:r>
      <w:r w:rsidR="00831C3D" w:rsidRPr="00B94C00">
        <w:t>e</w:t>
      </w:r>
      <w:r w:rsidR="00A47304">
        <w:t xml:space="preserve"> de développement des</w:t>
      </w:r>
      <w:r w:rsidR="00F92497" w:rsidRPr="00B94C00">
        <w:t xml:space="preserve"> secteur</w:t>
      </w:r>
      <w:r w:rsidR="00A47304">
        <w:t>s</w:t>
      </w:r>
      <w:r w:rsidRPr="00B94C00">
        <w:t xml:space="preserve"> minier et pétrolier s</w:t>
      </w:r>
      <w:r w:rsidR="004403BE" w:rsidRPr="00B94C00">
        <w:t xml:space="preserve">era la traduction de la VMA en </w:t>
      </w:r>
      <w:r w:rsidRPr="00B94C00">
        <w:t>actes concrets pour l’atteinte des objectifs d’intégration</w:t>
      </w:r>
      <w:r w:rsidR="004403BE" w:rsidRPr="00B94C00">
        <w:t xml:space="preserve"> des secteurs à l’économie et du</w:t>
      </w:r>
      <w:r w:rsidRPr="00B94C00">
        <w:t xml:space="preserve"> développement durable.</w:t>
      </w:r>
    </w:p>
    <w:p w14:paraId="6E08DFA7" w14:textId="77777777" w:rsidR="002E7D29" w:rsidRPr="00B94C00" w:rsidRDefault="002E7D29" w:rsidP="00B94C00">
      <w:pPr>
        <w:jc w:val="both"/>
        <w:rPr>
          <w:b/>
        </w:rPr>
      </w:pPr>
    </w:p>
    <w:p w14:paraId="6578F62A" w14:textId="77777777" w:rsidR="002E7D29" w:rsidRPr="00B94C00" w:rsidRDefault="00E63552" w:rsidP="00B94C00">
      <w:pPr>
        <w:pStyle w:val="Titre1"/>
      </w:pPr>
      <w:bookmarkStart w:id="4" w:name="_Toc500920863"/>
      <w:r w:rsidRPr="00B94C00">
        <w:t>III</w:t>
      </w:r>
      <w:r w:rsidR="002E7D29" w:rsidRPr="00B94C00">
        <w:t xml:space="preserve">. </w:t>
      </w:r>
      <w:r w:rsidR="002E7D29" w:rsidRPr="00B94C00">
        <w:rPr>
          <w:u w:val="single"/>
        </w:rPr>
        <w:t>ORIENTATIONS</w:t>
      </w:r>
      <w:r w:rsidR="002E7D29" w:rsidRPr="00B94C00">
        <w:t xml:space="preserve"> </w:t>
      </w:r>
      <w:bookmarkEnd w:id="4"/>
    </w:p>
    <w:p w14:paraId="6C8883B2" w14:textId="77777777" w:rsidR="00CC542A" w:rsidRDefault="00CC542A" w:rsidP="00B94C00">
      <w:pPr>
        <w:autoSpaceDE w:val="0"/>
        <w:autoSpaceDN w:val="0"/>
        <w:adjustRightInd w:val="0"/>
        <w:jc w:val="both"/>
      </w:pPr>
    </w:p>
    <w:p w14:paraId="4C3126B8" w14:textId="77777777" w:rsidR="002E7D29" w:rsidRPr="00B94C00" w:rsidRDefault="002E7D29" w:rsidP="00CC542A">
      <w:pPr>
        <w:autoSpaceDE w:val="0"/>
        <w:autoSpaceDN w:val="0"/>
        <w:adjustRightInd w:val="0"/>
        <w:spacing w:after="240"/>
        <w:jc w:val="both"/>
      </w:pPr>
      <w:r w:rsidRPr="00B94C00">
        <w:t>L'Etat du Mali reconnaît au secteur privé le rôle moteur de développer l'industrie minière</w:t>
      </w:r>
      <w:r w:rsidR="00F92497" w:rsidRPr="00B94C00">
        <w:rPr>
          <w:b/>
          <w:i/>
        </w:rPr>
        <w:t xml:space="preserve">. </w:t>
      </w:r>
      <w:r w:rsidR="00F92497" w:rsidRPr="00B94C00">
        <w:rPr>
          <w:i/>
        </w:rPr>
        <w:t>L</w:t>
      </w:r>
      <w:r w:rsidRPr="00B94C00">
        <w:rPr>
          <w:i/>
        </w:rPr>
        <w:t>e secteur privé</w:t>
      </w:r>
      <w:r w:rsidRPr="00B94C00">
        <w:t xml:space="preserve"> devra en assumer les risques, apporter les moyens financiers, matériels et humains nécessaires au développement de l'industrie minière dans le cadre de règles simples, claires et transparentes édictées par l'Etat. En conséquence, </w:t>
      </w:r>
      <w:r w:rsidRPr="00B94C00">
        <w:rPr>
          <w:i/>
        </w:rPr>
        <w:t>l'activité minière</w:t>
      </w:r>
      <w:r w:rsidRPr="00B94C00">
        <w:t xml:space="preserve"> s'inscrira désormais dans un projet de développement durable sur le plan social, économique et environnemental pour l’ensemble du territoire malien avec un accent particulier pour les communautés et régions abritant les sites d’exploitation. Elle ne sera plus considérée comme une activité </w:t>
      </w:r>
      <w:r w:rsidRPr="00B94C00">
        <w:rPr>
          <w:i/>
        </w:rPr>
        <w:t>à part,</w:t>
      </w:r>
      <w:r w:rsidRPr="00B94C00">
        <w:t xml:space="preserve"> déconnectée du reste de l'activité économique nationale. </w:t>
      </w:r>
    </w:p>
    <w:p w14:paraId="14A73FC8" w14:textId="77777777" w:rsidR="002E7D29" w:rsidRPr="00B94C00" w:rsidRDefault="002E7D29" w:rsidP="00CC542A">
      <w:pPr>
        <w:spacing w:after="240"/>
        <w:jc w:val="both"/>
      </w:pPr>
      <w:r w:rsidRPr="00B94C00">
        <w:t xml:space="preserve">L'Etat réaffirme le principe de son désengagement progressif de l’exploitation minière, pour se concentrer sur ses missions fondamentales de mise en place des structures de base, de création d'un environnement favorable à l'investissement, de promotion du secteur, de définition du cadre </w:t>
      </w:r>
      <w:r w:rsidRPr="00B94C00">
        <w:rPr>
          <w:i/>
        </w:rPr>
        <w:t>institutionnel et</w:t>
      </w:r>
      <w:r w:rsidR="009C143E" w:rsidRPr="00B94C00">
        <w:rPr>
          <w:i/>
        </w:rPr>
        <w:t xml:space="preserve"> </w:t>
      </w:r>
      <w:r w:rsidRPr="00B94C00">
        <w:rPr>
          <w:i/>
        </w:rPr>
        <w:t xml:space="preserve">juridique incitatif </w:t>
      </w:r>
      <w:r w:rsidRPr="00B94C00">
        <w:t>et de l’application rigoureuse de la réglementation.</w:t>
      </w:r>
    </w:p>
    <w:p w14:paraId="6F469473" w14:textId="77777777" w:rsidR="002E7D29" w:rsidRPr="00B94C00" w:rsidRDefault="002E7D29" w:rsidP="00CC542A">
      <w:pPr>
        <w:autoSpaceDE w:val="0"/>
        <w:autoSpaceDN w:val="0"/>
        <w:adjustRightInd w:val="0"/>
        <w:spacing w:after="240"/>
        <w:ind w:left="-74"/>
        <w:jc w:val="both"/>
        <w:rPr>
          <w:i/>
        </w:rPr>
      </w:pPr>
      <w:r w:rsidRPr="00B94C00">
        <w:t xml:space="preserve">Toutefois, les organismes personnalisés de l’Etat, avec l’autorisation expresse de l’Etat, peuvent, en association ou non avec les entreprises privées, entreprendre des activités </w:t>
      </w:r>
      <w:r w:rsidRPr="00B94C00">
        <w:rPr>
          <w:i/>
        </w:rPr>
        <w:t>minières ou pétrolières</w:t>
      </w:r>
      <w:r w:rsidR="009C143E" w:rsidRPr="00B94C00">
        <w:rPr>
          <w:i/>
        </w:rPr>
        <w:t xml:space="preserve"> </w:t>
      </w:r>
      <w:r w:rsidRPr="00B94C00">
        <w:t xml:space="preserve">ou prendre des participations dans les opérations </w:t>
      </w:r>
      <w:r w:rsidRPr="00B94C00">
        <w:rPr>
          <w:i/>
        </w:rPr>
        <w:t>minières et/ou pétrolières.</w:t>
      </w:r>
    </w:p>
    <w:p w14:paraId="01B9F3D8" w14:textId="58DE5E51" w:rsidR="002E7D29" w:rsidRPr="00B94C00" w:rsidRDefault="002E7D29" w:rsidP="00CC542A">
      <w:pPr>
        <w:autoSpaceDE w:val="0"/>
        <w:autoSpaceDN w:val="0"/>
        <w:adjustRightInd w:val="0"/>
        <w:spacing w:after="240"/>
        <w:ind w:left="-74"/>
        <w:jc w:val="both"/>
        <w:rPr>
          <w:i/>
        </w:rPr>
      </w:pPr>
      <w:r w:rsidRPr="00B94C00">
        <w:t xml:space="preserve">L’Etat réaffirme le principe de sa participation gratuite dans les entreprises d’exploitation de substances minérales. Cette </w:t>
      </w:r>
      <w:proofErr w:type="gramStart"/>
      <w:r w:rsidRPr="00B94C00">
        <w:t xml:space="preserve">participation </w:t>
      </w:r>
      <w:r w:rsidR="005B02F0">
        <w:t xml:space="preserve"> </w:t>
      </w:r>
      <w:r w:rsidRPr="00B94C00">
        <w:rPr>
          <w:i/>
        </w:rPr>
        <w:t>gratuite</w:t>
      </w:r>
      <w:proofErr w:type="gramEnd"/>
      <w:r w:rsidRPr="00B94C00">
        <w:rPr>
          <w:i/>
        </w:rPr>
        <w:t xml:space="preserve"> est limitée</w:t>
      </w:r>
      <w:r w:rsidR="00186CD3" w:rsidRPr="00B94C00">
        <w:t xml:space="preserve"> de 10</w:t>
      </w:r>
      <w:r w:rsidRPr="00B94C00">
        <w:t xml:space="preserve">%. </w:t>
      </w:r>
      <w:r w:rsidRPr="00B94C00">
        <w:rPr>
          <w:i/>
        </w:rPr>
        <w:t>L’Etat se réserve le droit de prendre, en plus de sa participation gratuite, une participation contributive, en numéraire, dans le capital social des entreprises minières d’exploitation, dans les limites du pourcentage maximum autorisé</w:t>
      </w:r>
      <w:r w:rsidR="00186CD3" w:rsidRPr="00B94C00">
        <w:rPr>
          <w:i/>
        </w:rPr>
        <w:t xml:space="preserve"> (20%)</w:t>
      </w:r>
      <w:r w:rsidRPr="00B94C00">
        <w:rPr>
          <w:i/>
        </w:rPr>
        <w:t xml:space="preserve">. </w:t>
      </w:r>
    </w:p>
    <w:p w14:paraId="55CC66E1" w14:textId="77777777" w:rsidR="002E7D29" w:rsidRPr="00B94C00" w:rsidRDefault="002E7D29" w:rsidP="00CC542A">
      <w:pPr>
        <w:autoSpaceDE w:val="0"/>
        <w:autoSpaceDN w:val="0"/>
        <w:adjustRightInd w:val="0"/>
        <w:spacing w:after="240"/>
        <w:ind w:left="-74"/>
        <w:jc w:val="both"/>
      </w:pPr>
      <w:r w:rsidRPr="00B94C00">
        <w:t>L’Etat reconnait que les principaux acteurs de l’activité minière sont, l’Etat, les entreprises minières et les communautés vivant autour des mines.</w:t>
      </w:r>
    </w:p>
    <w:p w14:paraId="1D93B589" w14:textId="77777777" w:rsidR="002E7D29" w:rsidRPr="00B94C00" w:rsidRDefault="002E7D29" w:rsidP="00CC542A">
      <w:pPr>
        <w:autoSpaceDE w:val="0"/>
        <w:autoSpaceDN w:val="0"/>
        <w:adjustRightInd w:val="0"/>
        <w:spacing w:after="240"/>
        <w:jc w:val="both"/>
      </w:pPr>
      <w:r w:rsidRPr="00B94C00">
        <w:t>L’Etat reconnait également aux Organisations de la Société Civile un rôle prépondérant dans le cadre d’activités d’information, de formation et de sensibilisation qu’elles pourraient entreprendre par elles-mêmes ou sur recommandation, auprès des différents acteurs du secteur.</w:t>
      </w:r>
      <w:bookmarkStart w:id="5" w:name="_Toc459574056"/>
    </w:p>
    <w:p w14:paraId="46A8138C" w14:textId="77777777" w:rsidR="002E7D29" w:rsidRPr="00B94C00" w:rsidRDefault="002E7D29" w:rsidP="00CC542A">
      <w:pPr>
        <w:autoSpaceDE w:val="0"/>
        <w:autoSpaceDN w:val="0"/>
        <w:adjustRightInd w:val="0"/>
        <w:spacing w:after="240"/>
        <w:jc w:val="both"/>
      </w:pPr>
      <w:r w:rsidRPr="00B94C00">
        <w:t>La présente Politique de développement du secteur minier englobe aussi bien l’activité minière que l’activité pétrolière.</w:t>
      </w:r>
    </w:p>
    <w:p w14:paraId="3902C657" w14:textId="77777777" w:rsidR="00F92497" w:rsidRPr="00B94C00" w:rsidRDefault="00F92497" w:rsidP="00CC542A">
      <w:pPr>
        <w:autoSpaceDE w:val="0"/>
        <w:autoSpaceDN w:val="0"/>
        <w:adjustRightInd w:val="0"/>
        <w:spacing w:after="240"/>
        <w:jc w:val="both"/>
      </w:pPr>
      <w:r w:rsidRPr="00B94C00">
        <w:t>En conséquence, l’activité minière s’inscrira désormais dans un projet de développement durable sur le plan social, économique et environnemental pour l’ensemble du territoire malien avec un accent particulier pour les communautés et régions abritant les sites d’exploitation. Elle ne sera plus considérée comme une activité déconnectée du reste de l’activité économique nationale.</w:t>
      </w:r>
    </w:p>
    <w:p w14:paraId="3A7FC156" w14:textId="77777777" w:rsidR="002E7D29" w:rsidRDefault="00E63552" w:rsidP="00B94C00">
      <w:pPr>
        <w:pStyle w:val="Titre1"/>
        <w:rPr>
          <w:u w:val="single"/>
        </w:rPr>
      </w:pPr>
      <w:bookmarkStart w:id="6" w:name="_Toc500920864"/>
      <w:r w:rsidRPr="00B94C00">
        <w:t>I</w:t>
      </w:r>
      <w:r w:rsidR="002E7D29" w:rsidRPr="00B94C00">
        <w:t>V</w:t>
      </w:r>
      <w:bookmarkEnd w:id="5"/>
      <w:r w:rsidR="002E7D29" w:rsidRPr="00B94C00">
        <w:t xml:space="preserve">– </w:t>
      </w:r>
      <w:r w:rsidR="002E7D29" w:rsidRPr="00B94C00">
        <w:rPr>
          <w:u w:val="single"/>
        </w:rPr>
        <w:t>OBJECTIFS</w:t>
      </w:r>
      <w:bookmarkEnd w:id="6"/>
    </w:p>
    <w:p w14:paraId="5228CFE4" w14:textId="77777777" w:rsidR="00F2222A" w:rsidRPr="00F2222A" w:rsidRDefault="00F2222A" w:rsidP="00F2222A"/>
    <w:p w14:paraId="02BC3AE5" w14:textId="77777777" w:rsidR="00E97923" w:rsidRPr="00B94C00" w:rsidRDefault="00E63552" w:rsidP="00B94C00">
      <w:pPr>
        <w:jc w:val="both"/>
        <w:rPr>
          <w:b/>
        </w:rPr>
      </w:pPr>
      <w:r w:rsidRPr="00B94C00">
        <w:rPr>
          <w:b/>
        </w:rPr>
        <w:lastRenderedPageBreak/>
        <w:t>4</w:t>
      </w:r>
      <w:r w:rsidR="00E97923" w:rsidRPr="00B94C00">
        <w:rPr>
          <w:b/>
        </w:rPr>
        <w:t xml:space="preserve">.1. </w:t>
      </w:r>
      <w:r w:rsidR="00E97923" w:rsidRPr="00B94C00">
        <w:rPr>
          <w:b/>
          <w:u w:val="single"/>
        </w:rPr>
        <w:t>Objectif Général</w:t>
      </w:r>
      <w:r w:rsidR="002D3FD7" w:rsidRPr="00B94C00">
        <w:rPr>
          <w:b/>
        </w:rPr>
        <w:t> </w:t>
      </w:r>
    </w:p>
    <w:p w14:paraId="0A2C073C" w14:textId="77777777" w:rsidR="00CC542A" w:rsidRDefault="00CC542A" w:rsidP="00B94C00">
      <w:pPr>
        <w:jc w:val="both"/>
      </w:pPr>
    </w:p>
    <w:p w14:paraId="561E4A6F" w14:textId="77777777" w:rsidR="002E7D29" w:rsidRDefault="002E7D29" w:rsidP="00B94C00">
      <w:pPr>
        <w:jc w:val="both"/>
      </w:pPr>
      <w:r w:rsidRPr="00B94C00">
        <w:t xml:space="preserve">A la lumière des conclusions de l’état des lieux et du diagnostic </w:t>
      </w:r>
      <w:r w:rsidR="0046325A">
        <w:t xml:space="preserve">des secteurs minier et pétrolier </w:t>
      </w:r>
      <w:r w:rsidRPr="00B94C00">
        <w:t>et en s’inspirant des orientations générale</w:t>
      </w:r>
      <w:r w:rsidR="000163EF" w:rsidRPr="00B94C00">
        <w:t>s édictées dans le cadre de la v</w:t>
      </w:r>
      <w:r w:rsidRPr="00B94C00">
        <w:t xml:space="preserve">ision </w:t>
      </w:r>
      <w:r w:rsidR="000163EF" w:rsidRPr="00B94C00">
        <w:t>m</w:t>
      </w:r>
      <w:r w:rsidRPr="00B94C00">
        <w:t xml:space="preserve">inière </w:t>
      </w:r>
      <w:r w:rsidR="000163EF" w:rsidRPr="00B94C00">
        <w:t>a</w:t>
      </w:r>
      <w:r w:rsidRPr="00B94C00">
        <w:t xml:space="preserve">fricaine, l'objectif principal </w:t>
      </w:r>
      <w:r w:rsidR="000163EF" w:rsidRPr="00B94C00">
        <w:t>assigné au secteur minier est l’</w:t>
      </w:r>
      <w:r w:rsidRPr="00B94C00">
        <w:t>accroissement substantiel de la part des produits miniers dans le PIB en vue d’améliorer le bien-être social du peuple malien grâce à une juste distribution des revenus tirés du secteur et de promouvoir le développement durable pour les communautés vivant autour des mines.</w:t>
      </w:r>
    </w:p>
    <w:p w14:paraId="631A79A7" w14:textId="77777777" w:rsidR="00CC542A" w:rsidRPr="00B94C00" w:rsidRDefault="00CC542A" w:rsidP="00B94C00">
      <w:pPr>
        <w:jc w:val="both"/>
      </w:pPr>
    </w:p>
    <w:p w14:paraId="09B9D775" w14:textId="77777777" w:rsidR="002E7D29" w:rsidRDefault="002E7D29" w:rsidP="00B94C00">
      <w:pPr>
        <w:jc w:val="both"/>
      </w:pPr>
      <w:r w:rsidRPr="00B94C00">
        <w:t>Le secteur minier veillera à la protection et à la préservation de l’environnement.</w:t>
      </w:r>
    </w:p>
    <w:p w14:paraId="398B6A89" w14:textId="77777777" w:rsidR="00CC542A" w:rsidRPr="00B94C00" w:rsidRDefault="00CC542A" w:rsidP="00B94C00">
      <w:pPr>
        <w:jc w:val="both"/>
      </w:pPr>
    </w:p>
    <w:p w14:paraId="3482EB1A" w14:textId="77777777" w:rsidR="002E7D29" w:rsidRPr="00B94C00" w:rsidRDefault="002E7D29" w:rsidP="00B94C00">
      <w:pPr>
        <w:autoSpaceDE w:val="0"/>
        <w:autoSpaceDN w:val="0"/>
        <w:adjustRightInd w:val="0"/>
        <w:jc w:val="both"/>
      </w:pPr>
      <w:r w:rsidRPr="00B94C00">
        <w:t xml:space="preserve">En résumé, le secteur minier doit veiller à la promotion </w:t>
      </w:r>
      <w:proofErr w:type="gramStart"/>
      <w:r w:rsidRPr="00B94C00">
        <w:t>d’une«</w:t>
      </w:r>
      <w:proofErr w:type="gramEnd"/>
      <w:r w:rsidRPr="00B94C00">
        <w:t> Exploitation équitable et optimale des ressources minières en vue d’une large croissance durable et d’un développement socio-économique soutenu».</w:t>
      </w:r>
    </w:p>
    <w:p w14:paraId="1D821C6A" w14:textId="77777777" w:rsidR="002D3FD7" w:rsidRPr="00B94C00" w:rsidRDefault="002D3FD7" w:rsidP="00B94C00">
      <w:pPr>
        <w:autoSpaceDE w:val="0"/>
        <w:autoSpaceDN w:val="0"/>
        <w:adjustRightInd w:val="0"/>
        <w:jc w:val="both"/>
      </w:pPr>
    </w:p>
    <w:p w14:paraId="2388CB6D" w14:textId="77777777" w:rsidR="000163EF" w:rsidRPr="00B94C00" w:rsidRDefault="00E63552" w:rsidP="00B94C00">
      <w:pPr>
        <w:jc w:val="both"/>
        <w:rPr>
          <w:b/>
        </w:rPr>
      </w:pPr>
      <w:r w:rsidRPr="00B94C00">
        <w:rPr>
          <w:b/>
        </w:rPr>
        <w:t>4</w:t>
      </w:r>
      <w:r w:rsidR="000163EF" w:rsidRPr="00B94C00">
        <w:rPr>
          <w:b/>
        </w:rPr>
        <w:t xml:space="preserve">.2. </w:t>
      </w:r>
      <w:r w:rsidR="000163EF" w:rsidRPr="00B94C00">
        <w:rPr>
          <w:b/>
          <w:u w:val="single"/>
        </w:rPr>
        <w:t>Objectifs spécifiques</w:t>
      </w:r>
    </w:p>
    <w:p w14:paraId="51F0E1EC" w14:textId="77777777" w:rsidR="00CC542A" w:rsidRDefault="00CC542A" w:rsidP="00B94C00">
      <w:pPr>
        <w:jc w:val="both"/>
      </w:pPr>
    </w:p>
    <w:p w14:paraId="211805F5" w14:textId="77777777" w:rsidR="002E7D29" w:rsidRDefault="002E7D29" w:rsidP="00B94C00">
      <w:pPr>
        <w:jc w:val="both"/>
      </w:pPr>
      <w:r w:rsidRPr="00B94C00">
        <w:t xml:space="preserve">Les objectifs de cette politique sont définis sur la </w:t>
      </w:r>
      <w:r w:rsidR="00095CAD" w:rsidRPr="00B94C00">
        <w:t>base de sept (7) défis majeurs :</w:t>
      </w:r>
    </w:p>
    <w:p w14:paraId="31A95F12" w14:textId="77777777" w:rsidR="00CC542A" w:rsidRPr="00B94C00" w:rsidRDefault="00CC542A" w:rsidP="00CC542A">
      <w:pPr>
        <w:spacing w:after="240"/>
        <w:jc w:val="both"/>
        <w:rPr>
          <w:strike/>
        </w:rPr>
      </w:pPr>
    </w:p>
    <w:p w14:paraId="49B111ED" w14:textId="77777777" w:rsidR="002E7D29" w:rsidRPr="00B94C00" w:rsidRDefault="00800BE6" w:rsidP="00CC542A">
      <w:pPr>
        <w:pStyle w:val="Paragraphedeliste"/>
        <w:numPr>
          <w:ilvl w:val="0"/>
          <w:numId w:val="24"/>
        </w:numPr>
        <w:spacing w:after="240" w:line="360" w:lineRule="auto"/>
        <w:jc w:val="both"/>
      </w:pPr>
      <w:proofErr w:type="gramStart"/>
      <w:r w:rsidRPr="00B94C00">
        <w:t>l’amélioration</w:t>
      </w:r>
      <w:proofErr w:type="gramEnd"/>
      <w:r w:rsidRPr="00B94C00">
        <w:t xml:space="preserve"> de</w:t>
      </w:r>
      <w:r w:rsidR="002E7D29" w:rsidRPr="00B94C00">
        <w:t xml:space="preserve"> la gouvernance du secteur ;</w:t>
      </w:r>
    </w:p>
    <w:p w14:paraId="29098984" w14:textId="77777777" w:rsidR="002E7D29" w:rsidRPr="00B94C00" w:rsidRDefault="002E7D29" w:rsidP="00CC542A">
      <w:pPr>
        <w:pStyle w:val="Paragraphedeliste"/>
        <w:numPr>
          <w:ilvl w:val="0"/>
          <w:numId w:val="24"/>
        </w:numPr>
        <w:spacing w:after="240" w:line="360" w:lineRule="auto"/>
        <w:jc w:val="both"/>
      </w:pPr>
      <w:proofErr w:type="gramStart"/>
      <w:r w:rsidRPr="00B94C00">
        <w:t>la</w:t>
      </w:r>
      <w:proofErr w:type="gramEnd"/>
      <w:r w:rsidRPr="00B94C00">
        <w:t xml:space="preserve"> </w:t>
      </w:r>
      <w:r w:rsidR="00800BE6" w:rsidRPr="00B94C00">
        <w:t xml:space="preserve">dotation du </w:t>
      </w:r>
      <w:r w:rsidRPr="00B94C00">
        <w:t>Mali d’une base et d’un système d’informations géo scientifiques performant ;</w:t>
      </w:r>
    </w:p>
    <w:p w14:paraId="6DED4D50" w14:textId="77777777" w:rsidR="002E7D29" w:rsidRPr="00B94C00" w:rsidRDefault="002E7D29" w:rsidP="00CC542A">
      <w:pPr>
        <w:pStyle w:val="Paragraphedeliste"/>
        <w:numPr>
          <w:ilvl w:val="0"/>
          <w:numId w:val="24"/>
        </w:numPr>
        <w:spacing w:after="240" w:line="360" w:lineRule="auto"/>
        <w:jc w:val="both"/>
      </w:pPr>
      <w:proofErr w:type="gramStart"/>
      <w:r w:rsidRPr="00B94C00">
        <w:t>la</w:t>
      </w:r>
      <w:proofErr w:type="gramEnd"/>
      <w:r w:rsidRPr="00B94C00">
        <w:t xml:space="preserve"> </w:t>
      </w:r>
      <w:r w:rsidR="00800BE6" w:rsidRPr="00B94C00">
        <w:t>dotation du Mali d’</w:t>
      </w:r>
      <w:r w:rsidRPr="00B94C00">
        <w:t>infrastructures de base ;</w:t>
      </w:r>
    </w:p>
    <w:p w14:paraId="43BBF764" w14:textId="77777777" w:rsidR="002E7D29" w:rsidRPr="00B94C00" w:rsidRDefault="00800BE6" w:rsidP="00CC542A">
      <w:pPr>
        <w:pStyle w:val="Paragraphedeliste"/>
        <w:numPr>
          <w:ilvl w:val="0"/>
          <w:numId w:val="24"/>
        </w:numPr>
        <w:spacing w:after="240" w:line="360" w:lineRule="auto"/>
        <w:jc w:val="both"/>
      </w:pPr>
      <w:proofErr w:type="gramStart"/>
      <w:r w:rsidRPr="00B94C00">
        <w:t>l’amélioration</w:t>
      </w:r>
      <w:proofErr w:type="gramEnd"/>
      <w:r w:rsidRPr="00B94C00">
        <w:t xml:space="preserve"> de la structuration et de</w:t>
      </w:r>
      <w:r w:rsidR="002E7D29" w:rsidRPr="00B94C00">
        <w:t xml:space="preserve"> </w:t>
      </w:r>
      <w:r w:rsidRPr="00B94C00">
        <w:t>l’encadrement</w:t>
      </w:r>
      <w:r w:rsidR="00F918A0" w:rsidRPr="00B94C00">
        <w:t xml:space="preserve"> du secteur</w:t>
      </w:r>
      <w:r w:rsidR="00FD4EC5" w:rsidRPr="00B94C00">
        <w:t xml:space="preserve"> de l’artisanat minier</w:t>
      </w:r>
      <w:r w:rsidR="002E7D29" w:rsidRPr="00B94C00">
        <w:t> ;</w:t>
      </w:r>
    </w:p>
    <w:p w14:paraId="1D0E7E96" w14:textId="77777777" w:rsidR="002E7D29" w:rsidRPr="00B94C00" w:rsidRDefault="0030449C" w:rsidP="00CC542A">
      <w:pPr>
        <w:pStyle w:val="Paragraphedeliste"/>
        <w:numPr>
          <w:ilvl w:val="0"/>
          <w:numId w:val="24"/>
        </w:numPr>
        <w:spacing w:after="240" w:line="360" w:lineRule="auto"/>
        <w:jc w:val="both"/>
      </w:pPr>
      <w:proofErr w:type="gramStart"/>
      <w:r w:rsidRPr="00B94C00">
        <w:t>l’amélioration</w:t>
      </w:r>
      <w:proofErr w:type="gramEnd"/>
      <w:r w:rsidRPr="00B94C00">
        <w:t xml:space="preserve"> de</w:t>
      </w:r>
      <w:r w:rsidR="002E7D29" w:rsidRPr="00B94C00">
        <w:t xml:space="preserve"> la qualité des ressources humaines ;</w:t>
      </w:r>
    </w:p>
    <w:p w14:paraId="501B105D" w14:textId="77777777" w:rsidR="002E7D29" w:rsidRPr="00B94C00" w:rsidRDefault="0030449C" w:rsidP="00CC542A">
      <w:pPr>
        <w:pStyle w:val="Paragraphedeliste"/>
        <w:numPr>
          <w:ilvl w:val="0"/>
          <w:numId w:val="24"/>
        </w:numPr>
        <w:spacing w:after="240" w:line="360" w:lineRule="auto"/>
        <w:jc w:val="both"/>
      </w:pPr>
      <w:proofErr w:type="gramStart"/>
      <w:r w:rsidRPr="00B94C00">
        <w:t>l’intégration</w:t>
      </w:r>
      <w:proofErr w:type="gramEnd"/>
      <w:r w:rsidRPr="00B94C00">
        <w:t xml:space="preserve"> des</w:t>
      </w:r>
      <w:r w:rsidR="002E7D29" w:rsidRPr="00B94C00">
        <w:t xml:space="preserve"> secteur</w:t>
      </w:r>
      <w:r w:rsidRPr="00B94C00">
        <w:t>s</w:t>
      </w:r>
      <w:r w:rsidR="002E7D29" w:rsidRPr="00B94C00">
        <w:t xml:space="preserve"> minier et pétrolier à l’ensemble de l’économie </w:t>
      </w:r>
      <w:r w:rsidRPr="00B94C00">
        <w:t>nationale</w:t>
      </w:r>
      <w:r w:rsidR="002E7D29" w:rsidRPr="00B94C00">
        <w:t> ;</w:t>
      </w:r>
    </w:p>
    <w:p w14:paraId="394FB1C0" w14:textId="77777777" w:rsidR="00CC542A" w:rsidRDefault="0030449C" w:rsidP="00B94C00">
      <w:pPr>
        <w:pStyle w:val="Paragraphedeliste"/>
        <w:numPr>
          <w:ilvl w:val="0"/>
          <w:numId w:val="24"/>
        </w:numPr>
        <w:spacing w:after="240" w:line="360" w:lineRule="auto"/>
        <w:jc w:val="both"/>
      </w:pPr>
      <w:proofErr w:type="gramStart"/>
      <w:r w:rsidRPr="00B94C00">
        <w:t>la</w:t>
      </w:r>
      <w:proofErr w:type="gramEnd"/>
      <w:r w:rsidRPr="00B94C00">
        <w:t xml:space="preserve"> transformation du secteur</w:t>
      </w:r>
      <w:r w:rsidR="002E7D29" w:rsidRPr="00B94C00">
        <w:t xml:space="preserve"> des mines </w:t>
      </w:r>
      <w:r w:rsidRPr="00B94C00">
        <w:t xml:space="preserve">en </w:t>
      </w:r>
      <w:r w:rsidR="002E7D29" w:rsidRPr="00B94C00">
        <w:t>un vecteur de développement durable.</w:t>
      </w:r>
    </w:p>
    <w:p w14:paraId="4162F727" w14:textId="77777777" w:rsidR="002E7D29" w:rsidRPr="00B94C00" w:rsidRDefault="002E7D29" w:rsidP="00B94C00">
      <w:pPr>
        <w:jc w:val="both"/>
      </w:pPr>
      <w:r w:rsidRPr="00B94C00">
        <w:t>Ces défis sont fortement intégrés. Ils sont formulés sans hiérarchie ni chronologie, mais avec de fortes interrelations de cause à effet les uns par rapport aux autres</w:t>
      </w:r>
      <w:r w:rsidRPr="00B94C00">
        <w:rPr>
          <w:bCs/>
        </w:rPr>
        <w:t>.</w:t>
      </w:r>
    </w:p>
    <w:p w14:paraId="0CB07C4C" w14:textId="77777777" w:rsidR="002E7D29" w:rsidRDefault="002E7D29" w:rsidP="00B94C00">
      <w:pPr>
        <w:jc w:val="both"/>
        <w:rPr>
          <w:b/>
          <w:i/>
        </w:rPr>
      </w:pPr>
    </w:p>
    <w:p w14:paraId="699D1D04" w14:textId="77777777" w:rsidR="00CC542A" w:rsidRDefault="00CC542A" w:rsidP="00B94C00">
      <w:pPr>
        <w:jc w:val="both"/>
        <w:rPr>
          <w:b/>
          <w:i/>
        </w:rPr>
      </w:pPr>
    </w:p>
    <w:p w14:paraId="4B6EFF24" w14:textId="77777777" w:rsidR="00CC542A" w:rsidRPr="00B94C00" w:rsidRDefault="00CC542A" w:rsidP="00B94C00">
      <w:pPr>
        <w:jc w:val="both"/>
        <w:rPr>
          <w:b/>
          <w:i/>
        </w:rPr>
      </w:pPr>
    </w:p>
    <w:p w14:paraId="7C3ED600" w14:textId="77777777" w:rsidR="002E7D29" w:rsidRPr="00B94C00" w:rsidRDefault="00E63552" w:rsidP="00B94C00">
      <w:pPr>
        <w:pStyle w:val="Titre1"/>
      </w:pPr>
      <w:bookmarkStart w:id="7" w:name="_Toc500920865"/>
      <w:r w:rsidRPr="00B94C00">
        <w:t>V</w:t>
      </w:r>
      <w:r w:rsidR="002E7D29" w:rsidRPr="00B94C00">
        <w:t xml:space="preserve">. </w:t>
      </w:r>
      <w:r w:rsidR="002E7D29" w:rsidRPr="00B94C00">
        <w:rPr>
          <w:u w:val="single"/>
        </w:rPr>
        <w:t>STRATEGIES</w:t>
      </w:r>
      <w:bookmarkEnd w:id="7"/>
    </w:p>
    <w:p w14:paraId="11A4BA9C" w14:textId="77777777" w:rsidR="006D158F" w:rsidRPr="00B94C00" w:rsidRDefault="006D158F" w:rsidP="00B94C00"/>
    <w:p w14:paraId="7797A8D8" w14:textId="77777777" w:rsidR="00E63552" w:rsidRDefault="00E63552" w:rsidP="00B94C00">
      <w:pPr>
        <w:jc w:val="both"/>
      </w:pPr>
      <w:r w:rsidRPr="00B94C00">
        <w:t xml:space="preserve">Au total sept (07) axes stratégiques permettront d’assurer la mise en </w:t>
      </w:r>
      <w:r w:rsidR="006D158F" w:rsidRPr="00B94C00">
        <w:t xml:space="preserve">œuvre de la politique </w:t>
      </w:r>
      <w:r w:rsidRPr="00B94C00">
        <w:t>de développement du secteur minier et pétrolier. Ce sont :</w:t>
      </w:r>
    </w:p>
    <w:p w14:paraId="10354CD3" w14:textId="77777777" w:rsidR="00CC542A" w:rsidRPr="00B94C00" w:rsidRDefault="00CC542A" w:rsidP="00B94C00">
      <w:pPr>
        <w:jc w:val="both"/>
      </w:pPr>
    </w:p>
    <w:p w14:paraId="67D0F2EC" w14:textId="77777777" w:rsidR="002E7D29" w:rsidRPr="00B94C00" w:rsidRDefault="002E7D29" w:rsidP="00CC542A">
      <w:pPr>
        <w:pStyle w:val="Paragraphedeliste"/>
        <w:numPr>
          <w:ilvl w:val="0"/>
          <w:numId w:val="19"/>
        </w:numPr>
        <w:spacing w:after="240" w:line="360" w:lineRule="auto"/>
        <w:ind w:left="714" w:hanging="357"/>
        <w:jc w:val="both"/>
      </w:pPr>
      <w:proofErr w:type="gramStart"/>
      <w:r w:rsidRPr="00B94C00">
        <w:t>le</w:t>
      </w:r>
      <w:proofErr w:type="gramEnd"/>
      <w:r w:rsidRPr="00B94C00">
        <w:t xml:space="preserve"> renforcement et l’adaptation du cadre réglementaire de l’activité minière et pétrolière du Mali à la vision et aux nouvelles ambitions du pays pour le secteur ;</w:t>
      </w:r>
    </w:p>
    <w:p w14:paraId="56043162" w14:textId="77777777" w:rsidR="002E7D29" w:rsidRPr="00B94C00" w:rsidRDefault="002E7D29" w:rsidP="00CC542A">
      <w:pPr>
        <w:pStyle w:val="Paragraphedeliste"/>
        <w:numPr>
          <w:ilvl w:val="0"/>
          <w:numId w:val="19"/>
        </w:numPr>
        <w:spacing w:after="240" w:line="360" w:lineRule="auto"/>
        <w:ind w:left="714" w:hanging="357"/>
        <w:jc w:val="both"/>
      </w:pPr>
      <w:r w:rsidRPr="00B94C00">
        <w:t>l’optimisation de l’exploitation du potentiel minier malien dans l’espace et dans le temps ;</w:t>
      </w:r>
    </w:p>
    <w:p w14:paraId="79E75AC9" w14:textId="77777777" w:rsidR="002E7D29" w:rsidRPr="00B94C00" w:rsidRDefault="002E7D29" w:rsidP="00CC542A">
      <w:pPr>
        <w:pStyle w:val="Paragraphedeliste"/>
        <w:numPr>
          <w:ilvl w:val="0"/>
          <w:numId w:val="19"/>
        </w:numPr>
        <w:spacing w:after="240" w:line="360" w:lineRule="auto"/>
        <w:ind w:left="714" w:hanging="357"/>
        <w:jc w:val="both"/>
      </w:pPr>
      <w:bookmarkStart w:id="8" w:name="_Toc438384762"/>
      <w:bookmarkStart w:id="9" w:name="_Toc438387517"/>
      <w:bookmarkStart w:id="10" w:name="_Toc439332282"/>
      <w:bookmarkStart w:id="11" w:name="_Toc439332327"/>
      <w:bookmarkStart w:id="12" w:name="_Toc439343495"/>
      <w:bookmarkEnd w:id="8"/>
      <w:bookmarkEnd w:id="9"/>
      <w:bookmarkEnd w:id="10"/>
      <w:bookmarkEnd w:id="11"/>
      <w:bookmarkEnd w:id="12"/>
      <w:proofErr w:type="gramStart"/>
      <w:r w:rsidRPr="00B94C00">
        <w:lastRenderedPageBreak/>
        <w:t>la</w:t>
      </w:r>
      <w:proofErr w:type="gramEnd"/>
      <w:r w:rsidRPr="00B94C00">
        <w:t xml:space="preserve"> satisfaction des besoins en infrastructures pour le développement minier et pétrolier au Mali;</w:t>
      </w:r>
    </w:p>
    <w:p w14:paraId="3B92B739" w14:textId="77777777" w:rsidR="002E7D29" w:rsidRPr="00B94C00" w:rsidRDefault="002E7D29" w:rsidP="00CC542A">
      <w:pPr>
        <w:pStyle w:val="Paragraphedeliste"/>
        <w:numPr>
          <w:ilvl w:val="0"/>
          <w:numId w:val="19"/>
        </w:numPr>
        <w:spacing w:after="240" w:line="360" w:lineRule="auto"/>
        <w:ind w:left="714" w:hanging="357"/>
        <w:jc w:val="both"/>
      </w:pPr>
      <w:proofErr w:type="gramStart"/>
      <w:r w:rsidRPr="00B94C00">
        <w:t>un</w:t>
      </w:r>
      <w:proofErr w:type="gramEnd"/>
      <w:r w:rsidRPr="00B94C00">
        <w:t xml:space="preserve"> meilleur respect des réglementations et normes ainsi que la préservation du bien-être des acteurs locaux et des populations ;</w:t>
      </w:r>
    </w:p>
    <w:p w14:paraId="068BD642" w14:textId="77777777" w:rsidR="002E7D29" w:rsidRPr="00B94C00" w:rsidRDefault="002E7D29" w:rsidP="00CC542A">
      <w:pPr>
        <w:pStyle w:val="Paragraphedeliste"/>
        <w:numPr>
          <w:ilvl w:val="0"/>
          <w:numId w:val="19"/>
        </w:numPr>
        <w:spacing w:after="240" w:line="360" w:lineRule="auto"/>
        <w:ind w:left="714" w:hanging="357"/>
        <w:jc w:val="both"/>
      </w:pPr>
      <w:r w:rsidRPr="00B94C00">
        <w:t>la mise à niveau, qualitativement et quantitativement, des besoins de l’Etat en ressources humaines</w:t>
      </w:r>
      <w:r w:rsidR="006D158F" w:rsidRPr="00B94C00">
        <w:t xml:space="preserve"> </w:t>
      </w:r>
      <w:r w:rsidRPr="00B94C00">
        <w:t>;</w:t>
      </w:r>
    </w:p>
    <w:p w14:paraId="3DA75F91" w14:textId="77777777" w:rsidR="002E7D29" w:rsidRPr="00B94C00" w:rsidRDefault="002E7D29" w:rsidP="00CC542A">
      <w:pPr>
        <w:pStyle w:val="Paragraphedeliste"/>
        <w:numPr>
          <w:ilvl w:val="0"/>
          <w:numId w:val="19"/>
        </w:numPr>
        <w:spacing w:after="240" w:line="360" w:lineRule="auto"/>
        <w:ind w:left="714" w:hanging="357"/>
        <w:jc w:val="both"/>
      </w:pPr>
      <w:proofErr w:type="gramStart"/>
      <w:r w:rsidRPr="00B94C00">
        <w:rPr>
          <w:bCs/>
        </w:rPr>
        <w:t>le</w:t>
      </w:r>
      <w:proofErr w:type="gramEnd"/>
      <w:r w:rsidRPr="00B94C00">
        <w:t xml:space="preserve"> développement des synergies entre le secteur minier et le reste de l’économie;</w:t>
      </w:r>
    </w:p>
    <w:p w14:paraId="590A235A" w14:textId="77777777" w:rsidR="002E7D29" w:rsidRPr="00B94C00" w:rsidRDefault="002E7D29" w:rsidP="00CC542A">
      <w:pPr>
        <w:pStyle w:val="Paragraphedeliste"/>
        <w:numPr>
          <w:ilvl w:val="0"/>
          <w:numId w:val="19"/>
        </w:numPr>
        <w:spacing w:after="240" w:line="360" w:lineRule="auto"/>
        <w:ind w:left="714" w:hanging="357"/>
        <w:jc w:val="both"/>
        <w:rPr>
          <w:bCs/>
        </w:rPr>
      </w:pPr>
      <w:proofErr w:type="gramStart"/>
      <w:r w:rsidRPr="00B94C00">
        <w:t>la</w:t>
      </w:r>
      <w:proofErr w:type="gramEnd"/>
      <w:r w:rsidRPr="00B94C00">
        <w:t xml:space="preserve"> création de conditions idoines permettant aux populations riveraines de percevoir le secteur minier comme un moyen d’amélioration de leurs conditions de vie</w:t>
      </w:r>
      <w:r w:rsidRPr="00B94C00">
        <w:rPr>
          <w:bCs/>
        </w:rPr>
        <w:t>.</w:t>
      </w:r>
    </w:p>
    <w:p w14:paraId="74FB2030" w14:textId="77777777" w:rsidR="002E7D29" w:rsidRPr="00B94C00" w:rsidRDefault="00E63552" w:rsidP="00B94C00">
      <w:pPr>
        <w:pStyle w:val="Titre1"/>
      </w:pPr>
      <w:bookmarkStart w:id="13" w:name="_Toc500920866"/>
      <w:r w:rsidRPr="00B94C00">
        <w:t>V</w:t>
      </w:r>
      <w:r w:rsidR="002E7D29" w:rsidRPr="00B94C00">
        <w:t xml:space="preserve">I. </w:t>
      </w:r>
      <w:r w:rsidR="002E7D29" w:rsidRPr="00B94C00">
        <w:rPr>
          <w:u w:val="single"/>
        </w:rPr>
        <w:t>ACTIONS A REALISER</w:t>
      </w:r>
      <w:bookmarkEnd w:id="13"/>
    </w:p>
    <w:p w14:paraId="610ED23D" w14:textId="77777777" w:rsidR="00CC542A" w:rsidRDefault="00CC542A" w:rsidP="00B94C00">
      <w:pPr>
        <w:jc w:val="both"/>
      </w:pPr>
    </w:p>
    <w:p w14:paraId="10A4514B" w14:textId="77777777" w:rsidR="002E7D29" w:rsidRPr="00B94C00" w:rsidRDefault="002E7D29" w:rsidP="00B94C00">
      <w:pPr>
        <w:jc w:val="both"/>
      </w:pPr>
      <w:r w:rsidRPr="00B94C00">
        <w:t xml:space="preserve">Pour assurer une mise en œuvre effective des </w:t>
      </w:r>
      <w:r w:rsidR="00EB4C78" w:rsidRPr="00B94C00">
        <w:t xml:space="preserve">axes </w:t>
      </w:r>
      <w:r w:rsidRPr="00B94C00">
        <w:t>stratégiques définis, l’Etat s’engage à entreprendre les actions suivantes, par rapport à :</w:t>
      </w:r>
    </w:p>
    <w:p w14:paraId="0ACF69A4" w14:textId="77777777" w:rsidR="00CC542A" w:rsidRDefault="00CC542A" w:rsidP="00B94C00">
      <w:pPr>
        <w:jc w:val="both"/>
        <w:rPr>
          <w:b/>
          <w:u w:val="single"/>
        </w:rPr>
      </w:pPr>
    </w:p>
    <w:p w14:paraId="52145F51" w14:textId="77777777" w:rsidR="002E7D29" w:rsidRDefault="00C55DDD" w:rsidP="00B94C00">
      <w:pPr>
        <w:jc w:val="both"/>
      </w:pPr>
      <w:r w:rsidRPr="00B94C00">
        <w:rPr>
          <w:b/>
          <w:u w:val="single"/>
        </w:rPr>
        <w:t xml:space="preserve">Axe stratégique </w:t>
      </w:r>
      <w:r w:rsidR="00095CAD" w:rsidRPr="00B94C00">
        <w:rPr>
          <w:b/>
          <w:u w:val="single"/>
        </w:rPr>
        <w:t>1</w:t>
      </w:r>
      <w:r w:rsidR="0044594C" w:rsidRPr="00B94C00">
        <w:rPr>
          <w:b/>
        </w:rPr>
        <w:t xml:space="preserve"> : </w:t>
      </w:r>
      <w:r w:rsidRPr="00B94C00">
        <w:t xml:space="preserve">le renforcement et l’adaptation du cadre réglementaire de l’activité minière et pétrolière du Mali à la vision et aux nouvelles ambitions du pays </w:t>
      </w:r>
      <w:r w:rsidR="0044594C" w:rsidRPr="00B94C00">
        <w:t>pour le secteur.</w:t>
      </w:r>
      <w:r w:rsidR="002E7D29" w:rsidRPr="00B94C00">
        <w:t xml:space="preserve"> Il s’agit de :</w:t>
      </w:r>
    </w:p>
    <w:p w14:paraId="72997CBE" w14:textId="77777777" w:rsidR="00CC542A" w:rsidRPr="00B94C00" w:rsidRDefault="00CC542A" w:rsidP="00B94C00">
      <w:pPr>
        <w:jc w:val="both"/>
        <w:rPr>
          <w:b/>
          <w:i/>
        </w:rPr>
      </w:pPr>
    </w:p>
    <w:p w14:paraId="05536875" w14:textId="77777777" w:rsidR="002E7D29" w:rsidRPr="00B94C00" w:rsidRDefault="002E7D29" w:rsidP="00CC542A">
      <w:pPr>
        <w:numPr>
          <w:ilvl w:val="0"/>
          <w:numId w:val="8"/>
        </w:numPr>
        <w:spacing w:after="240"/>
        <w:ind w:left="714" w:hanging="357"/>
        <w:jc w:val="both"/>
      </w:pPr>
      <w:proofErr w:type="gramStart"/>
      <w:r w:rsidRPr="00B94C00">
        <w:t>mettre</w:t>
      </w:r>
      <w:proofErr w:type="gramEnd"/>
      <w:r w:rsidRPr="00B94C00">
        <w:t xml:space="preserve"> en cohérence le cadre réglementaire et institutionnel du domaine minier et pétrolier avec d’une part les objectifs et les politiques dont le pays s’est dotés, d’autre part les engagements internationaux auxquels il a adhéré ;</w:t>
      </w:r>
    </w:p>
    <w:p w14:paraId="6BDB057A" w14:textId="77777777" w:rsidR="002E7D29" w:rsidRPr="00B94C00" w:rsidRDefault="002E7D29" w:rsidP="00CC542A">
      <w:pPr>
        <w:numPr>
          <w:ilvl w:val="0"/>
          <w:numId w:val="8"/>
        </w:numPr>
        <w:spacing w:after="240"/>
        <w:ind w:left="714" w:hanging="357"/>
        <w:jc w:val="both"/>
      </w:pPr>
      <w:proofErr w:type="gramStart"/>
      <w:r w:rsidRPr="00B94C00">
        <w:t>prendre</w:t>
      </w:r>
      <w:proofErr w:type="gramEnd"/>
      <w:r w:rsidRPr="00B94C00">
        <w:t xml:space="preserve"> en compte la gestion équitable des recettes et rentes minières, la transparence, la responsabilité et la redevabilité dans la réforme du cadre réglementaire et institutionnel ;</w:t>
      </w:r>
    </w:p>
    <w:p w14:paraId="4C6E0345" w14:textId="77777777" w:rsidR="002E7D29" w:rsidRPr="00B94C00" w:rsidRDefault="002E7D29" w:rsidP="00CC542A">
      <w:pPr>
        <w:numPr>
          <w:ilvl w:val="0"/>
          <w:numId w:val="8"/>
        </w:numPr>
        <w:spacing w:after="240"/>
        <w:ind w:left="714" w:hanging="357"/>
        <w:jc w:val="both"/>
      </w:pPr>
      <w:proofErr w:type="gramStart"/>
      <w:r w:rsidRPr="00B94C00">
        <w:t>mettre</w:t>
      </w:r>
      <w:proofErr w:type="gramEnd"/>
      <w:r w:rsidRPr="00B94C00">
        <w:t xml:space="preserve"> en place un cadastre minier performant sous la forme d’un guichet unique pour la délivrance diligente des permis de recherche et autorisations de prospection ; </w:t>
      </w:r>
    </w:p>
    <w:p w14:paraId="338041EA" w14:textId="63E3977F" w:rsidR="002E7D29" w:rsidRPr="00B94C00" w:rsidRDefault="002E7D29" w:rsidP="00CC542A">
      <w:pPr>
        <w:numPr>
          <w:ilvl w:val="0"/>
          <w:numId w:val="8"/>
        </w:numPr>
        <w:spacing w:after="240"/>
        <w:ind w:left="714" w:hanging="357"/>
        <w:jc w:val="both"/>
      </w:pPr>
      <w:proofErr w:type="gramStart"/>
      <w:r w:rsidRPr="00B94C00">
        <w:t>doter</w:t>
      </w:r>
      <w:proofErr w:type="gramEnd"/>
      <w:r w:rsidRPr="00B94C00">
        <w:t xml:space="preserve"> ou permettre aux structures techniques en charge de la gestion </w:t>
      </w:r>
      <w:r w:rsidR="0046325A">
        <w:t>des secteurs minier et pétrolier</w:t>
      </w:r>
      <w:r w:rsidR="00DF1522">
        <w:t xml:space="preserve"> </w:t>
      </w:r>
      <w:r w:rsidRPr="00B94C00">
        <w:t>de bénéficier d’infrastructures et d’équipements minimum leur permettant de jouer pleinement leur rôle dans la mise en œuvre de la politique minière dont le pays s’est doté ;</w:t>
      </w:r>
    </w:p>
    <w:p w14:paraId="5A6D6B4C" w14:textId="77777777" w:rsidR="002E7D29" w:rsidRPr="00B94C00" w:rsidRDefault="002E7D29" w:rsidP="00CC542A">
      <w:pPr>
        <w:numPr>
          <w:ilvl w:val="0"/>
          <w:numId w:val="8"/>
        </w:numPr>
        <w:spacing w:after="240"/>
        <w:ind w:left="714" w:hanging="357"/>
        <w:jc w:val="both"/>
      </w:pPr>
      <w:proofErr w:type="gramStart"/>
      <w:r w:rsidRPr="00B94C00">
        <w:t>doter</w:t>
      </w:r>
      <w:proofErr w:type="gramEnd"/>
      <w:r w:rsidRPr="00B94C00">
        <w:t xml:space="preserve"> l’Etat malien, à travers les structures techniques en charge de la gestion du secteur, des moyens et de la capacité de suivre et de contrôler efficacement la traçabilité de tous les processus miniers en vue de s’assurer du respect des législations, des normes, ainsi que de la préservation des intérêts socioéconomiques de l’Etat et de ses populations ;</w:t>
      </w:r>
    </w:p>
    <w:p w14:paraId="32BA32C7" w14:textId="77777777" w:rsidR="002E7D29" w:rsidRPr="00B94C00" w:rsidRDefault="002E7D29" w:rsidP="00CC542A">
      <w:pPr>
        <w:numPr>
          <w:ilvl w:val="0"/>
          <w:numId w:val="8"/>
        </w:numPr>
        <w:spacing w:after="240"/>
        <w:ind w:left="714" w:hanging="357"/>
        <w:jc w:val="both"/>
      </w:pPr>
      <w:proofErr w:type="gramStart"/>
      <w:r w:rsidRPr="00B94C00">
        <w:t>rationaliser</w:t>
      </w:r>
      <w:proofErr w:type="gramEnd"/>
      <w:r w:rsidRPr="00B94C00">
        <w:t>, renforcer et développer le professionnalisme des structures en charge de la gestion du patrimoine et des intérêts de l’Etat dans le secteur minier et pétrolier ;</w:t>
      </w:r>
    </w:p>
    <w:p w14:paraId="2C3AD2E9" w14:textId="77777777" w:rsidR="002E7D29" w:rsidRPr="00B94C00" w:rsidRDefault="002E7D29" w:rsidP="00CC542A">
      <w:pPr>
        <w:numPr>
          <w:ilvl w:val="0"/>
          <w:numId w:val="8"/>
        </w:numPr>
        <w:spacing w:after="240"/>
        <w:ind w:left="714" w:hanging="357"/>
        <w:jc w:val="both"/>
      </w:pPr>
      <w:proofErr w:type="gramStart"/>
      <w:r w:rsidRPr="00B94C00">
        <w:lastRenderedPageBreak/>
        <w:t>développer</w:t>
      </w:r>
      <w:proofErr w:type="gramEnd"/>
      <w:r w:rsidRPr="00B94C00">
        <w:t xml:space="preserve"> de véritables synergies d'actions entre tous les acteurs et parties prenantes, publiques centralisées, collectivités territoriales mais aussi non étatiques (acteurs privés, chambres des mines, communautés et populations locales) ;</w:t>
      </w:r>
    </w:p>
    <w:p w14:paraId="67BA0D95" w14:textId="77777777" w:rsidR="002E7D29" w:rsidRPr="00B94C00" w:rsidRDefault="002E7D29" w:rsidP="00CC542A">
      <w:pPr>
        <w:numPr>
          <w:ilvl w:val="0"/>
          <w:numId w:val="8"/>
        </w:numPr>
        <w:spacing w:after="240"/>
        <w:ind w:left="714" w:hanging="357"/>
        <w:jc w:val="both"/>
      </w:pPr>
      <w:proofErr w:type="gramStart"/>
      <w:r w:rsidRPr="00B94C00">
        <w:t>faciliter</w:t>
      </w:r>
      <w:proofErr w:type="gramEnd"/>
      <w:r w:rsidRPr="00B94C00">
        <w:t xml:space="preserve"> l’accès des communautés à la base à toutes les informations pertinentes sur la gestion minière dans leurs localités et leur donner un droit de regard sur cette gestion.</w:t>
      </w:r>
    </w:p>
    <w:p w14:paraId="67A7FE45" w14:textId="77777777" w:rsidR="002E7D29" w:rsidRDefault="00C55DDD" w:rsidP="00B94C00">
      <w:pPr>
        <w:ind w:left="360"/>
        <w:jc w:val="both"/>
        <w:rPr>
          <w:rStyle w:val="normaltextrun"/>
        </w:rPr>
      </w:pPr>
      <w:r w:rsidRPr="00B94C00">
        <w:rPr>
          <w:b/>
          <w:u w:val="single"/>
        </w:rPr>
        <w:t xml:space="preserve">Axe stratégique </w:t>
      </w:r>
      <w:r w:rsidR="002E7D29" w:rsidRPr="00B94C00">
        <w:rPr>
          <w:b/>
          <w:u w:val="single"/>
        </w:rPr>
        <w:t>2</w:t>
      </w:r>
      <w:r w:rsidR="002E7D29" w:rsidRPr="00B94C00">
        <w:rPr>
          <w:b/>
        </w:rPr>
        <w:t> :</w:t>
      </w:r>
      <w:r w:rsidRPr="00B94C00">
        <w:rPr>
          <w:b/>
        </w:rPr>
        <w:t xml:space="preserve"> </w:t>
      </w:r>
      <w:r w:rsidRPr="00B94C00">
        <w:t>l’optimisation de l’exploitation du potentiel minier malien dans l’espace et dans le temps</w:t>
      </w:r>
      <w:r w:rsidR="002E7D29" w:rsidRPr="00B94C00">
        <w:rPr>
          <w:b/>
          <w:i/>
        </w:rPr>
        <w:t xml:space="preserve">. </w:t>
      </w:r>
      <w:r w:rsidR="002E7D29" w:rsidRPr="00B94C00">
        <w:rPr>
          <w:rStyle w:val="normaltextrun"/>
        </w:rPr>
        <w:t>Il s’agit de :</w:t>
      </w:r>
    </w:p>
    <w:p w14:paraId="32D2818C" w14:textId="77777777" w:rsidR="00CC542A" w:rsidRPr="00B94C00" w:rsidRDefault="00CC542A" w:rsidP="00B94C00">
      <w:pPr>
        <w:ind w:left="360"/>
        <w:jc w:val="both"/>
        <w:rPr>
          <w:rStyle w:val="normaltextrun"/>
          <w:b/>
          <w:i/>
        </w:rPr>
      </w:pPr>
    </w:p>
    <w:p w14:paraId="50C0A197" w14:textId="77777777" w:rsidR="002E7D29" w:rsidRPr="00B94C00" w:rsidRDefault="002E7D29" w:rsidP="00CC542A">
      <w:pPr>
        <w:pStyle w:val="Paragraphedeliste"/>
        <w:numPr>
          <w:ilvl w:val="0"/>
          <w:numId w:val="9"/>
        </w:numPr>
        <w:spacing w:after="240"/>
        <w:ind w:left="714" w:hanging="357"/>
        <w:contextualSpacing w:val="0"/>
        <w:jc w:val="both"/>
        <w:rPr>
          <w:rStyle w:val="normaltextrun"/>
        </w:rPr>
      </w:pPr>
      <w:proofErr w:type="gramStart"/>
      <w:r w:rsidRPr="00B94C00">
        <w:rPr>
          <w:rStyle w:val="normaltextrun"/>
        </w:rPr>
        <w:t>formaliser</w:t>
      </w:r>
      <w:proofErr w:type="gramEnd"/>
      <w:r w:rsidRPr="00B94C00">
        <w:rPr>
          <w:rStyle w:val="normaltextrun"/>
        </w:rPr>
        <w:t>, fiabiliser et centraliser la collecte de l’information géo scientifique (couvrant dans le temps et dans l’espace tout le potentiel minier malien);</w:t>
      </w:r>
    </w:p>
    <w:p w14:paraId="0903ED82" w14:textId="77777777" w:rsidR="002E7D29" w:rsidRPr="00B94C00" w:rsidRDefault="002E7D29" w:rsidP="00CC542A">
      <w:pPr>
        <w:pStyle w:val="Paragraphedeliste"/>
        <w:numPr>
          <w:ilvl w:val="0"/>
          <w:numId w:val="9"/>
        </w:numPr>
        <w:spacing w:after="240"/>
        <w:ind w:left="714" w:hanging="357"/>
        <w:contextualSpacing w:val="0"/>
        <w:jc w:val="both"/>
        <w:rPr>
          <w:rStyle w:val="normaltextrun"/>
        </w:rPr>
      </w:pPr>
      <w:proofErr w:type="gramStart"/>
      <w:r w:rsidRPr="00B94C00">
        <w:rPr>
          <w:rStyle w:val="normaltextrun"/>
        </w:rPr>
        <w:t>doter</w:t>
      </w:r>
      <w:proofErr w:type="gramEnd"/>
      <w:r w:rsidRPr="00B94C00">
        <w:rPr>
          <w:rStyle w:val="normaltextrun"/>
        </w:rPr>
        <w:t xml:space="preserve"> les services techniques de l’Etat de capacités et moyens techniques et technologiques pour un traitement performant de l’information géo scientifique ;</w:t>
      </w:r>
    </w:p>
    <w:p w14:paraId="76BB4AEC" w14:textId="77777777" w:rsidR="002E7D29" w:rsidRPr="00B94C00" w:rsidRDefault="002E7D29" w:rsidP="00CC542A">
      <w:pPr>
        <w:pStyle w:val="Paragraphedeliste"/>
        <w:numPr>
          <w:ilvl w:val="0"/>
          <w:numId w:val="9"/>
        </w:numPr>
        <w:spacing w:after="240"/>
        <w:ind w:left="714" w:hanging="357"/>
        <w:contextualSpacing w:val="0"/>
        <w:jc w:val="both"/>
        <w:rPr>
          <w:rStyle w:val="normaltextrun"/>
        </w:rPr>
      </w:pPr>
      <w:proofErr w:type="gramStart"/>
      <w:r w:rsidRPr="00B94C00">
        <w:rPr>
          <w:rStyle w:val="normaltextrun"/>
        </w:rPr>
        <w:t>optimiser</w:t>
      </w:r>
      <w:proofErr w:type="gramEnd"/>
      <w:r w:rsidRPr="00B94C00">
        <w:rPr>
          <w:rStyle w:val="normaltextrun"/>
        </w:rPr>
        <w:t xml:space="preserve"> la disponibilité et la diffusion de l’information géostratégique : « la bonne information disponible pour la bonne personne au bon moment ». </w:t>
      </w:r>
    </w:p>
    <w:p w14:paraId="0A363081" w14:textId="77777777" w:rsidR="002E7D29" w:rsidRPr="00B94C00" w:rsidRDefault="002E7D29" w:rsidP="00CC542A">
      <w:pPr>
        <w:pStyle w:val="Paragraphedeliste"/>
        <w:numPr>
          <w:ilvl w:val="0"/>
          <w:numId w:val="9"/>
        </w:numPr>
        <w:spacing w:after="240"/>
        <w:ind w:left="714" w:hanging="357"/>
        <w:contextualSpacing w:val="0"/>
        <w:jc w:val="both"/>
        <w:rPr>
          <w:rStyle w:val="normaltextrun"/>
        </w:rPr>
      </w:pPr>
      <w:proofErr w:type="gramStart"/>
      <w:r w:rsidRPr="00B94C00">
        <w:rPr>
          <w:rStyle w:val="normaltextrun"/>
        </w:rPr>
        <w:t>doter</w:t>
      </w:r>
      <w:proofErr w:type="gramEnd"/>
      <w:r w:rsidRPr="00B94C00">
        <w:rPr>
          <w:rStyle w:val="normaltextrun"/>
        </w:rPr>
        <w:t xml:space="preserve"> la recherche et développement dans le secteur minier </w:t>
      </w:r>
      <w:r w:rsidRPr="00B94C00">
        <w:t xml:space="preserve">et pétrolier </w:t>
      </w:r>
      <w:r w:rsidRPr="00B94C00">
        <w:rPr>
          <w:rStyle w:val="normaltextrun"/>
        </w:rPr>
        <w:t>de tous les moyens techniques et financiers requis pour contribuer au développement du secteur à travers la diversification et la conception de solutions innovantes ;</w:t>
      </w:r>
    </w:p>
    <w:p w14:paraId="5BEF8693" w14:textId="77777777" w:rsidR="002E7D29" w:rsidRPr="00B94C00" w:rsidRDefault="002E7D29" w:rsidP="00CC542A">
      <w:pPr>
        <w:pStyle w:val="Paragraphedeliste"/>
        <w:numPr>
          <w:ilvl w:val="0"/>
          <w:numId w:val="9"/>
        </w:numPr>
        <w:spacing w:after="240"/>
        <w:ind w:left="714" w:hanging="357"/>
        <w:contextualSpacing w:val="0"/>
        <w:jc w:val="both"/>
      </w:pPr>
      <w:proofErr w:type="gramStart"/>
      <w:r w:rsidRPr="00B94C00">
        <w:rPr>
          <w:rFonts w:eastAsia="Tahoma"/>
        </w:rPr>
        <w:t>créer</w:t>
      </w:r>
      <w:proofErr w:type="gramEnd"/>
      <w:r w:rsidRPr="00B94C00">
        <w:rPr>
          <w:rFonts w:eastAsia="Tahoma"/>
        </w:rPr>
        <w:t xml:space="preserve"> une synergie d’actions entre les différentes structures impliquées dans l’animation et la gestion du système d’informations géo scientifiques ;</w:t>
      </w:r>
    </w:p>
    <w:p w14:paraId="0F0A9AB5" w14:textId="77777777" w:rsidR="002E7D29" w:rsidRPr="00B94C00" w:rsidRDefault="002E7D29" w:rsidP="00CC542A">
      <w:pPr>
        <w:pStyle w:val="Paragraphedeliste"/>
        <w:numPr>
          <w:ilvl w:val="0"/>
          <w:numId w:val="9"/>
        </w:numPr>
        <w:spacing w:after="240"/>
        <w:ind w:left="714" w:hanging="357"/>
        <w:contextualSpacing w:val="0"/>
        <w:jc w:val="both"/>
      </w:pPr>
      <w:proofErr w:type="gramStart"/>
      <w:r w:rsidRPr="00B94C00">
        <w:rPr>
          <w:rFonts w:eastAsia="Tahoma"/>
        </w:rPr>
        <w:t>optimiser</w:t>
      </w:r>
      <w:proofErr w:type="gramEnd"/>
      <w:r w:rsidRPr="00B94C00">
        <w:rPr>
          <w:rFonts w:eastAsia="Tahoma"/>
        </w:rPr>
        <w:t xml:space="preserve"> l’exploitation des ressources minières nationales dans le temps et dans l’espace. Ce qui suppose un meilleur équilibre dans l’utilisation et la rationalité dans l’utilisation des différentes ressources minières et minérales.</w:t>
      </w:r>
    </w:p>
    <w:p w14:paraId="24DDDB69" w14:textId="77777777" w:rsidR="00CC542A" w:rsidRDefault="00CC542A" w:rsidP="00B94C00">
      <w:pPr>
        <w:ind w:left="360"/>
        <w:jc w:val="both"/>
        <w:rPr>
          <w:b/>
          <w:u w:val="single"/>
        </w:rPr>
      </w:pPr>
    </w:p>
    <w:p w14:paraId="6E3713D3" w14:textId="77777777" w:rsidR="002E7D29" w:rsidRDefault="00C55DDD" w:rsidP="00B94C00">
      <w:pPr>
        <w:ind w:left="360"/>
        <w:jc w:val="both"/>
      </w:pPr>
      <w:r w:rsidRPr="00B94C00">
        <w:rPr>
          <w:b/>
          <w:u w:val="single"/>
        </w:rPr>
        <w:t>Axes stratégique</w:t>
      </w:r>
      <w:r w:rsidR="002E7D29" w:rsidRPr="00B94C00">
        <w:rPr>
          <w:b/>
          <w:u w:val="single"/>
        </w:rPr>
        <w:t xml:space="preserve"> 3</w:t>
      </w:r>
      <w:r w:rsidR="002E7D29" w:rsidRPr="00B94C00">
        <w:rPr>
          <w:b/>
        </w:rPr>
        <w:t> :</w:t>
      </w:r>
      <w:r w:rsidRPr="00B94C00">
        <w:rPr>
          <w:b/>
        </w:rPr>
        <w:t xml:space="preserve"> </w:t>
      </w:r>
      <w:r w:rsidRPr="00B94C00">
        <w:t>la satisfaction des besoins en infrastructures pour le développement</w:t>
      </w:r>
      <w:r w:rsidR="00CC542A">
        <w:t xml:space="preserve"> des secteurs </w:t>
      </w:r>
      <w:r w:rsidRPr="00B94C00">
        <w:t>minier et pétrolier</w:t>
      </w:r>
      <w:r w:rsidR="002E7D29" w:rsidRPr="00B94C00">
        <w:rPr>
          <w:b/>
        </w:rPr>
        <w:t xml:space="preserve">. </w:t>
      </w:r>
      <w:r w:rsidR="002E7D29" w:rsidRPr="00B94C00">
        <w:t>Il s’agit de :</w:t>
      </w:r>
    </w:p>
    <w:p w14:paraId="520066D5" w14:textId="77777777" w:rsidR="00CC542A" w:rsidRPr="00B94C00" w:rsidRDefault="00CC542A" w:rsidP="00B94C00">
      <w:pPr>
        <w:ind w:left="360"/>
        <w:jc w:val="both"/>
        <w:rPr>
          <w:b/>
          <w:i/>
        </w:rPr>
      </w:pPr>
    </w:p>
    <w:p w14:paraId="7475E9D8" w14:textId="77777777" w:rsidR="002E7D29" w:rsidRPr="00B94C00" w:rsidRDefault="002E7D29" w:rsidP="00CC542A">
      <w:pPr>
        <w:pStyle w:val="Paragraphedeliste"/>
        <w:numPr>
          <w:ilvl w:val="0"/>
          <w:numId w:val="10"/>
        </w:numPr>
        <w:spacing w:after="240"/>
        <w:jc w:val="both"/>
        <w:rPr>
          <w:rStyle w:val="normaltextrun"/>
        </w:rPr>
      </w:pPr>
      <w:proofErr w:type="gramStart"/>
      <w:r w:rsidRPr="00B94C00">
        <w:rPr>
          <w:rStyle w:val="normaltextrun"/>
        </w:rPr>
        <w:t>évaluer</w:t>
      </w:r>
      <w:proofErr w:type="gramEnd"/>
      <w:r w:rsidRPr="00B94C00">
        <w:rPr>
          <w:rStyle w:val="normaltextrun"/>
        </w:rPr>
        <w:t xml:space="preserve"> suivant une approche impliquant les parties prenantes, les besoins de développement socioéconomique durable relevant du secteur minier et pétrolier, découlant de la vision malienne et de leurs stratégies de développement;</w:t>
      </w:r>
    </w:p>
    <w:p w14:paraId="6A98F5F5" w14:textId="77777777" w:rsidR="002E7D29" w:rsidRPr="00B94C00" w:rsidRDefault="002E7D29" w:rsidP="00CC542A">
      <w:pPr>
        <w:pStyle w:val="Paragraphedeliste"/>
        <w:numPr>
          <w:ilvl w:val="0"/>
          <w:numId w:val="10"/>
        </w:numPr>
        <w:spacing w:after="240"/>
        <w:jc w:val="both"/>
        <w:rPr>
          <w:rStyle w:val="normaltextrun"/>
        </w:rPr>
      </w:pPr>
      <w:proofErr w:type="gramStart"/>
      <w:r w:rsidRPr="00B94C00">
        <w:rPr>
          <w:rStyle w:val="normaltextrun"/>
        </w:rPr>
        <w:t>prendre</w:t>
      </w:r>
      <w:proofErr w:type="gramEnd"/>
      <w:r w:rsidRPr="00B94C00">
        <w:rPr>
          <w:rStyle w:val="normaltextrun"/>
        </w:rPr>
        <w:t xml:space="preserve"> en compte les besoins en infrastructures découlant de la stratégie du développement minier et pétrolier dans les politiques d’aménagement du territoire et d’investissements structurants ;</w:t>
      </w:r>
    </w:p>
    <w:p w14:paraId="0920A6D4" w14:textId="77777777" w:rsidR="002E7D29" w:rsidRPr="00B94C00" w:rsidRDefault="002E7D29" w:rsidP="00CC542A">
      <w:pPr>
        <w:pStyle w:val="Paragraphedeliste"/>
        <w:numPr>
          <w:ilvl w:val="0"/>
          <w:numId w:val="10"/>
        </w:numPr>
        <w:spacing w:after="240"/>
        <w:jc w:val="both"/>
        <w:rPr>
          <w:rStyle w:val="normaltextrun"/>
        </w:rPr>
      </w:pPr>
      <w:proofErr w:type="gramStart"/>
      <w:r w:rsidRPr="00B94C00">
        <w:rPr>
          <w:rStyle w:val="normaltextrun"/>
        </w:rPr>
        <w:t>réaliser</w:t>
      </w:r>
      <w:proofErr w:type="gramEnd"/>
      <w:r w:rsidRPr="00B94C00">
        <w:rPr>
          <w:rStyle w:val="normaltextrun"/>
        </w:rPr>
        <w:t xml:space="preserve"> ou mettre à niveau les infrastructures géotechniques de base (équipements nécessaires à l’élaboration des cartes géologiques, géophysiques et chimiques, laboratoires de recherche et d’analyse …) ;</w:t>
      </w:r>
    </w:p>
    <w:p w14:paraId="44ACB8EE" w14:textId="77777777" w:rsidR="002E7D29" w:rsidRPr="00B94C00" w:rsidRDefault="002E7D29" w:rsidP="00CC542A">
      <w:pPr>
        <w:pStyle w:val="Paragraphedeliste"/>
        <w:numPr>
          <w:ilvl w:val="0"/>
          <w:numId w:val="10"/>
        </w:numPr>
        <w:spacing w:after="240"/>
        <w:jc w:val="both"/>
        <w:rPr>
          <w:rStyle w:val="normaltextrun"/>
        </w:rPr>
      </w:pPr>
      <w:proofErr w:type="gramStart"/>
      <w:r w:rsidRPr="00B94C00">
        <w:rPr>
          <w:rStyle w:val="normaltextrun"/>
        </w:rPr>
        <w:t>mettre</w:t>
      </w:r>
      <w:proofErr w:type="gramEnd"/>
      <w:r w:rsidRPr="00B94C00">
        <w:rPr>
          <w:rStyle w:val="normaltextrun"/>
        </w:rPr>
        <w:t xml:space="preserve"> progressivement à niveau les infrastructures de désenclavement de transport (routes, chemins de fer, navigation, etc.) en cohérence avec les besoins de la politique minière intégrés dans les plans d’aménagement du territoire ;</w:t>
      </w:r>
    </w:p>
    <w:p w14:paraId="313F58DB" w14:textId="77777777" w:rsidR="002E7D29" w:rsidRPr="00B94C00" w:rsidRDefault="002E7D29" w:rsidP="00CC542A">
      <w:pPr>
        <w:pStyle w:val="Paragraphedeliste"/>
        <w:numPr>
          <w:ilvl w:val="0"/>
          <w:numId w:val="10"/>
        </w:numPr>
        <w:spacing w:after="240"/>
        <w:jc w:val="both"/>
      </w:pPr>
      <w:proofErr w:type="gramStart"/>
      <w:r w:rsidRPr="00B94C00">
        <w:t>mettre</w:t>
      </w:r>
      <w:proofErr w:type="gramEnd"/>
      <w:r w:rsidRPr="00B94C00">
        <w:t xml:space="preserve"> progressivement à niveau les infrastructures énergétiques par rapport aux besoins de la vision et de la stratégie minière nationale ;</w:t>
      </w:r>
    </w:p>
    <w:p w14:paraId="66408D97" w14:textId="77777777" w:rsidR="002E7D29" w:rsidRPr="00B94C00" w:rsidRDefault="002E7D29" w:rsidP="00CC542A">
      <w:pPr>
        <w:pStyle w:val="Paragraphedeliste"/>
        <w:numPr>
          <w:ilvl w:val="0"/>
          <w:numId w:val="10"/>
        </w:numPr>
        <w:spacing w:after="240"/>
        <w:jc w:val="both"/>
      </w:pPr>
      <w:proofErr w:type="gramStart"/>
      <w:r w:rsidRPr="00B94C00">
        <w:lastRenderedPageBreak/>
        <w:t>impliquer</w:t>
      </w:r>
      <w:proofErr w:type="gramEnd"/>
      <w:r w:rsidRPr="00B94C00">
        <w:t xml:space="preserve"> le secteur privé dans la mise en œuvre des projets d’infrastructures en favorisant une approche PPP (Partenariat Public Privé).</w:t>
      </w:r>
    </w:p>
    <w:p w14:paraId="5584D75C" w14:textId="77777777" w:rsidR="002E7D29" w:rsidRPr="00B94C00" w:rsidRDefault="002E7D29" w:rsidP="00CC542A">
      <w:pPr>
        <w:spacing w:after="240"/>
        <w:jc w:val="both"/>
      </w:pPr>
      <w:r w:rsidRPr="00B94C00">
        <w:t xml:space="preserve">Il est important de souligner que la mise en œuvre de cet </w:t>
      </w:r>
      <w:r w:rsidR="0044594C" w:rsidRPr="00B94C00">
        <w:t>axe stratégique</w:t>
      </w:r>
      <w:r w:rsidRPr="00B94C00">
        <w:t xml:space="preserve"> nécessite une forte volonté politique car le développement des infrastructures ne relève pas du seul département des mines. </w:t>
      </w:r>
    </w:p>
    <w:p w14:paraId="6446C7C6" w14:textId="77777777" w:rsidR="002E7D29" w:rsidRDefault="00C55DDD" w:rsidP="00B94C00">
      <w:pPr>
        <w:ind w:left="360"/>
        <w:jc w:val="both"/>
      </w:pPr>
      <w:r w:rsidRPr="00B94C00">
        <w:rPr>
          <w:b/>
          <w:u w:val="single"/>
        </w:rPr>
        <w:t>Axe stratégique</w:t>
      </w:r>
      <w:r w:rsidR="002E7D29" w:rsidRPr="00B94C00">
        <w:rPr>
          <w:b/>
          <w:u w:val="single"/>
        </w:rPr>
        <w:t xml:space="preserve"> 4</w:t>
      </w:r>
      <w:r w:rsidR="002E7D29" w:rsidRPr="00B94C00">
        <w:rPr>
          <w:b/>
        </w:rPr>
        <w:t> :</w:t>
      </w:r>
      <w:r w:rsidRPr="00B94C00">
        <w:t xml:space="preserve"> un meilleur respect des réglementations et normes ainsi que la préservation du bien-être des acteurs locaux et des populations</w:t>
      </w:r>
      <w:r w:rsidR="002E7D29" w:rsidRPr="00B94C00">
        <w:rPr>
          <w:b/>
        </w:rPr>
        <w:t xml:space="preserve">. </w:t>
      </w:r>
      <w:r w:rsidR="002E7D29" w:rsidRPr="00B94C00">
        <w:t>Il s’agit de :</w:t>
      </w:r>
    </w:p>
    <w:p w14:paraId="0A6AF197" w14:textId="77777777" w:rsidR="00065077" w:rsidRPr="00B94C00" w:rsidRDefault="00065077" w:rsidP="00B94C00">
      <w:pPr>
        <w:ind w:left="360"/>
        <w:jc w:val="both"/>
      </w:pPr>
    </w:p>
    <w:p w14:paraId="43C2EE98" w14:textId="2D37DEFF" w:rsidR="002E7D29" w:rsidRDefault="002E7D29" w:rsidP="00065077">
      <w:pPr>
        <w:pStyle w:val="Paragraphedeliste"/>
        <w:numPr>
          <w:ilvl w:val="0"/>
          <w:numId w:val="11"/>
        </w:numPr>
        <w:spacing w:after="240"/>
        <w:ind w:left="714" w:hanging="357"/>
        <w:jc w:val="both"/>
      </w:pPr>
      <w:proofErr w:type="gramStart"/>
      <w:r w:rsidRPr="00B94C00">
        <w:t>recenser</w:t>
      </w:r>
      <w:proofErr w:type="gramEnd"/>
      <w:r w:rsidRPr="00B94C00">
        <w:t xml:space="preserve"> tous les acteurs </w:t>
      </w:r>
      <w:r w:rsidR="0046325A">
        <w:t>des secteurs minier et pétrolier</w:t>
      </w:r>
      <w:r w:rsidR="00DF1522">
        <w:t xml:space="preserve"> </w:t>
      </w:r>
      <w:r w:rsidRPr="00B94C00">
        <w:t>en fonction de leurs caractéristiques spécifiques : orpaillage (traditionnel, mécanisé), petite mine, mine artisanale, mine industrielle, dragage, autres activités assimilées à l’orpaillage ;</w:t>
      </w:r>
    </w:p>
    <w:p w14:paraId="284814A9" w14:textId="77777777" w:rsidR="00065077" w:rsidRPr="00B94C00" w:rsidRDefault="00065077" w:rsidP="00065077">
      <w:pPr>
        <w:pStyle w:val="Paragraphedeliste"/>
        <w:spacing w:after="240"/>
        <w:ind w:left="714"/>
        <w:jc w:val="both"/>
      </w:pPr>
    </w:p>
    <w:p w14:paraId="704D7042" w14:textId="77777777" w:rsidR="00065077" w:rsidRDefault="002E7D29" w:rsidP="00065077">
      <w:pPr>
        <w:pStyle w:val="Paragraphedeliste"/>
        <w:numPr>
          <w:ilvl w:val="0"/>
          <w:numId w:val="11"/>
        </w:numPr>
        <w:spacing w:after="240"/>
        <w:ind w:left="714" w:hanging="357"/>
        <w:jc w:val="both"/>
      </w:pPr>
      <w:proofErr w:type="gramStart"/>
      <w:r w:rsidRPr="00B94C00">
        <w:t>définir</w:t>
      </w:r>
      <w:proofErr w:type="gramEnd"/>
      <w:r w:rsidRPr="00B94C00">
        <w:t xml:space="preserve"> un cadre règlementaire clair pour l’exercice des activités de chaque acteur : règlementations et fiscalités applicables, tutelles ;</w:t>
      </w:r>
    </w:p>
    <w:p w14:paraId="65D87E26" w14:textId="77777777" w:rsidR="00065077" w:rsidRPr="00B94C00" w:rsidRDefault="00065077" w:rsidP="00065077">
      <w:pPr>
        <w:pStyle w:val="Paragraphedeliste"/>
        <w:spacing w:after="240"/>
        <w:ind w:left="714"/>
        <w:jc w:val="both"/>
      </w:pPr>
    </w:p>
    <w:p w14:paraId="3D6C607B" w14:textId="77777777" w:rsidR="00065077" w:rsidRDefault="002E7D29" w:rsidP="00065077">
      <w:pPr>
        <w:pStyle w:val="Paragraphedeliste"/>
        <w:numPr>
          <w:ilvl w:val="0"/>
          <w:numId w:val="11"/>
        </w:numPr>
        <w:spacing w:after="240"/>
        <w:ind w:left="714" w:hanging="357"/>
        <w:jc w:val="both"/>
      </w:pPr>
      <w:proofErr w:type="gramStart"/>
      <w:r w:rsidRPr="00B94C00">
        <w:t>informer</w:t>
      </w:r>
      <w:proofErr w:type="gramEnd"/>
      <w:r w:rsidRPr="00B94C00">
        <w:t xml:space="preserve"> et sensibiliser tous les acteurs des enjeux individuels et communautaires et sur l’importance du respect des règlements en vigueur (y compris la fiscalité), des normes et de l’écosystème ;</w:t>
      </w:r>
    </w:p>
    <w:p w14:paraId="01BE1F03" w14:textId="77777777" w:rsidR="00065077" w:rsidRDefault="00065077" w:rsidP="00065077">
      <w:pPr>
        <w:pStyle w:val="Paragraphedeliste"/>
      </w:pPr>
    </w:p>
    <w:p w14:paraId="75B85EC6" w14:textId="77777777" w:rsidR="002E7D29" w:rsidRDefault="002E7D29" w:rsidP="00065077">
      <w:pPr>
        <w:pStyle w:val="Paragraphedeliste"/>
        <w:numPr>
          <w:ilvl w:val="0"/>
          <w:numId w:val="11"/>
        </w:numPr>
        <w:spacing w:after="240"/>
        <w:ind w:left="714" w:hanging="357"/>
        <w:jc w:val="both"/>
      </w:pPr>
      <w:proofErr w:type="gramStart"/>
      <w:r w:rsidRPr="00B94C00">
        <w:t>structurer</w:t>
      </w:r>
      <w:proofErr w:type="gramEnd"/>
      <w:r w:rsidRPr="00B94C00">
        <w:t xml:space="preserve"> les différents acteurs en organisations professionnelles et/ou coopératives ayant des rôles de représentation, de défense des intérêts individuels et collectifs de leurs membres, de sensibilisation, de formation et d’appui aux membres ; </w:t>
      </w:r>
    </w:p>
    <w:p w14:paraId="3D18C3F9" w14:textId="77777777" w:rsidR="00065077" w:rsidRDefault="00065077" w:rsidP="00065077">
      <w:pPr>
        <w:pStyle w:val="Paragraphedeliste"/>
      </w:pPr>
    </w:p>
    <w:p w14:paraId="7A23038A" w14:textId="77777777" w:rsidR="002E7D29" w:rsidRDefault="002E7D29" w:rsidP="00065077">
      <w:pPr>
        <w:pStyle w:val="Paragraphedeliste"/>
        <w:numPr>
          <w:ilvl w:val="0"/>
          <w:numId w:val="11"/>
        </w:numPr>
        <w:spacing w:after="240"/>
        <w:ind w:left="714" w:hanging="357"/>
        <w:jc w:val="both"/>
      </w:pPr>
      <w:proofErr w:type="gramStart"/>
      <w:r w:rsidRPr="00B94C00">
        <w:t>mettre</w:t>
      </w:r>
      <w:proofErr w:type="gramEnd"/>
      <w:r w:rsidRPr="00B94C00">
        <w:t xml:space="preserve"> en place un mécanisme d’appui et de renforcement de capacité </w:t>
      </w:r>
      <w:r w:rsidR="00247E0C" w:rsidRPr="00B94C00">
        <w:t xml:space="preserve">en </w:t>
      </w:r>
      <w:r w:rsidRPr="00B94C00">
        <w:t>faveur des acteurs recensés et en règle ainsi que des organisations professionnelles et des associations représentatives des populations afin que chacun ait les capacités et les moyens de jouer pleinement ses rôles ;</w:t>
      </w:r>
    </w:p>
    <w:p w14:paraId="2C4BCE67" w14:textId="77777777" w:rsidR="00065077" w:rsidRDefault="00065077" w:rsidP="00065077">
      <w:pPr>
        <w:pStyle w:val="Paragraphedeliste"/>
      </w:pPr>
    </w:p>
    <w:p w14:paraId="733A1643" w14:textId="77777777" w:rsidR="002E7D29" w:rsidRPr="00B94C00" w:rsidRDefault="002E7D29" w:rsidP="00065077">
      <w:pPr>
        <w:pStyle w:val="Paragraphedeliste"/>
        <w:numPr>
          <w:ilvl w:val="0"/>
          <w:numId w:val="11"/>
        </w:numPr>
        <w:spacing w:after="240"/>
        <w:ind w:left="714" w:hanging="357"/>
        <w:jc w:val="both"/>
      </w:pPr>
      <w:proofErr w:type="gramStart"/>
      <w:r w:rsidRPr="00B94C00">
        <w:t>définir</w:t>
      </w:r>
      <w:proofErr w:type="gramEnd"/>
      <w:r w:rsidRPr="00B94C00">
        <w:t xml:space="preserve"> clairement le rôle des collectivités territoriales dans la gestion de l’orpaillage et mettre en œuvre un programme de renforcement des capacités afin de leur donner les moyens nécessaires pour mieux contribuer à l’amélioration de la gouvernance de l’exploitation artisanale des mines d’or. </w:t>
      </w:r>
    </w:p>
    <w:p w14:paraId="1675082C" w14:textId="77777777" w:rsidR="002E7D29" w:rsidRDefault="00C55DDD" w:rsidP="00B94C00">
      <w:pPr>
        <w:pStyle w:val="Style4"/>
        <w:tabs>
          <w:tab w:val="clear" w:pos="926"/>
        </w:tabs>
        <w:ind w:left="360" w:firstLine="0"/>
        <w:rPr>
          <w:caps w:val="0"/>
          <w:szCs w:val="24"/>
        </w:rPr>
      </w:pPr>
      <w:r w:rsidRPr="00B94C00">
        <w:rPr>
          <w:bCs w:val="0"/>
          <w:caps w:val="0"/>
          <w:szCs w:val="24"/>
          <w:u w:val="single"/>
        </w:rPr>
        <w:t>Axe stratégique</w:t>
      </w:r>
      <w:r w:rsidR="00095CAD" w:rsidRPr="00B94C00">
        <w:rPr>
          <w:bCs w:val="0"/>
          <w:caps w:val="0"/>
          <w:szCs w:val="24"/>
          <w:u w:val="single"/>
        </w:rPr>
        <w:t xml:space="preserve"> </w:t>
      </w:r>
      <w:r w:rsidR="002E7D29" w:rsidRPr="00B94C00">
        <w:rPr>
          <w:bCs w:val="0"/>
          <w:caps w:val="0"/>
          <w:szCs w:val="24"/>
          <w:u w:val="single"/>
        </w:rPr>
        <w:t>5</w:t>
      </w:r>
      <w:r w:rsidR="002E7D29" w:rsidRPr="00B94C00">
        <w:rPr>
          <w:bCs w:val="0"/>
          <w:caps w:val="0"/>
          <w:szCs w:val="24"/>
        </w:rPr>
        <w:t> :</w:t>
      </w:r>
      <w:r w:rsidRPr="00B94C00">
        <w:rPr>
          <w:szCs w:val="24"/>
        </w:rPr>
        <w:t xml:space="preserve"> </w:t>
      </w:r>
      <w:r w:rsidRPr="00B94C00">
        <w:rPr>
          <w:b w:val="0"/>
          <w:bCs w:val="0"/>
          <w:caps w:val="0"/>
          <w:szCs w:val="24"/>
        </w:rPr>
        <w:t>la mise à niveau, qualitativement et quantitativement, des besoins de l’Etat en ressources humaines</w:t>
      </w:r>
      <w:r w:rsidR="002E7D29" w:rsidRPr="00B94C00">
        <w:rPr>
          <w:b w:val="0"/>
          <w:bCs w:val="0"/>
          <w:caps w:val="0"/>
          <w:szCs w:val="24"/>
        </w:rPr>
        <w:t>. Il</w:t>
      </w:r>
      <w:r w:rsidR="002E7D29" w:rsidRPr="00B94C00">
        <w:rPr>
          <w:caps w:val="0"/>
          <w:szCs w:val="24"/>
        </w:rPr>
        <w:t xml:space="preserve"> s’agit de :</w:t>
      </w:r>
    </w:p>
    <w:p w14:paraId="22C72EF7" w14:textId="77777777" w:rsidR="00065077" w:rsidRPr="00B94C00" w:rsidRDefault="00065077" w:rsidP="00B94C00">
      <w:pPr>
        <w:pStyle w:val="Style4"/>
        <w:tabs>
          <w:tab w:val="clear" w:pos="926"/>
        </w:tabs>
        <w:ind w:left="360" w:firstLine="0"/>
        <w:rPr>
          <w:szCs w:val="24"/>
        </w:rPr>
      </w:pPr>
    </w:p>
    <w:p w14:paraId="4E618F4C" w14:textId="0BA572AC" w:rsidR="002E7D29" w:rsidRDefault="002E7D29" w:rsidP="00B94C00">
      <w:pPr>
        <w:pStyle w:val="Paragraphedeliste"/>
        <w:numPr>
          <w:ilvl w:val="0"/>
          <w:numId w:val="12"/>
        </w:numPr>
        <w:jc w:val="both"/>
      </w:pPr>
      <w:proofErr w:type="gramStart"/>
      <w:r w:rsidRPr="00B94C00">
        <w:t>faire</w:t>
      </w:r>
      <w:proofErr w:type="gramEnd"/>
      <w:r w:rsidRPr="00B94C00">
        <w:t xml:space="preserve"> une évaluation détaillée des besoins </w:t>
      </w:r>
      <w:r w:rsidR="0046325A">
        <w:t>des secteurs minier et pétrolier</w:t>
      </w:r>
      <w:r w:rsidR="005D6CEE">
        <w:t xml:space="preserve"> </w:t>
      </w:r>
      <w:r w:rsidRPr="00B94C00">
        <w:t>malien, en ressources humaines en volume, en qualité et dans son évolution en fonction de la politique et des stratégies adoptées pour son développement ;</w:t>
      </w:r>
    </w:p>
    <w:p w14:paraId="0FC34116" w14:textId="77777777" w:rsidR="00EB584B" w:rsidRPr="00B94C00" w:rsidRDefault="00EB584B" w:rsidP="00EB584B">
      <w:pPr>
        <w:jc w:val="both"/>
      </w:pPr>
    </w:p>
    <w:p w14:paraId="50A4A0BD" w14:textId="77777777" w:rsidR="002E7D29" w:rsidRDefault="002E7D29" w:rsidP="00B94C00">
      <w:pPr>
        <w:pStyle w:val="Paragraphedeliste"/>
        <w:numPr>
          <w:ilvl w:val="0"/>
          <w:numId w:val="12"/>
        </w:numPr>
        <w:jc w:val="both"/>
      </w:pPr>
      <w:r w:rsidRPr="00B94C00">
        <w:t>renforcer les acteurs nationaux (représentants de l’Etat central, des communautés locales, des exploitations minières à petite échelle, des OSC, …) en termes de capacité de négociation de contrats, accords et avantages de développement communautaire ;</w:t>
      </w:r>
    </w:p>
    <w:p w14:paraId="56B751E5" w14:textId="77777777" w:rsidR="00EB584B" w:rsidRDefault="00EB584B" w:rsidP="00EB584B">
      <w:pPr>
        <w:pStyle w:val="Paragraphedeliste"/>
      </w:pPr>
    </w:p>
    <w:p w14:paraId="51CD92DC" w14:textId="77777777" w:rsidR="002E7D29" w:rsidRDefault="002E7D29" w:rsidP="00B94C00">
      <w:pPr>
        <w:pStyle w:val="Paragraphedeliste"/>
        <w:numPr>
          <w:ilvl w:val="0"/>
          <w:numId w:val="12"/>
        </w:numPr>
        <w:jc w:val="both"/>
      </w:pPr>
      <w:proofErr w:type="gramStart"/>
      <w:r w:rsidRPr="00B94C00">
        <w:lastRenderedPageBreak/>
        <w:t>créer</w:t>
      </w:r>
      <w:proofErr w:type="gramEnd"/>
      <w:r w:rsidRPr="00B94C00">
        <w:t xml:space="preserve"> une Ecole Africaine des Mines sur la base d’un plan d’affaires qui définira son positionnement par rapport aux besoins de formation non comblés pour soutenir la politique nationale des mines et qui prouvera sa faisabilité technique et économique ;</w:t>
      </w:r>
    </w:p>
    <w:p w14:paraId="5687E580" w14:textId="77777777" w:rsidR="00EB584B" w:rsidRDefault="00EB584B" w:rsidP="00EB584B">
      <w:pPr>
        <w:pStyle w:val="Paragraphedeliste"/>
      </w:pPr>
    </w:p>
    <w:p w14:paraId="367C48B3" w14:textId="537299C7" w:rsidR="002E7D29" w:rsidRDefault="002E7D29" w:rsidP="00B94C00">
      <w:pPr>
        <w:pStyle w:val="Paragraphedeliste"/>
        <w:numPr>
          <w:ilvl w:val="0"/>
          <w:numId w:val="12"/>
        </w:numPr>
        <w:jc w:val="both"/>
      </w:pPr>
      <w:proofErr w:type="gramStart"/>
      <w:r w:rsidRPr="00B94C00">
        <w:t>doter</w:t>
      </w:r>
      <w:proofErr w:type="gramEnd"/>
      <w:r w:rsidRPr="00B94C00">
        <w:t xml:space="preserve"> les établissements d’enseignement supérieur au Mali (Universités, grandes écoles) de filières conformes aux besoins </w:t>
      </w:r>
      <w:r w:rsidR="0046325A">
        <w:t>des secteurs minier et pétrolier</w:t>
      </w:r>
      <w:r w:rsidR="00DF1522">
        <w:t xml:space="preserve"> </w:t>
      </w:r>
      <w:r w:rsidRPr="00B94C00">
        <w:t>et renforcer leurs capacités à cet effet (cursus et programmes de formation, équipements, corps enseignants, mécanisme assurant l’intégration effective de la formation pratique) ;</w:t>
      </w:r>
    </w:p>
    <w:p w14:paraId="58FDD5C4" w14:textId="77777777" w:rsidR="00EB584B" w:rsidRDefault="00EB584B" w:rsidP="00EB584B">
      <w:pPr>
        <w:pStyle w:val="Paragraphedeliste"/>
      </w:pPr>
    </w:p>
    <w:p w14:paraId="1CFE98C5" w14:textId="40167E3B" w:rsidR="002E7D29" w:rsidRDefault="002E7D29" w:rsidP="00B94C00">
      <w:pPr>
        <w:pStyle w:val="Paragraphedeliste"/>
        <w:numPr>
          <w:ilvl w:val="0"/>
          <w:numId w:val="12"/>
        </w:numPr>
        <w:jc w:val="both"/>
      </w:pPr>
      <w:proofErr w:type="gramStart"/>
      <w:r w:rsidRPr="00B94C00">
        <w:t>concevoir</w:t>
      </w:r>
      <w:proofErr w:type="gramEnd"/>
      <w:r w:rsidRPr="00B94C00">
        <w:t xml:space="preserve"> et mettre en œuvre un programme de recadrage </w:t>
      </w:r>
      <w:r w:rsidR="00F26A92">
        <w:t xml:space="preserve"> </w:t>
      </w:r>
      <w:r w:rsidRPr="00B94C00">
        <w:t xml:space="preserve"> cursus de formation et de renforcement de capacité de l’offre de formation professionnelle pour les métiers des mines ;</w:t>
      </w:r>
    </w:p>
    <w:p w14:paraId="6E378BDD" w14:textId="77777777" w:rsidR="00EB584B" w:rsidRDefault="00EB584B" w:rsidP="00EB584B">
      <w:pPr>
        <w:pStyle w:val="Paragraphedeliste"/>
      </w:pPr>
    </w:p>
    <w:p w14:paraId="63FD965E" w14:textId="77777777" w:rsidR="002E7D29" w:rsidRDefault="002E7D29" w:rsidP="00B94C00">
      <w:pPr>
        <w:pStyle w:val="Paragraphedeliste"/>
        <w:numPr>
          <w:ilvl w:val="0"/>
          <w:numId w:val="12"/>
        </w:numPr>
        <w:jc w:val="both"/>
      </w:pPr>
      <w:proofErr w:type="gramStart"/>
      <w:r w:rsidRPr="00B94C00">
        <w:t>mettre</w:t>
      </w:r>
      <w:proofErr w:type="gramEnd"/>
      <w:r w:rsidRPr="00B94C00">
        <w:t xml:space="preserve"> en œuvre un mécanisme de formation en alternance (école, entreprise) dans le domaine des mines ;</w:t>
      </w:r>
    </w:p>
    <w:p w14:paraId="127E825F" w14:textId="77777777" w:rsidR="00EB584B" w:rsidRDefault="00EB584B" w:rsidP="00EB584B">
      <w:pPr>
        <w:pStyle w:val="Paragraphedeliste"/>
      </w:pPr>
    </w:p>
    <w:p w14:paraId="1A5C3168" w14:textId="77777777" w:rsidR="002E7D29" w:rsidRPr="00B94C00" w:rsidRDefault="002E7D29" w:rsidP="00B94C00">
      <w:pPr>
        <w:pStyle w:val="Paragraphedeliste"/>
        <w:numPr>
          <w:ilvl w:val="0"/>
          <w:numId w:val="12"/>
        </w:numPr>
        <w:jc w:val="both"/>
      </w:pPr>
      <w:proofErr w:type="gramStart"/>
      <w:r w:rsidRPr="00B94C00">
        <w:t>rendre</w:t>
      </w:r>
      <w:proofErr w:type="gramEnd"/>
      <w:r w:rsidRPr="00B94C00">
        <w:t xml:space="preserve"> opérationnel un programme de formation continue dans les métiers des mines.</w:t>
      </w:r>
    </w:p>
    <w:p w14:paraId="5DE033C7" w14:textId="77777777" w:rsidR="002E7D29" w:rsidRPr="00B94C00" w:rsidRDefault="002E7D29" w:rsidP="00B94C00">
      <w:pPr>
        <w:jc w:val="both"/>
      </w:pPr>
    </w:p>
    <w:p w14:paraId="7D2F40B1" w14:textId="77777777" w:rsidR="002E7D29" w:rsidRDefault="00C55DDD" w:rsidP="00B94C00">
      <w:pPr>
        <w:jc w:val="both"/>
      </w:pPr>
      <w:bookmarkStart w:id="14" w:name="_Hlk67558384"/>
      <w:r w:rsidRPr="00B94C00">
        <w:rPr>
          <w:b/>
          <w:u w:val="single"/>
        </w:rPr>
        <w:t>Axe stratégique</w:t>
      </w:r>
      <w:r w:rsidR="002E7D29" w:rsidRPr="00B94C00">
        <w:rPr>
          <w:b/>
          <w:u w:val="single"/>
        </w:rPr>
        <w:t xml:space="preserve"> 6</w:t>
      </w:r>
      <w:r w:rsidR="002E7D29" w:rsidRPr="00B94C00">
        <w:rPr>
          <w:u w:val="single"/>
        </w:rPr>
        <w:t> </w:t>
      </w:r>
      <w:r w:rsidR="002E7D29" w:rsidRPr="00B94C00">
        <w:t>:</w:t>
      </w:r>
      <w:r w:rsidRPr="00B94C00">
        <w:rPr>
          <w:bCs/>
        </w:rPr>
        <w:t xml:space="preserve"> le</w:t>
      </w:r>
      <w:r w:rsidRPr="00B94C00">
        <w:t xml:space="preserve"> développement des synergies entre le secteur minier et le reste de l’économie</w:t>
      </w:r>
      <w:r w:rsidR="002E7D29" w:rsidRPr="00B94C00">
        <w:t>.</w:t>
      </w:r>
      <w:bookmarkEnd w:id="14"/>
      <w:r w:rsidR="002E7D29" w:rsidRPr="00B94C00">
        <w:t xml:space="preserve"> Il s’agit de :</w:t>
      </w:r>
    </w:p>
    <w:p w14:paraId="18D1B99E" w14:textId="77777777" w:rsidR="00287474" w:rsidRPr="00B94C00" w:rsidRDefault="00287474" w:rsidP="00B94C00">
      <w:pPr>
        <w:jc w:val="both"/>
      </w:pPr>
    </w:p>
    <w:p w14:paraId="40CAAADB" w14:textId="77777777" w:rsidR="002E7D29" w:rsidRDefault="002E7D29" w:rsidP="00B94C00">
      <w:pPr>
        <w:pStyle w:val="Paragraphedeliste"/>
        <w:numPr>
          <w:ilvl w:val="0"/>
          <w:numId w:val="13"/>
        </w:numPr>
        <w:jc w:val="both"/>
      </w:pPr>
      <w:bookmarkStart w:id="15" w:name="_Hlk67558425"/>
      <w:proofErr w:type="gramStart"/>
      <w:r w:rsidRPr="00B94C00">
        <w:t>mettre</w:t>
      </w:r>
      <w:proofErr w:type="gramEnd"/>
      <w:r w:rsidRPr="00B94C00">
        <w:t xml:space="preserve"> en œuvre des dispositions réglementaires et politiques ainsi que des standards et normes en vue de promouvoir un secteur artisanal et de petite mine viable et durable ;  </w:t>
      </w:r>
    </w:p>
    <w:p w14:paraId="3A095FD6" w14:textId="77777777" w:rsidR="00287474" w:rsidRPr="00B94C00" w:rsidRDefault="00287474" w:rsidP="00287474">
      <w:pPr>
        <w:jc w:val="both"/>
      </w:pPr>
    </w:p>
    <w:p w14:paraId="14AE6B23" w14:textId="77777777" w:rsidR="002E7D29" w:rsidRDefault="002E7D29" w:rsidP="00B94C00">
      <w:pPr>
        <w:pStyle w:val="Paragraphedeliste"/>
        <w:numPr>
          <w:ilvl w:val="0"/>
          <w:numId w:val="13"/>
        </w:numPr>
        <w:jc w:val="both"/>
      </w:pPr>
      <w:proofErr w:type="gramStart"/>
      <w:r w:rsidRPr="00B94C00">
        <w:t>développer</w:t>
      </w:r>
      <w:proofErr w:type="gramEnd"/>
      <w:r w:rsidRPr="00B94C00">
        <w:t xml:space="preserve"> des programmes de renforcement des capacités (humaines, techniques, technologiques)  en faveur du secteur de minier artisanal et de la petite mine incluant : la fourniture de produits et services locaux au secteur, le développement de la sous-traitance avec les grands opérateurs, l’accès aux marchés et aux financements, l’amélioration de la santé, la sécurité, le respect de l’environnement et du genre) ;</w:t>
      </w:r>
    </w:p>
    <w:p w14:paraId="0250E1C1" w14:textId="77777777" w:rsidR="001638CD" w:rsidRDefault="001638CD" w:rsidP="001638CD">
      <w:pPr>
        <w:pStyle w:val="Paragraphedeliste"/>
      </w:pPr>
    </w:p>
    <w:p w14:paraId="73F159E4" w14:textId="77777777" w:rsidR="002E7D29" w:rsidRDefault="002E7D29" w:rsidP="00B94C00">
      <w:pPr>
        <w:pStyle w:val="Paragraphedeliste"/>
        <w:numPr>
          <w:ilvl w:val="0"/>
          <w:numId w:val="13"/>
        </w:numPr>
        <w:jc w:val="both"/>
      </w:pPr>
      <w:proofErr w:type="gramStart"/>
      <w:r w:rsidRPr="00B94C00">
        <w:t>promouvoir</w:t>
      </w:r>
      <w:proofErr w:type="gramEnd"/>
      <w:r w:rsidRPr="00B94C00">
        <w:t xml:space="preserve"> et soutenir en collaboration avec le BSTP, la sous-traitance et les prestations de services auprès des grandes entreprises minières et des promoteurs nationaux, dans les domaines identifiés comme porteurs dans le secteur minier et pétrolier ;</w:t>
      </w:r>
    </w:p>
    <w:p w14:paraId="0D126330" w14:textId="77777777" w:rsidR="001638CD" w:rsidRDefault="001638CD" w:rsidP="001638CD">
      <w:pPr>
        <w:pStyle w:val="Paragraphedeliste"/>
      </w:pPr>
    </w:p>
    <w:p w14:paraId="1573ED73" w14:textId="77777777" w:rsidR="002E7D29" w:rsidRPr="00B94C00" w:rsidRDefault="002E7D29" w:rsidP="00B94C00">
      <w:pPr>
        <w:pStyle w:val="Paragraphedeliste"/>
        <w:numPr>
          <w:ilvl w:val="0"/>
          <w:numId w:val="13"/>
        </w:numPr>
        <w:jc w:val="both"/>
      </w:pPr>
      <w:proofErr w:type="gramStart"/>
      <w:r w:rsidRPr="00B94C00">
        <w:t>améliorer</w:t>
      </w:r>
      <w:proofErr w:type="gramEnd"/>
      <w:r w:rsidRPr="00B94C00">
        <w:t xml:space="preserve"> la structuration et la préparation des activités d’après mine et les traduire en activités économiques pérennes</w:t>
      </w:r>
      <w:bookmarkEnd w:id="15"/>
      <w:r w:rsidRPr="00B94C00">
        <w:t>.</w:t>
      </w:r>
    </w:p>
    <w:p w14:paraId="1B69136C" w14:textId="77777777" w:rsidR="001638CD" w:rsidRDefault="001638CD" w:rsidP="00B94C00">
      <w:pPr>
        <w:jc w:val="both"/>
        <w:rPr>
          <w:b/>
          <w:u w:val="single"/>
        </w:rPr>
      </w:pPr>
    </w:p>
    <w:p w14:paraId="291AC404" w14:textId="77777777" w:rsidR="002E7D29" w:rsidRPr="00B94C00" w:rsidRDefault="00C55DDD" w:rsidP="00B94C00">
      <w:pPr>
        <w:jc w:val="both"/>
        <w:rPr>
          <w:b/>
        </w:rPr>
      </w:pPr>
      <w:r w:rsidRPr="00B94C00">
        <w:rPr>
          <w:b/>
          <w:u w:val="single"/>
        </w:rPr>
        <w:t>Axe stratégique</w:t>
      </w:r>
      <w:r w:rsidR="002E7D29" w:rsidRPr="00B94C00">
        <w:rPr>
          <w:b/>
          <w:u w:val="single"/>
        </w:rPr>
        <w:t xml:space="preserve"> 7 </w:t>
      </w:r>
      <w:r w:rsidR="002E7D29" w:rsidRPr="00B94C00">
        <w:rPr>
          <w:b/>
        </w:rPr>
        <w:t>:</w:t>
      </w:r>
      <w:r w:rsidRPr="00B94C00">
        <w:t xml:space="preserve"> la création de conditions idoines permettant aux populations riveraines de percevoir le secteur minier comme un moyen d’amélioration de leurs conditions de vie</w:t>
      </w:r>
      <w:r w:rsidR="002E7D29" w:rsidRPr="00B94C00">
        <w:rPr>
          <w:b/>
        </w:rPr>
        <w:t>. Il s’agit de :</w:t>
      </w:r>
    </w:p>
    <w:p w14:paraId="02DEA69F" w14:textId="77777777" w:rsidR="002E7D29" w:rsidRDefault="002E7D29" w:rsidP="00B94C00">
      <w:pPr>
        <w:pStyle w:val="Paragraphedeliste"/>
        <w:numPr>
          <w:ilvl w:val="0"/>
          <w:numId w:val="14"/>
        </w:numPr>
        <w:jc w:val="both"/>
      </w:pPr>
      <w:proofErr w:type="gramStart"/>
      <w:r w:rsidRPr="00B94C00">
        <w:t>faire</w:t>
      </w:r>
      <w:proofErr w:type="gramEnd"/>
      <w:r w:rsidRPr="00B94C00">
        <w:t xml:space="preserve"> des PDSEC les seuls cadres de développement socioéconomique des collectivités territoriales et ces dernières les seuls maîtres d’ouvrage ;</w:t>
      </w:r>
    </w:p>
    <w:p w14:paraId="32AADB15" w14:textId="77777777" w:rsidR="00C37163" w:rsidRPr="00B94C00" w:rsidRDefault="00C37163" w:rsidP="00C37163">
      <w:pPr>
        <w:jc w:val="both"/>
      </w:pPr>
    </w:p>
    <w:p w14:paraId="5FA38CBF" w14:textId="77777777" w:rsidR="002E7D29" w:rsidRDefault="002E7D29" w:rsidP="00B94C00">
      <w:pPr>
        <w:pStyle w:val="Paragraphedeliste"/>
        <w:numPr>
          <w:ilvl w:val="0"/>
          <w:numId w:val="14"/>
        </w:numPr>
        <w:jc w:val="both"/>
      </w:pPr>
      <w:proofErr w:type="gramStart"/>
      <w:r w:rsidRPr="00B94C00">
        <w:t>insérer</w:t>
      </w:r>
      <w:proofErr w:type="gramEnd"/>
      <w:r w:rsidRPr="00B94C00">
        <w:t xml:space="preserve"> la conception et la mise en œuvre de tous les projets financés par les contributions volontaires et programmes RSE des compagnies minières dans le cadre des PDSEC ;</w:t>
      </w:r>
    </w:p>
    <w:p w14:paraId="205B5D3F" w14:textId="77777777" w:rsidR="00C37163" w:rsidRDefault="00C37163" w:rsidP="00C37163">
      <w:pPr>
        <w:pStyle w:val="Paragraphedeliste"/>
      </w:pPr>
    </w:p>
    <w:p w14:paraId="6C14F5E7" w14:textId="77777777" w:rsidR="002E7D29" w:rsidRDefault="002E7D29" w:rsidP="00B94C00">
      <w:pPr>
        <w:pStyle w:val="Paragraphedeliste"/>
        <w:numPr>
          <w:ilvl w:val="0"/>
          <w:numId w:val="14"/>
        </w:numPr>
        <w:jc w:val="both"/>
      </w:pPr>
      <w:proofErr w:type="gramStart"/>
      <w:r w:rsidRPr="00B94C00">
        <w:lastRenderedPageBreak/>
        <w:t>donner</w:t>
      </w:r>
      <w:proofErr w:type="gramEnd"/>
      <w:r w:rsidRPr="00B94C00">
        <w:t xml:space="preserve"> un droit de regard aux collectivités locales sur la gestion environnementale des activités minières, avec des cahiers des charges très précis et des moyens de contrôle mis à leur disposition ;</w:t>
      </w:r>
    </w:p>
    <w:p w14:paraId="7B2A8BB6" w14:textId="77777777" w:rsidR="00C37163" w:rsidRDefault="00C37163" w:rsidP="00C37163">
      <w:pPr>
        <w:pStyle w:val="Paragraphedeliste"/>
      </w:pPr>
    </w:p>
    <w:p w14:paraId="2A3EBB6E" w14:textId="77777777" w:rsidR="002E7D29" w:rsidRDefault="002E7D29" w:rsidP="00B94C00">
      <w:pPr>
        <w:pStyle w:val="Paragraphedeliste"/>
        <w:numPr>
          <w:ilvl w:val="0"/>
          <w:numId w:val="14"/>
        </w:numPr>
        <w:ind w:right="72"/>
        <w:jc w:val="both"/>
        <w:textAlignment w:val="baseline"/>
        <w:rPr>
          <w:rFonts w:eastAsia="Tahoma"/>
        </w:rPr>
      </w:pPr>
      <w:proofErr w:type="gramStart"/>
      <w:r w:rsidRPr="00B94C00">
        <w:rPr>
          <w:rFonts w:eastAsia="Tahoma"/>
        </w:rPr>
        <w:t>renforcer</w:t>
      </w:r>
      <w:proofErr w:type="gramEnd"/>
      <w:r w:rsidRPr="00B94C00">
        <w:rPr>
          <w:rFonts w:eastAsia="Tahoma"/>
        </w:rPr>
        <w:t xml:space="preserve"> les capacités de planification, de mise en œuvre, de suivi et de contrôle des populations riveraines à travers leurs structures représentatives, de manière à leur permettre d’exercer un contrôle citoyen efficace sur la gestion minière dans leurs localités ;</w:t>
      </w:r>
    </w:p>
    <w:p w14:paraId="43A93D9B" w14:textId="77777777" w:rsidR="00C37163" w:rsidRPr="00C37163" w:rsidRDefault="00C37163" w:rsidP="00C37163">
      <w:pPr>
        <w:pStyle w:val="Paragraphedeliste"/>
        <w:rPr>
          <w:rFonts w:eastAsia="Tahoma"/>
        </w:rPr>
      </w:pPr>
    </w:p>
    <w:p w14:paraId="4EAD4A8F" w14:textId="77777777" w:rsidR="00295AF2" w:rsidRDefault="002E7D29" w:rsidP="00B94C00">
      <w:pPr>
        <w:pStyle w:val="Paragraphedeliste"/>
        <w:numPr>
          <w:ilvl w:val="0"/>
          <w:numId w:val="14"/>
        </w:numPr>
        <w:jc w:val="both"/>
      </w:pPr>
      <w:proofErr w:type="gramStart"/>
      <w:r w:rsidRPr="00B94C00">
        <w:t>formaliser</w:t>
      </w:r>
      <w:proofErr w:type="gramEnd"/>
      <w:r w:rsidRPr="00B94C00">
        <w:t xml:space="preserve"> les engagements ou les mécanismes permettant d'assurer la prise en charge des conséquences humaines et environnementales des exploitations minières soit sous forme de garanties, de fonds ou de provisions, depuis les phases d’autorisation et de mise en œuvre de toutes exploitations mi</w:t>
      </w:r>
      <w:r w:rsidR="00295AF2" w:rsidRPr="00B94C00">
        <w:t>nières, quelles qu’elles soient ;</w:t>
      </w:r>
    </w:p>
    <w:p w14:paraId="69123553" w14:textId="77777777" w:rsidR="00C37163" w:rsidRDefault="00C37163" w:rsidP="00C37163">
      <w:pPr>
        <w:pStyle w:val="Paragraphedeliste"/>
      </w:pPr>
    </w:p>
    <w:p w14:paraId="7A94A823" w14:textId="77777777" w:rsidR="00BC45FD" w:rsidRDefault="00295AF2" w:rsidP="00B94C00">
      <w:pPr>
        <w:pStyle w:val="Paragraphedeliste"/>
        <w:numPr>
          <w:ilvl w:val="0"/>
          <w:numId w:val="14"/>
        </w:numPr>
        <w:jc w:val="both"/>
      </w:pPr>
      <w:proofErr w:type="gramStart"/>
      <w:r w:rsidRPr="00B94C00">
        <w:t>mettre</w:t>
      </w:r>
      <w:proofErr w:type="gramEnd"/>
      <w:r w:rsidRPr="00B94C00">
        <w:t xml:space="preserve"> en œuvre une stratégie d’évaluation des risques sanitaires liés aux activités minières et pétrolières pour les travailleurs, leurs familles</w:t>
      </w:r>
      <w:r w:rsidR="00732560" w:rsidRPr="00B94C00">
        <w:t xml:space="preserve"> et les populations riveraines ;</w:t>
      </w:r>
    </w:p>
    <w:p w14:paraId="340331A3" w14:textId="77777777" w:rsidR="00C37163" w:rsidRDefault="00C37163" w:rsidP="00C37163">
      <w:pPr>
        <w:pStyle w:val="Paragraphedeliste"/>
      </w:pPr>
    </w:p>
    <w:p w14:paraId="79941BD8" w14:textId="77777777" w:rsidR="00732560" w:rsidRPr="00B94C00" w:rsidRDefault="00732560" w:rsidP="00B94C00">
      <w:pPr>
        <w:pStyle w:val="Paragraphedeliste"/>
        <w:numPr>
          <w:ilvl w:val="0"/>
          <w:numId w:val="14"/>
        </w:numPr>
        <w:jc w:val="both"/>
      </w:pPr>
      <w:proofErr w:type="gramStart"/>
      <w:r w:rsidRPr="00B94C00">
        <w:t>assurer</w:t>
      </w:r>
      <w:proofErr w:type="gramEnd"/>
      <w:r w:rsidRPr="00B94C00">
        <w:t xml:space="preserve"> la sécurisation des sites d’exploitation minière et pétrolière </w:t>
      </w:r>
    </w:p>
    <w:p w14:paraId="41FD214F" w14:textId="77777777" w:rsidR="002E7D29" w:rsidRPr="00B94C00" w:rsidRDefault="002E7D29" w:rsidP="00B94C00">
      <w:pPr>
        <w:pStyle w:val="Paragraphedeliste"/>
        <w:jc w:val="both"/>
      </w:pPr>
    </w:p>
    <w:p w14:paraId="26F3A6A6" w14:textId="77777777" w:rsidR="002E7D29" w:rsidRPr="00B94C00" w:rsidRDefault="00E63552" w:rsidP="00B94C00">
      <w:pPr>
        <w:pStyle w:val="Titre1"/>
      </w:pPr>
      <w:bookmarkStart w:id="16" w:name="_Toc500920867"/>
      <w:r w:rsidRPr="00B94C00">
        <w:t>V</w:t>
      </w:r>
      <w:r w:rsidR="002E7D29" w:rsidRPr="00B94C00">
        <w:t xml:space="preserve">II. </w:t>
      </w:r>
      <w:r w:rsidR="002E7D29" w:rsidRPr="00B94C00">
        <w:rPr>
          <w:u w:val="single"/>
        </w:rPr>
        <w:t>MOYENS DE MISE EN OEUVRE</w:t>
      </w:r>
      <w:bookmarkEnd w:id="16"/>
    </w:p>
    <w:p w14:paraId="6C4CE4B3" w14:textId="77777777" w:rsidR="00C37163" w:rsidRDefault="00C37163" w:rsidP="00B94C00">
      <w:pPr>
        <w:jc w:val="both"/>
        <w:rPr>
          <w:bCs/>
        </w:rPr>
      </w:pPr>
    </w:p>
    <w:p w14:paraId="5CEEA248" w14:textId="77777777" w:rsidR="002E7D29" w:rsidRDefault="002E7D29" w:rsidP="00B94C00">
      <w:pPr>
        <w:jc w:val="both"/>
        <w:rPr>
          <w:bCs/>
        </w:rPr>
      </w:pPr>
      <w:r w:rsidRPr="00B94C00">
        <w:rPr>
          <w:bCs/>
        </w:rPr>
        <w:t>La mise en œuvre effective de la politique rel</w:t>
      </w:r>
      <w:r w:rsidR="00C55DDD" w:rsidRPr="00B94C00">
        <w:rPr>
          <w:bCs/>
        </w:rPr>
        <w:t>èvera, sous la coordination du m</w:t>
      </w:r>
      <w:r w:rsidRPr="00B94C00">
        <w:rPr>
          <w:bCs/>
        </w:rPr>
        <w:t xml:space="preserve">inistère en charge des mines, des différentes structures institutionnelles placées </w:t>
      </w:r>
      <w:r w:rsidR="00C55DDD" w:rsidRPr="00B94C00">
        <w:rPr>
          <w:bCs/>
        </w:rPr>
        <w:t>sous l’autorité du m</w:t>
      </w:r>
      <w:r w:rsidRPr="00B94C00">
        <w:rPr>
          <w:bCs/>
        </w:rPr>
        <w:t>inistre et impliquera différents départements ministériels en fonction de leurs domaines de compétence ainsi que différents maîtres d’œuvres étatiques ou non,</w:t>
      </w:r>
      <w:r w:rsidR="00BC45FD" w:rsidRPr="00B94C00">
        <w:rPr>
          <w:bCs/>
        </w:rPr>
        <w:t xml:space="preserve"> </w:t>
      </w:r>
      <w:r w:rsidRPr="00B94C00">
        <w:rPr>
          <w:bCs/>
        </w:rPr>
        <w:t>qui constituent des parties prenantes du secteur.</w:t>
      </w:r>
    </w:p>
    <w:p w14:paraId="49D49CB7" w14:textId="77777777" w:rsidR="00C37163" w:rsidRPr="00B94C00" w:rsidRDefault="00C37163" w:rsidP="00B94C00">
      <w:pPr>
        <w:jc w:val="both"/>
        <w:rPr>
          <w:bCs/>
        </w:rPr>
      </w:pPr>
    </w:p>
    <w:p w14:paraId="7C8CFC48" w14:textId="77777777" w:rsidR="002E7D29" w:rsidRPr="00B94C00" w:rsidRDefault="002E7D29" w:rsidP="00B94C00">
      <w:pPr>
        <w:pStyle w:val="Style15"/>
        <w:rPr>
          <w:b w:val="0"/>
          <w:color w:val="auto"/>
          <w:szCs w:val="24"/>
        </w:rPr>
      </w:pPr>
      <w:r w:rsidRPr="00B94C00">
        <w:rPr>
          <w:b w:val="0"/>
          <w:color w:val="auto"/>
          <w:szCs w:val="24"/>
        </w:rPr>
        <w:t xml:space="preserve">Elle nécessite des moyens matériels, financiers et organisationnels importants qu’il importe pour l’Etat d’assurer la mise en place et la dotation en ressources humaines et financières adéquates, étant entendu que les infrastructures nécessaires au développement </w:t>
      </w:r>
      <w:r w:rsidR="0046325A">
        <w:rPr>
          <w:b w:val="0"/>
          <w:color w:val="auto"/>
          <w:szCs w:val="24"/>
        </w:rPr>
        <w:t xml:space="preserve">des secteurs minier et </w:t>
      </w:r>
      <w:proofErr w:type="spellStart"/>
      <w:r w:rsidR="0046325A">
        <w:rPr>
          <w:b w:val="0"/>
          <w:color w:val="auto"/>
          <w:szCs w:val="24"/>
        </w:rPr>
        <w:t>pétrolier</w:t>
      </w:r>
      <w:r w:rsidRPr="00B94C00">
        <w:rPr>
          <w:b w:val="0"/>
          <w:color w:val="auto"/>
          <w:szCs w:val="24"/>
        </w:rPr>
        <w:t>vont</w:t>
      </w:r>
      <w:proofErr w:type="spellEnd"/>
      <w:r w:rsidRPr="00B94C00">
        <w:rPr>
          <w:b w:val="0"/>
          <w:color w:val="auto"/>
          <w:szCs w:val="24"/>
        </w:rPr>
        <w:t xml:space="preserve"> bien au-delà de la responsabili</w:t>
      </w:r>
      <w:r w:rsidR="00C55DDD" w:rsidRPr="00B94C00">
        <w:rPr>
          <w:b w:val="0"/>
          <w:color w:val="auto"/>
          <w:szCs w:val="24"/>
        </w:rPr>
        <w:t>té et des prérogatives du seul m</w:t>
      </w:r>
      <w:r w:rsidRPr="00B94C00">
        <w:rPr>
          <w:b w:val="0"/>
          <w:color w:val="auto"/>
          <w:szCs w:val="24"/>
        </w:rPr>
        <w:t xml:space="preserve">inistère en charge des mines. </w:t>
      </w:r>
    </w:p>
    <w:p w14:paraId="47B75443" w14:textId="77777777" w:rsidR="0080114A" w:rsidRPr="00B94C00" w:rsidRDefault="0080114A" w:rsidP="00B94C00">
      <w:pPr>
        <w:ind w:right="72"/>
        <w:jc w:val="both"/>
        <w:textAlignment w:val="baseline"/>
      </w:pPr>
      <w:r w:rsidRPr="00B94C00">
        <w:t>La Réforme institutionnelle du secteur minier est axée sur la redéfinition et le recentrage des missions des structures dans le but de les adapter à la nouvelle stratégie définie pour le secteur. Le Gouvernement met en place une institution appropriée et définit les attributions, les rôles, de chaque structure au sein de cette institution afin d'éviter les conflits de compétence. Les procédures et les normes qu'elles doivent appliquer pour accomplir leurs nouvelles missions sont également établies. A cet effet, il est prévu de faire un diagnostic clair des missions, de l'organisation et du fonctionnement de la DNGM, du PDRM et de l’ensemble des autres structures du département impliquées dans la gestion de la question minière. Le Gouvernement met à la disposition de ces structures les ressources humaines et les moyens financiers pour qu'elles puissent assumer pleinement les missions qui leur seront confiées.</w:t>
      </w:r>
    </w:p>
    <w:p w14:paraId="5F285CCA" w14:textId="77777777" w:rsidR="002E7D29" w:rsidRPr="00B94C00" w:rsidRDefault="002E7D29" w:rsidP="00B94C00">
      <w:pPr>
        <w:jc w:val="both"/>
        <w:rPr>
          <w:b/>
          <w:bCs/>
          <w:i/>
        </w:rPr>
      </w:pPr>
    </w:p>
    <w:p w14:paraId="2A7C920B" w14:textId="77777777" w:rsidR="002E7D29" w:rsidRPr="00B94C00" w:rsidRDefault="00E63552" w:rsidP="00B94C00">
      <w:pPr>
        <w:pStyle w:val="Titre1"/>
      </w:pPr>
      <w:bookmarkStart w:id="17" w:name="_Toc500920868"/>
      <w:r w:rsidRPr="00B94C00">
        <w:t>VIII</w:t>
      </w:r>
      <w:r w:rsidR="002E7D29" w:rsidRPr="00B94C00">
        <w:t xml:space="preserve">. </w:t>
      </w:r>
      <w:r w:rsidR="002E7D29" w:rsidRPr="00B94C00">
        <w:rPr>
          <w:u w:val="single"/>
        </w:rPr>
        <w:t>SUIVI-EVALUATION</w:t>
      </w:r>
      <w:bookmarkEnd w:id="17"/>
    </w:p>
    <w:p w14:paraId="07FB6F9D" w14:textId="77777777" w:rsidR="00C37163" w:rsidRDefault="00C37163" w:rsidP="00B94C00">
      <w:pPr>
        <w:autoSpaceDE w:val="0"/>
        <w:autoSpaceDN w:val="0"/>
        <w:adjustRightInd w:val="0"/>
        <w:jc w:val="both"/>
      </w:pPr>
    </w:p>
    <w:p w14:paraId="53F595AD" w14:textId="77777777" w:rsidR="003A4271" w:rsidRDefault="003A4271" w:rsidP="00B94C00">
      <w:pPr>
        <w:autoSpaceDE w:val="0"/>
        <w:autoSpaceDN w:val="0"/>
        <w:adjustRightInd w:val="0"/>
        <w:jc w:val="both"/>
      </w:pPr>
      <w:r w:rsidRPr="00B94C00">
        <w:t xml:space="preserve">Afin d’assurer le suivi-évaluation de la mise en œuvre de la politique, il sera procédé à la mise en place </w:t>
      </w:r>
      <w:r w:rsidR="00637B48" w:rsidRPr="00B94C00">
        <w:t>d’</w:t>
      </w:r>
      <w:r w:rsidRPr="00B94C00">
        <w:t>un comité de coordination et de suivi auprès du secrétariat général du ministère des mines.</w:t>
      </w:r>
    </w:p>
    <w:p w14:paraId="0F7BFE2B" w14:textId="77777777" w:rsidR="00C37163" w:rsidRPr="00B94C00" w:rsidRDefault="00C37163" w:rsidP="00B94C00">
      <w:pPr>
        <w:autoSpaceDE w:val="0"/>
        <w:autoSpaceDN w:val="0"/>
        <w:adjustRightInd w:val="0"/>
        <w:jc w:val="both"/>
      </w:pPr>
    </w:p>
    <w:p w14:paraId="22D275D0" w14:textId="77777777" w:rsidR="003A4271" w:rsidRDefault="003A4271" w:rsidP="00B94C00">
      <w:pPr>
        <w:autoSpaceDE w:val="0"/>
        <w:autoSpaceDN w:val="0"/>
        <w:adjustRightInd w:val="0"/>
        <w:jc w:val="both"/>
      </w:pPr>
      <w:r w:rsidRPr="00B94C00">
        <w:t xml:space="preserve">Ce comité se réunira pour évaluer l’état de mise en œuvre de la politique. Le secrétariat sera assuré par la Cellule de planification et de statistique du secteur. La revue annuelle sectorielle constituera l’outil de collecte d’informations pour le suivi.  </w:t>
      </w:r>
    </w:p>
    <w:p w14:paraId="7EFE7D42" w14:textId="77777777" w:rsidR="00C37163" w:rsidRPr="00B94C00" w:rsidRDefault="00C37163" w:rsidP="00B94C00">
      <w:pPr>
        <w:autoSpaceDE w:val="0"/>
        <w:autoSpaceDN w:val="0"/>
        <w:adjustRightInd w:val="0"/>
        <w:jc w:val="both"/>
      </w:pPr>
    </w:p>
    <w:p w14:paraId="04183EDF" w14:textId="77777777" w:rsidR="002E7D29" w:rsidRDefault="002E7D29" w:rsidP="00B94C00">
      <w:pPr>
        <w:autoSpaceDE w:val="0"/>
        <w:autoSpaceDN w:val="0"/>
        <w:adjustRightInd w:val="0"/>
        <w:jc w:val="both"/>
      </w:pPr>
      <w:r w:rsidRPr="00B94C00">
        <w:t>Pour permettre le suivi des progrès réalisés dans l'accomplissement des objectifs de la politique de développement du secteur minier</w:t>
      </w:r>
      <w:r w:rsidR="00C55DDD" w:rsidRPr="00B94C00">
        <w:t xml:space="preserve"> et pétrolier</w:t>
      </w:r>
      <w:r w:rsidRPr="00B94C00">
        <w:t>, dans l’optique de l’atteinte des résultats intermédiaires et dans la réalisation des activités de la politique, le plan de suivi-évaluation sera structuré en trois (3) niveaux :</w:t>
      </w:r>
    </w:p>
    <w:p w14:paraId="3130A816" w14:textId="77777777" w:rsidR="00C37163" w:rsidRPr="00B94C00" w:rsidRDefault="00C37163" w:rsidP="00B94C00">
      <w:pPr>
        <w:autoSpaceDE w:val="0"/>
        <w:autoSpaceDN w:val="0"/>
        <w:adjustRightInd w:val="0"/>
        <w:jc w:val="both"/>
      </w:pPr>
    </w:p>
    <w:p w14:paraId="32AD1AE0" w14:textId="77777777" w:rsidR="002E7D29" w:rsidRPr="00B94C00" w:rsidRDefault="002E7D29" w:rsidP="00C453DC">
      <w:pPr>
        <w:pStyle w:val="Paragraphedeliste"/>
        <w:numPr>
          <w:ilvl w:val="0"/>
          <w:numId w:val="17"/>
        </w:numPr>
        <w:autoSpaceDE w:val="0"/>
        <w:autoSpaceDN w:val="0"/>
        <w:adjustRightInd w:val="0"/>
        <w:spacing w:line="360" w:lineRule="auto"/>
        <w:jc w:val="both"/>
      </w:pPr>
      <w:proofErr w:type="gramStart"/>
      <w:r w:rsidRPr="00B94C00">
        <w:t>le</w:t>
      </w:r>
      <w:proofErr w:type="gramEnd"/>
      <w:r w:rsidRPr="00B94C00">
        <w:t xml:space="preserve"> niveau du suivi de </w:t>
      </w:r>
      <w:r w:rsidR="0046658D" w:rsidRPr="00B94C00">
        <w:t>l’atteinte des objectifs et but</w:t>
      </w:r>
      <w:r w:rsidRPr="00B94C00">
        <w:t xml:space="preserve"> ultime de la politique ;</w:t>
      </w:r>
    </w:p>
    <w:p w14:paraId="35ECD6C5" w14:textId="77777777" w:rsidR="002E7D29" w:rsidRPr="00B94C00" w:rsidRDefault="002E7D29" w:rsidP="00C453DC">
      <w:pPr>
        <w:pStyle w:val="Paragraphedeliste"/>
        <w:numPr>
          <w:ilvl w:val="0"/>
          <w:numId w:val="17"/>
        </w:numPr>
        <w:autoSpaceDE w:val="0"/>
        <w:autoSpaceDN w:val="0"/>
        <w:adjustRightInd w:val="0"/>
        <w:spacing w:line="360" w:lineRule="auto"/>
        <w:jc w:val="both"/>
      </w:pPr>
      <w:proofErr w:type="gramStart"/>
      <w:r w:rsidRPr="00B94C00">
        <w:t>le</w:t>
      </w:r>
      <w:proofErr w:type="gramEnd"/>
      <w:r w:rsidRPr="00B94C00">
        <w:t xml:space="preserve"> niveau du suivi de l’atteinte des objectifs intermédiaires de la politique ;</w:t>
      </w:r>
    </w:p>
    <w:p w14:paraId="59F823C6" w14:textId="77777777" w:rsidR="002E7D29" w:rsidRPr="00B94C00" w:rsidRDefault="002E7D29" w:rsidP="00C453DC">
      <w:pPr>
        <w:pStyle w:val="Paragraphedeliste"/>
        <w:numPr>
          <w:ilvl w:val="0"/>
          <w:numId w:val="17"/>
        </w:numPr>
        <w:autoSpaceDE w:val="0"/>
        <w:autoSpaceDN w:val="0"/>
        <w:adjustRightInd w:val="0"/>
        <w:spacing w:line="360" w:lineRule="auto"/>
        <w:jc w:val="both"/>
      </w:pPr>
      <w:proofErr w:type="gramStart"/>
      <w:r w:rsidRPr="00B94C00">
        <w:t>le</w:t>
      </w:r>
      <w:proofErr w:type="gramEnd"/>
      <w:r w:rsidRPr="00B94C00">
        <w:t xml:space="preserve"> niveau du suivi de la réalisation opérationnelle des activités de la politique.</w:t>
      </w:r>
    </w:p>
    <w:p w14:paraId="1F814576" w14:textId="77777777" w:rsidR="00C453DC" w:rsidRDefault="00C453DC" w:rsidP="00B94C00">
      <w:pPr>
        <w:autoSpaceDE w:val="0"/>
        <w:autoSpaceDN w:val="0"/>
        <w:adjustRightInd w:val="0"/>
        <w:jc w:val="both"/>
      </w:pPr>
    </w:p>
    <w:p w14:paraId="3D52943D" w14:textId="77777777" w:rsidR="002E7D29" w:rsidRDefault="002E7D29" w:rsidP="00B94C00">
      <w:pPr>
        <w:autoSpaceDE w:val="0"/>
        <w:autoSpaceDN w:val="0"/>
        <w:adjustRightInd w:val="0"/>
        <w:jc w:val="both"/>
      </w:pPr>
      <w:r w:rsidRPr="00B94C00">
        <w:t xml:space="preserve">Ainsi pour chaque niveau : </w:t>
      </w:r>
    </w:p>
    <w:p w14:paraId="240DAFDE" w14:textId="77777777" w:rsidR="00C453DC" w:rsidRPr="00B94C00" w:rsidRDefault="00C453DC" w:rsidP="00B94C00">
      <w:pPr>
        <w:autoSpaceDE w:val="0"/>
        <w:autoSpaceDN w:val="0"/>
        <w:adjustRightInd w:val="0"/>
        <w:jc w:val="both"/>
      </w:pPr>
    </w:p>
    <w:p w14:paraId="3C20AAF8" w14:textId="77777777" w:rsidR="002E7D29" w:rsidRPr="00B94C00" w:rsidRDefault="002E7D29" w:rsidP="00C453DC">
      <w:pPr>
        <w:pStyle w:val="Paragraphedeliste"/>
        <w:numPr>
          <w:ilvl w:val="0"/>
          <w:numId w:val="18"/>
        </w:numPr>
        <w:autoSpaceDE w:val="0"/>
        <w:autoSpaceDN w:val="0"/>
        <w:adjustRightInd w:val="0"/>
        <w:spacing w:line="360" w:lineRule="auto"/>
        <w:jc w:val="both"/>
      </w:pPr>
      <w:proofErr w:type="gramStart"/>
      <w:r w:rsidRPr="00B94C00">
        <w:t>les</w:t>
      </w:r>
      <w:proofErr w:type="gramEnd"/>
      <w:r w:rsidRPr="00B94C00">
        <w:t xml:space="preserve"> différents indicateurs retenus sont clairement définis ;</w:t>
      </w:r>
    </w:p>
    <w:p w14:paraId="4C4BC555" w14:textId="77777777" w:rsidR="002E7D29" w:rsidRPr="00B94C00" w:rsidRDefault="002E7D29" w:rsidP="00C453DC">
      <w:pPr>
        <w:pStyle w:val="Paragraphedeliste"/>
        <w:numPr>
          <w:ilvl w:val="0"/>
          <w:numId w:val="18"/>
        </w:numPr>
        <w:autoSpaceDE w:val="0"/>
        <w:autoSpaceDN w:val="0"/>
        <w:adjustRightInd w:val="0"/>
        <w:spacing w:line="360" w:lineRule="auto"/>
        <w:jc w:val="both"/>
      </w:pPr>
      <w:proofErr w:type="gramStart"/>
      <w:r w:rsidRPr="00B94C00">
        <w:t>les</w:t>
      </w:r>
      <w:proofErr w:type="gramEnd"/>
      <w:r w:rsidRPr="00B94C00">
        <w:t xml:space="preserve"> valeurs de référence (valeur des indicateurs au départ de la mise en œuvre du programme) </w:t>
      </w:r>
      <w:r w:rsidR="0046658D" w:rsidRPr="00B94C00">
        <w:t xml:space="preserve">sont établies </w:t>
      </w:r>
      <w:r w:rsidRPr="00B94C00">
        <w:t>;</w:t>
      </w:r>
    </w:p>
    <w:p w14:paraId="11DE3489" w14:textId="77777777" w:rsidR="002E7D29" w:rsidRPr="00B94C00" w:rsidRDefault="002E7D29" w:rsidP="00C453DC">
      <w:pPr>
        <w:pStyle w:val="Paragraphedeliste"/>
        <w:numPr>
          <w:ilvl w:val="0"/>
          <w:numId w:val="18"/>
        </w:numPr>
        <w:autoSpaceDE w:val="0"/>
        <w:autoSpaceDN w:val="0"/>
        <w:adjustRightInd w:val="0"/>
        <w:spacing w:line="360" w:lineRule="auto"/>
        <w:jc w:val="both"/>
      </w:pPr>
      <w:proofErr w:type="gramStart"/>
      <w:r w:rsidRPr="00B94C00">
        <w:t>l’évolution</w:t>
      </w:r>
      <w:proofErr w:type="gramEnd"/>
      <w:r w:rsidRPr="00B94C00">
        <w:t xml:space="preserve"> des valeurs cibles de chaque indicateur sur la période de mise en œuvre du programme </w:t>
      </w:r>
      <w:r w:rsidR="0046658D" w:rsidRPr="00B94C00">
        <w:t xml:space="preserve">est mesurée </w:t>
      </w:r>
      <w:r w:rsidRPr="00B94C00">
        <w:t>;</w:t>
      </w:r>
    </w:p>
    <w:p w14:paraId="425BD6BD" w14:textId="41E784CE" w:rsidR="009C33F9" w:rsidRDefault="002E7D29" w:rsidP="001731C1">
      <w:pPr>
        <w:pStyle w:val="Paragraphedeliste"/>
        <w:numPr>
          <w:ilvl w:val="0"/>
          <w:numId w:val="18"/>
        </w:numPr>
        <w:autoSpaceDE w:val="0"/>
        <w:autoSpaceDN w:val="0"/>
        <w:adjustRightInd w:val="0"/>
        <w:spacing w:line="360" w:lineRule="auto"/>
        <w:jc w:val="both"/>
      </w:pPr>
      <w:proofErr w:type="gramStart"/>
      <w:r w:rsidRPr="00B94C00">
        <w:t>les</w:t>
      </w:r>
      <w:proofErr w:type="gramEnd"/>
      <w:r w:rsidRPr="00B94C00">
        <w:t xml:space="preserve"> stratégies de collecte de l’information relative à ces indicateurs</w:t>
      </w:r>
      <w:r w:rsidR="0046658D" w:rsidRPr="00B94C00">
        <w:t xml:space="preserve"> sont mises en œuvre</w:t>
      </w:r>
      <w:r w:rsidRPr="00B94C00">
        <w:t>.</w:t>
      </w:r>
    </w:p>
    <w:p w14:paraId="28F4E84F" w14:textId="619872CA" w:rsidR="009C33F9" w:rsidRDefault="009C33F9" w:rsidP="009C33F9">
      <w:pPr>
        <w:autoSpaceDE w:val="0"/>
        <w:autoSpaceDN w:val="0"/>
        <w:adjustRightInd w:val="0"/>
        <w:spacing w:line="360" w:lineRule="auto"/>
        <w:jc w:val="both"/>
      </w:pPr>
    </w:p>
    <w:p w14:paraId="3078AA44" w14:textId="682D9B22" w:rsidR="00144951" w:rsidRDefault="00144951" w:rsidP="009C33F9">
      <w:pPr>
        <w:autoSpaceDE w:val="0"/>
        <w:autoSpaceDN w:val="0"/>
        <w:adjustRightInd w:val="0"/>
        <w:spacing w:line="360" w:lineRule="auto"/>
        <w:jc w:val="both"/>
      </w:pPr>
    </w:p>
    <w:p w14:paraId="68A101EC" w14:textId="77777777" w:rsidR="00144951" w:rsidRDefault="00144951" w:rsidP="009C33F9">
      <w:pPr>
        <w:autoSpaceDE w:val="0"/>
        <w:autoSpaceDN w:val="0"/>
        <w:adjustRightInd w:val="0"/>
        <w:spacing w:line="360" w:lineRule="auto"/>
        <w:jc w:val="both"/>
        <w:sectPr w:rsidR="00144951" w:rsidSect="0082789C">
          <w:footerReference w:type="default" r:id="rId8"/>
          <w:pgSz w:w="12240" w:h="15840"/>
          <w:pgMar w:top="1440" w:right="1440" w:bottom="1440" w:left="1440" w:header="720" w:footer="720" w:gutter="0"/>
          <w:pgNumType w:start="1"/>
          <w:cols w:space="720"/>
          <w:docGrid w:linePitch="360"/>
        </w:sectPr>
      </w:pPr>
    </w:p>
    <w:p w14:paraId="39E53626" w14:textId="77777777" w:rsidR="00144951" w:rsidRPr="00D450B8" w:rsidRDefault="00144951" w:rsidP="00144951">
      <w:pPr>
        <w:tabs>
          <w:tab w:val="left" w:pos="5928"/>
        </w:tabs>
        <w:jc w:val="center"/>
      </w:pPr>
    </w:p>
    <w:p w14:paraId="295B10B2" w14:textId="77777777" w:rsidR="00144951" w:rsidRPr="00D450B8" w:rsidRDefault="00144951" w:rsidP="00144951">
      <w:pPr>
        <w:tabs>
          <w:tab w:val="left" w:pos="5928"/>
        </w:tabs>
        <w:jc w:val="center"/>
      </w:pPr>
    </w:p>
    <w:p w14:paraId="259C3BAE" w14:textId="77777777" w:rsidR="00144951" w:rsidRPr="00D450B8" w:rsidRDefault="00144951" w:rsidP="00144951">
      <w:pPr>
        <w:tabs>
          <w:tab w:val="left" w:pos="5928"/>
        </w:tabs>
        <w:jc w:val="center"/>
      </w:pPr>
    </w:p>
    <w:p w14:paraId="75AA52D5" w14:textId="77777777" w:rsidR="00144951" w:rsidRPr="00D450B8" w:rsidRDefault="00144951" w:rsidP="00144951">
      <w:pPr>
        <w:tabs>
          <w:tab w:val="left" w:pos="5928"/>
        </w:tabs>
        <w:jc w:val="center"/>
      </w:pPr>
    </w:p>
    <w:p w14:paraId="2238A04E" w14:textId="77777777" w:rsidR="00144951" w:rsidRPr="00D450B8" w:rsidRDefault="00144951" w:rsidP="00144951">
      <w:pPr>
        <w:tabs>
          <w:tab w:val="left" w:pos="5928"/>
        </w:tabs>
        <w:jc w:val="center"/>
      </w:pPr>
    </w:p>
    <w:p w14:paraId="716A8B9A" w14:textId="77777777" w:rsidR="00144951" w:rsidRPr="00D450B8" w:rsidRDefault="00144951" w:rsidP="00144951">
      <w:pPr>
        <w:tabs>
          <w:tab w:val="left" w:pos="5928"/>
        </w:tabs>
        <w:jc w:val="center"/>
      </w:pPr>
    </w:p>
    <w:p w14:paraId="1F7A86C9" w14:textId="77777777" w:rsidR="00144951" w:rsidRPr="00D450B8" w:rsidRDefault="00144951" w:rsidP="00144951">
      <w:pPr>
        <w:tabs>
          <w:tab w:val="left" w:pos="5928"/>
        </w:tabs>
        <w:jc w:val="center"/>
      </w:pPr>
    </w:p>
    <w:p w14:paraId="3A919FF7" w14:textId="77777777" w:rsidR="00144951" w:rsidRPr="00D450B8" w:rsidRDefault="00144951" w:rsidP="00144951">
      <w:pPr>
        <w:tabs>
          <w:tab w:val="left" w:pos="5928"/>
        </w:tabs>
        <w:jc w:val="center"/>
      </w:pPr>
    </w:p>
    <w:p w14:paraId="7FB2A37D" w14:textId="77777777" w:rsidR="00144951" w:rsidRPr="00D450B8" w:rsidRDefault="00144951" w:rsidP="00144951">
      <w:pPr>
        <w:tabs>
          <w:tab w:val="left" w:pos="5928"/>
        </w:tabs>
        <w:jc w:val="center"/>
      </w:pPr>
    </w:p>
    <w:p w14:paraId="0336EDAC" w14:textId="77777777" w:rsidR="00144951" w:rsidRPr="00D450B8" w:rsidRDefault="00144951" w:rsidP="00144951">
      <w:pPr>
        <w:tabs>
          <w:tab w:val="left" w:pos="5928"/>
        </w:tabs>
        <w:jc w:val="center"/>
      </w:pPr>
    </w:p>
    <w:p w14:paraId="6D488B51" w14:textId="77777777" w:rsidR="00144951" w:rsidRPr="00D450B8" w:rsidRDefault="00144951" w:rsidP="00144951">
      <w:pPr>
        <w:tabs>
          <w:tab w:val="left" w:pos="5928"/>
        </w:tabs>
        <w:jc w:val="center"/>
      </w:pPr>
      <w:r w:rsidRPr="00D450B8">
        <w:t>PLAN D’ACTIONS DE LA POLITIQUE DE DEVELOPPEMENT DU SECTEUR MINIER ET PETROLIER</w:t>
      </w:r>
    </w:p>
    <w:p w14:paraId="1315863C" w14:textId="77777777" w:rsidR="00144951" w:rsidRPr="00D450B8" w:rsidRDefault="00144951" w:rsidP="00144951">
      <w:pPr>
        <w:tabs>
          <w:tab w:val="left" w:pos="5928"/>
        </w:tabs>
        <w:jc w:val="center"/>
      </w:pPr>
      <w:r w:rsidRPr="00D450B8">
        <w:t>201</w:t>
      </w:r>
      <w:r>
        <w:t>9</w:t>
      </w:r>
      <w:r w:rsidRPr="00D450B8">
        <w:t>-202</w:t>
      </w:r>
      <w:r>
        <w:t>3</w:t>
      </w:r>
    </w:p>
    <w:p w14:paraId="3BCB7441" w14:textId="77777777" w:rsidR="00144951" w:rsidRPr="00D450B8" w:rsidRDefault="00144951" w:rsidP="00144951">
      <w:pPr>
        <w:tabs>
          <w:tab w:val="left" w:pos="5928"/>
        </w:tabs>
        <w:jc w:val="center"/>
        <w:sectPr w:rsidR="00144951" w:rsidRPr="00D450B8" w:rsidSect="001731C1">
          <w:pgSz w:w="16838" w:h="11906" w:orient="landscape"/>
          <w:pgMar w:top="1417" w:right="1417" w:bottom="1417" w:left="1417" w:header="708" w:footer="708" w:gutter="0"/>
          <w:cols w:space="708"/>
          <w:docGrid w:linePitch="360"/>
        </w:sectPr>
      </w:pPr>
    </w:p>
    <w:p w14:paraId="0737ADE5" w14:textId="77777777" w:rsidR="00144951" w:rsidRPr="00D450B8" w:rsidRDefault="00144951" w:rsidP="00144951">
      <w:pPr>
        <w:jc w:val="center"/>
      </w:pPr>
    </w:p>
    <w:p w14:paraId="7E16DA38" w14:textId="77777777" w:rsidR="00144951" w:rsidRPr="00D450B8" w:rsidRDefault="00144951" w:rsidP="00144951">
      <w:pPr>
        <w:tabs>
          <w:tab w:val="left" w:pos="5928"/>
        </w:tabs>
        <w:jc w:val="center"/>
      </w:pPr>
      <w:r w:rsidRPr="00D450B8">
        <w:t>PLAN D’ACTIONS 201</w:t>
      </w:r>
      <w:r>
        <w:t>9</w:t>
      </w:r>
      <w:r w:rsidRPr="00D450B8">
        <w:t>-202</w:t>
      </w:r>
      <w:r>
        <w:t>3</w:t>
      </w:r>
      <w:r w:rsidRPr="00D450B8">
        <w:t xml:space="preserve"> DE LA POLITIQUE DE DEVELOPPEMENT DU SECTEUR MINIER ET PETROLIER</w:t>
      </w:r>
    </w:p>
    <w:tbl>
      <w:tblPr>
        <w:tblW w:w="1519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701"/>
        <w:gridCol w:w="1134"/>
        <w:gridCol w:w="1418"/>
        <w:gridCol w:w="1417"/>
        <w:gridCol w:w="993"/>
        <w:gridCol w:w="567"/>
        <w:gridCol w:w="567"/>
        <w:gridCol w:w="567"/>
        <w:gridCol w:w="425"/>
        <w:gridCol w:w="425"/>
        <w:gridCol w:w="1276"/>
        <w:gridCol w:w="709"/>
        <w:gridCol w:w="1275"/>
        <w:gridCol w:w="1134"/>
      </w:tblGrid>
      <w:tr w:rsidR="00144951" w:rsidRPr="00094628" w14:paraId="6B5AE3C3" w14:textId="77777777" w:rsidTr="00144951">
        <w:trPr>
          <w:tblHeader/>
        </w:trPr>
        <w:tc>
          <w:tcPr>
            <w:tcW w:w="1588" w:type="dxa"/>
            <w:vMerge w:val="restart"/>
            <w:shd w:val="clear" w:color="auto" w:fill="auto"/>
          </w:tcPr>
          <w:p w14:paraId="4DBE80BE" w14:textId="77777777" w:rsidR="00144951" w:rsidRPr="00094628" w:rsidRDefault="00144951" w:rsidP="001731C1">
            <w:pPr>
              <w:jc w:val="center"/>
              <w:rPr>
                <w:rFonts w:ascii="Garamond" w:hAnsi="Garamond"/>
              </w:rPr>
            </w:pPr>
            <w:r w:rsidRPr="00094628">
              <w:rPr>
                <w:rFonts w:ascii="Garamond" w:hAnsi="Garamond"/>
              </w:rPr>
              <w:t>Objectifs spécifiques</w:t>
            </w:r>
          </w:p>
        </w:tc>
        <w:tc>
          <w:tcPr>
            <w:tcW w:w="1701" w:type="dxa"/>
            <w:vMerge w:val="restart"/>
            <w:shd w:val="clear" w:color="auto" w:fill="auto"/>
            <w:vAlign w:val="center"/>
          </w:tcPr>
          <w:p w14:paraId="205DD02B" w14:textId="77777777" w:rsidR="00144951" w:rsidRPr="00094628" w:rsidRDefault="00144951" w:rsidP="001731C1">
            <w:pPr>
              <w:rPr>
                <w:rFonts w:ascii="Garamond" w:hAnsi="Garamond"/>
              </w:rPr>
            </w:pPr>
            <w:r w:rsidRPr="00094628">
              <w:rPr>
                <w:rFonts w:ascii="Garamond" w:hAnsi="Garamond"/>
              </w:rPr>
              <w:t>Axes Stratégiques</w:t>
            </w:r>
          </w:p>
          <w:p w14:paraId="4A07BE9D" w14:textId="77777777" w:rsidR="00144951" w:rsidRPr="00094628" w:rsidRDefault="00144951" w:rsidP="001731C1">
            <w:pPr>
              <w:rPr>
                <w:rFonts w:ascii="Garamond" w:hAnsi="Garamond"/>
              </w:rPr>
            </w:pPr>
          </w:p>
        </w:tc>
        <w:tc>
          <w:tcPr>
            <w:tcW w:w="1134" w:type="dxa"/>
            <w:vMerge w:val="restart"/>
          </w:tcPr>
          <w:p w14:paraId="26286155" w14:textId="77777777" w:rsidR="00144951" w:rsidRPr="00094628" w:rsidRDefault="00144951" w:rsidP="001731C1">
            <w:pPr>
              <w:rPr>
                <w:rFonts w:ascii="Garamond" w:hAnsi="Garamond"/>
              </w:rPr>
            </w:pPr>
            <w:r w:rsidRPr="00094628">
              <w:rPr>
                <w:rFonts w:ascii="Garamond" w:hAnsi="Garamond"/>
              </w:rPr>
              <w:t>Résultats attendus</w:t>
            </w:r>
          </w:p>
        </w:tc>
        <w:tc>
          <w:tcPr>
            <w:tcW w:w="1418" w:type="dxa"/>
            <w:vMerge w:val="restart"/>
            <w:shd w:val="clear" w:color="auto" w:fill="auto"/>
            <w:vAlign w:val="center"/>
          </w:tcPr>
          <w:p w14:paraId="762ABA9D" w14:textId="77777777" w:rsidR="00144951" w:rsidRPr="00094628" w:rsidRDefault="00144951" w:rsidP="001731C1">
            <w:pPr>
              <w:rPr>
                <w:rFonts w:ascii="Garamond" w:hAnsi="Garamond"/>
              </w:rPr>
            </w:pPr>
            <w:r w:rsidRPr="00094628">
              <w:rPr>
                <w:rFonts w:ascii="Garamond" w:hAnsi="Garamond"/>
              </w:rPr>
              <w:t>Actions envisagées</w:t>
            </w:r>
          </w:p>
        </w:tc>
        <w:tc>
          <w:tcPr>
            <w:tcW w:w="1417" w:type="dxa"/>
            <w:vMerge w:val="restart"/>
            <w:shd w:val="clear" w:color="auto" w:fill="auto"/>
            <w:vAlign w:val="center"/>
          </w:tcPr>
          <w:p w14:paraId="604616D7" w14:textId="77777777" w:rsidR="00144951" w:rsidRPr="00094628" w:rsidRDefault="00144951" w:rsidP="001731C1">
            <w:pPr>
              <w:rPr>
                <w:rFonts w:ascii="Garamond" w:hAnsi="Garamond"/>
              </w:rPr>
            </w:pPr>
            <w:r w:rsidRPr="00094628">
              <w:rPr>
                <w:rFonts w:ascii="Garamond" w:hAnsi="Garamond"/>
              </w:rPr>
              <w:t>Indicateurs objectivement vérifiable</w:t>
            </w:r>
          </w:p>
        </w:tc>
        <w:tc>
          <w:tcPr>
            <w:tcW w:w="993" w:type="dxa"/>
            <w:vMerge w:val="restart"/>
            <w:shd w:val="clear" w:color="auto" w:fill="auto"/>
          </w:tcPr>
          <w:p w14:paraId="7BE70F0B" w14:textId="77777777" w:rsidR="00144951" w:rsidRPr="00094628" w:rsidRDefault="00144951" w:rsidP="001731C1">
            <w:pPr>
              <w:rPr>
                <w:rFonts w:ascii="Garamond" w:hAnsi="Garamond"/>
              </w:rPr>
            </w:pPr>
            <w:r w:rsidRPr="00094628">
              <w:rPr>
                <w:rFonts w:ascii="Garamond" w:hAnsi="Garamond"/>
              </w:rPr>
              <w:t>Source de vérification</w:t>
            </w:r>
          </w:p>
        </w:tc>
        <w:tc>
          <w:tcPr>
            <w:tcW w:w="2551" w:type="dxa"/>
            <w:gridSpan w:val="5"/>
            <w:shd w:val="clear" w:color="auto" w:fill="auto"/>
          </w:tcPr>
          <w:p w14:paraId="6A390A23" w14:textId="77777777" w:rsidR="00144951" w:rsidRPr="00094628" w:rsidRDefault="00144951" w:rsidP="001731C1">
            <w:pPr>
              <w:jc w:val="center"/>
              <w:rPr>
                <w:rFonts w:ascii="Garamond" w:hAnsi="Garamond"/>
              </w:rPr>
            </w:pPr>
            <w:r w:rsidRPr="00094628">
              <w:rPr>
                <w:rFonts w:ascii="Garamond" w:hAnsi="Garamond"/>
              </w:rPr>
              <w:t xml:space="preserve">Période de mise en œuvre </w:t>
            </w:r>
          </w:p>
        </w:tc>
        <w:tc>
          <w:tcPr>
            <w:tcW w:w="1276" w:type="dxa"/>
            <w:shd w:val="clear" w:color="auto" w:fill="auto"/>
          </w:tcPr>
          <w:p w14:paraId="2946C558" w14:textId="77777777" w:rsidR="00144951" w:rsidRPr="00094628" w:rsidRDefault="00144951" w:rsidP="001731C1">
            <w:pPr>
              <w:jc w:val="center"/>
              <w:rPr>
                <w:rFonts w:ascii="Garamond" w:hAnsi="Garamond"/>
              </w:rPr>
            </w:pPr>
            <w:r w:rsidRPr="00094628">
              <w:rPr>
                <w:rFonts w:ascii="Garamond" w:hAnsi="Garamond"/>
              </w:rPr>
              <w:t>Coût (en millions de FCFA)</w:t>
            </w:r>
          </w:p>
        </w:tc>
        <w:tc>
          <w:tcPr>
            <w:tcW w:w="709" w:type="dxa"/>
            <w:shd w:val="clear" w:color="auto" w:fill="auto"/>
          </w:tcPr>
          <w:p w14:paraId="1B0D98A3" w14:textId="77777777" w:rsidR="00144951" w:rsidRPr="00094628" w:rsidRDefault="00144951" w:rsidP="001731C1">
            <w:pPr>
              <w:jc w:val="center"/>
              <w:rPr>
                <w:rFonts w:ascii="Garamond" w:hAnsi="Garamond"/>
              </w:rPr>
            </w:pPr>
            <w:r w:rsidRPr="00094628">
              <w:rPr>
                <w:rFonts w:ascii="Garamond" w:hAnsi="Garamond"/>
              </w:rPr>
              <w:t>Ministères responsables</w:t>
            </w:r>
          </w:p>
        </w:tc>
        <w:tc>
          <w:tcPr>
            <w:tcW w:w="1275" w:type="dxa"/>
            <w:shd w:val="clear" w:color="auto" w:fill="auto"/>
          </w:tcPr>
          <w:p w14:paraId="73A56C9E" w14:textId="77777777" w:rsidR="00144951" w:rsidRPr="00094628" w:rsidRDefault="00144951" w:rsidP="001731C1">
            <w:pPr>
              <w:jc w:val="center"/>
              <w:rPr>
                <w:rFonts w:ascii="Garamond" w:hAnsi="Garamond"/>
              </w:rPr>
            </w:pPr>
            <w:r w:rsidRPr="00094628">
              <w:rPr>
                <w:rFonts w:ascii="Garamond" w:hAnsi="Garamond"/>
              </w:rPr>
              <w:t>Autres structures impliquées</w:t>
            </w:r>
          </w:p>
        </w:tc>
        <w:tc>
          <w:tcPr>
            <w:tcW w:w="1134" w:type="dxa"/>
            <w:shd w:val="clear" w:color="auto" w:fill="auto"/>
          </w:tcPr>
          <w:p w14:paraId="2C44ED93" w14:textId="77777777" w:rsidR="00144951" w:rsidRPr="00094628" w:rsidRDefault="00144951" w:rsidP="001731C1">
            <w:pPr>
              <w:jc w:val="center"/>
              <w:rPr>
                <w:rFonts w:ascii="Garamond" w:hAnsi="Garamond"/>
              </w:rPr>
            </w:pPr>
            <w:r w:rsidRPr="00094628">
              <w:rPr>
                <w:rFonts w:ascii="Garamond" w:hAnsi="Garamond"/>
              </w:rPr>
              <w:t xml:space="preserve">Sources de financement </w:t>
            </w:r>
          </w:p>
        </w:tc>
      </w:tr>
      <w:tr w:rsidR="00144951" w:rsidRPr="00094628" w14:paraId="7153A2EE" w14:textId="77777777" w:rsidTr="00144951">
        <w:trPr>
          <w:tblHeader/>
        </w:trPr>
        <w:tc>
          <w:tcPr>
            <w:tcW w:w="1588" w:type="dxa"/>
            <w:vMerge/>
            <w:shd w:val="clear" w:color="auto" w:fill="auto"/>
          </w:tcPr>
          <w:p w14:paraId="18E094FF"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7AC0B680" w14:textId="77777777" w:rsidR="00144951" w:rsidRPr="00094628" w:rsidRDefault="00144951" w:rsidP="001731C1">
            <w:pPr>
              <w:rPr>
                <w:rFonts w:ascii="Garamond" w:hAnsi="Garamond"/>
                <w:bCs/>
              </w:rPr>
            </w:pPr>
          </w:p>
        </w:tc>
        <w:tc>
          <w:tcPr>
            <w:tcW w:w="1134" w:type="dxa"/>
            <w:vMerge/>
          </w:tcPr>
          <w:p w14:paraId="4E2651B9" w14:textId="77777777" w:rsidR="00144951" w:rsidRPr="00094628" w:rsidRDefault="00144951" w:rsidP="001731C1">
            <w:pPr>
              <w:rPr>
                <w:rFonts w:ascii="Garamond" w:hAnsi="Garamond"/>
                <w:bCs/>
              </w:rPr>
            </w:pPr>
          </w:p>
        </w:tc>
        <w:tc>
          <w:tcPr>
            <w:tcW w:w="1418" w:type="dxa"/>
            <w:vMerge/>
            <w:shd w:val="clear" w:color="auto" w:fill="auto"/>
            <w:vAlign w:val="center"/>
          </w:tcPr>
          <w:p w14:paraId="2F19FE8D" w14:textId="77777777" w:rsidR="00144951" w:rsidRPr="00094628" w:rsidRDefault="00144951" w:rsidP="001731C1">
            <w:pPr>
              <w:rPr>
                <w:rFonts w:ascii="Garamond" w:hAnsi="Garamond"/>
                <w:bCs/>
              </w:rPr>
            </w:pPr>
          </w:p>
        </w:tc>
        <w:tc>
          <w:tcPr>
            <w:tcW w:w="1417" w:type="dxa"/>
            <w:vMerge/>
            <w:shd w:val="clear" w:color="auto" w:fill="auto"/>
            <w:vAlign w:val="center"/>
          </w:tcPr>
          <w:p w14:paraId="1347209F" w14:textId="77777777" w:rsidR="00144951" w:rsidRPr="00094628" w:rsidRDefault="00144951" w:rsidP="001731C1">
            <w:pPr>
              <w:rPr>
                <w:rFonts w:ascii="Garamond" w:hAnsi="Garamond"/>
                <w:bCs/>
              </w:rPr>
            </w:pPr>
          </w:p>
        </w:tc>
        <w:tc>
          <w:tcPr>
            <w:tcW w:w="993" w:type="dxa"/>
            <w:vMerge/>
            <w:shd w:val="clear" w:color="auto" w:fill="auto"/>
          </w:tcPr>
          <w:p w14:paraId="2ABB2C7C" w14:textId="77777777" w:rsidR="00144951" w:rsidRPr="00094628" w:rsidRDefault="00144951" w:rsidP="001731C1">
            <w:pPr>
              <w:rPr>
                <w:rFonts w:ascii="Garamond" w:hAnsi="Garamond"/>
                <w:bCs/>
              </w:rPr>
            </w:pPr>
          </w:p>
        </w:tc>
        <w:tc>
          <w:tcPr>
            <w:tcW w:w="567" w:type="dxa"/>
            <w:shd w:val="clear" w:color="auto" w:fill="auto"/>
          </w:tcPr>
          <w:p w14:paraId="69A657C7" w14:textId="77777777" w:rsidR="00144951" w:rsidRPr="00094628" w:rsidRDefault="00144951" w:rsidP="001731C1">
            <w:pPr>
              <w:jc w:val="center"/>
              <w:rPr>
                <w:rFonts w:ascii="Garamond" w:hAnsi="Garamond"/>
              </w:rPr>
            </w:pPr>
            <w:r w:rsidRPr="00094628">
              <w:rPr>
                <w:rFonts w:ascii="Garamond" w:hAnsi="Garamond"/>
              </w:rPr>
              <w:t>1</w:t>
            </w:r>
          </w:p>
        </w:tc>
        <w:tc>
          <w:tcPr>
            <w:tcW w:w="567" w:type="dxa"/>
            <w:shd w:val="clear" w:color="auto" w:fill="auto"/>
          </w:tcPr>
          <w:p w14:paraId="2D82591E" w14:textId="77777777" w:rsidR="00144951" w:rsidRPr="00094628" w:rsidRDefault="00144951" w:rsidP="001731C1">
            <w:pPr>
              <w:jc w:val="center"/>
              <w:rPr>
                <w:rFonts w:ascii="Garamond" w:hAnsi="Garamond"/>
              </w:rPr>
            </w:pPr>
            <w:r w:rsidRPr="00094628">
              <w:rPr>
                <w:rFonts w:ascii="Garamond" w:hAnsi="Garamond"/>
              </w:rPr>
              <w:t>2</w:t>
            </w:r>
          </w:p>
        </w:tc>
        <w:tc>
          <w:tcPr>
            <w:tcW w:w="567" w:type="dxa"/>
            <w:shd w:val="clear" w:color="auto" w:fill="auto"/>
          </w:tcPr>
          <w:p w14:paraId="7CA195FB" w14:textId="77777777" w:rsidR="00144951" w:rsidRPr="00094628" w:rsidRDefault="00144951" w:rsidP="001731C1">
            <w:pPr>
              <w:jc w:val="center"/>
              <w:rPr>
                <w:rFonts w:ascii="Garamond" w:hAnsi="Garamond"/>
              </w:rPr>
            </w:pPr>
            <w:r w:rsidRPr="00094628">
              <w:rPr>
                <w:rFonts w:ascii="Garamond" w:hAnsi="Garamond"/>
              </w:rPr>
              <w:t>3</w:t>
            </w:r>
          </w:p>
        </w:tc>
        <w:tc>
          <w:tcPr>
            <w:tcW w:w="425" w:type="dxa"/>
            <w:shd w:val="clear" w:color="auto" w:fill="auto"/>
          </w:tcPr>
          <w:p w14:paraId="5E03C654" w14:textId="77777777" w:rsidR="00144951" w:rsidRPr="00094628" w:rsidRDefault="00144951" w:rsidP="001731C1">
            <w:pPr>
              <w:jc w:val="center"/>
              <w:rPr>
                <w:rFonts w:ascii="Garamond" w:hAnsi="Garamond"/>
              </w:rPr>
            </w:pPr>
            <w:r w:rsidRPr="00094628">
              <w:rPr>
                <w:rFonts w:ascii="Garamond" w:hAnsi="Garamond"/>
              </w:rPr>
              <w:t>4</w:t>
            </w:r>
          </w:p>
        </w:tc>
        <w:tc>
          <w:tcPr>
            <w:tcW w:w="425" w:type="dxa"/>
            <w:shd w:val="clear" w:color="auto" w:fill="auto"/>
          </w:tcPr>
          <w:p w14:paraId="51DC6001" w14:textId="77777777" w:rsidR="00144951" w:rsidRPr="00094628" w:rsidRDefault="00144951" w:rsidP="001731C1">
            <w:pPr>
              <w:jc w:val="center"/>
              <w:rPr>
                <w:rFonts w:ascii="Garamond" w:hAnsi="Garamond"/>
              </w:rPr>
            </w:pPr>
            <w:r w:rsidRPr="00094628">
              <w:rPr>
                <w:rFonts w:ascii="Garamond" w:hAnsi="Garamond"/>
              </w:rPr>
              <w:t>5</w:t>
            </w:r>
          </w:p>
        </w:tc>
        <w:tc>
          <w:tcPr>
            <w:tcW w:w="1276" w:type="dxa"/>
            <w:shd w:val="clear" w:color="auto" w:fill="auto"/>
          </w:tcPr>
          <w:p w14:paraId="0E5BD7E3" w14:textId="77777777" w:rsidR="00144951" w:rsidRPr="00094628" w:rsidRDefault="00144951" w:rsidP="001731C1">
            <w:pPr>
              <w:jc w:val="center"/>
              <w:rPr>
                <w:rFonts w:ascii="Garamond" w:hAnsi="Garamond"/>
              </w:rPr>
            </w:pPr>
          </w:p>
        </w:tc>
        <w:tc>
          <w:tcPr>
            <w:tcW w:w="709" w:type="dxa"/>
            <w:shd w:val="clear" w:color="auto" w:fill="auto"/>
          </w:tcPr>
          <w:p w14:paraId="7475EAEA" w14:textId="77777777" w:rsidR="00144951" w:rsidRPr="00094628" w:rsidRDefault="00144951" w:rsidP="001731C1">
            <w:pPr>
              <w:jc w:val="center"/>
              <w:rPr>
                <w:rFonts w:ascii="Garamond" w:hAnsi="Garamond"/>
              </w:rPr>
            </w:pPr>
          </w:p>
        </w:tc>
        <w:tc>
          <w:tcPr>
            <w:tcW w:w="1275" w:type="dxa"/>
            <w:shd w:val="clear" w:color="auto" w:fill="auto"/>
          </w:tcPr>
          <w:p w14:paraId="6AC20FD6" w14:textId="77777777" w:rsidR="00144951" w:rsidRPr="00094628" w:rsidRDefault="00144951" w:rsidP="001731C1">
            <w:pPr>
              <w:jc w:val="center"/>
              <w:rPr>
                <w:rFonts w:ascii="Garamond" w:hAnsi="Garamond"/>
              </w:rPr>
            </w:pPr>
          </w:p>
        </w:tc>
        <w:tc>
          <w:tcPr>
            <w:tcW w:w="1134" w:type="dxa"/>
            <w:shd w:val="clear" w:color="auto" w:fill="auto"/>
          </w:tcPr>
          <w:p w14:paraId="31E67642" w14:textId="77777777" w:rsidR="00144951" w:rsidRPr="00094628" w:rsidRDefault="00144951" w:rsidP="001731C1">
            <w:pPr>
              <w:jc w:val="center"/>
              <w:rPr>
                <w:rFonts w:ascii="Garamond" w:hAnsi="Garamond"/>
              </w:rPr>
            </w:pPr>
          </w:p>
        </w:tc>
      </w:tr>
      <w:tr w:rsidR="00144951" w:rsidRPr="00094628" w14:paraId="3529BF26" w14:textId="77777777" w:rsidTr="00144951">
        <w:trPr>
          <w:trHeight w:val="3806"/>
        </w:trPr>
        <w:tc>
          <w:tcPr>
            <w:tcW w:w="1588" w:type="dxa"/>
            <w:vMerge w:val="restart"/>
            <w:shd w:val="clear" w:color="auto" w:fill="auto"/>
          </w:tcPr>
          <w:p w14:paraId="309E8650" w14:textId="77777777" w:rsidR="00144951" w:rsidRPr="00094628" w:rsidRDefault="00144951" w:rsidP="001731C1">
            <w:pPr>
              <w:jc w:val="center"/>
              <w:rPr>
                <w:rFonts w:ascii="Garamond" w:hAnsi="Garamond"/>
              </w:rPr>
            </w:pPr>
            <w:r w:rsidRPr="00094628">
              <w:rPr>
                <w:rFonts w:ascii="Garamond" w:hAnsi="Garamond"/>
              </w:rPr>
              <w:t>Objectif spécifique 1 : Améliorer la gouvernance du secteur minier et pétrolier</w:t>
            </w:r>
          </w:p>
        </w:tc>
        <w:tc>
          <w:tcPr>
            <w:tcW w:w="1701" w:type="dxa"/>
            <w:vMerge w:val="restart"/>
            <w:shd w:val="clear" w:color="auto" w:fill="auto"/>
            <w:vAlign w:val="center"/>
          </w:tcPr>
          <w:p w14:paraId="4C937CA9" w14:textId="77777777" w:rsidR="00144951" w:rsidRPr="00094628" w:rsidRDefault="00144951" w:rsidP="001731C1">
            <w:pPr>
              <w:spacing w:before="120" w:after="120"/>
              <w:rPr>
                <w:rFonts w:ascii="Garamond" w:hAnsi="Garamond"/>
              </w:rPr>
            </w:pPr>
            <w:r w:rsidRPr="00094628">
              <w:rPr>
                <w:rFonts w:ascii="Garamond" w:hAnsi="Garamond"/>
              </w:rPr>
              <w:t>Axe stratégique 1 : le renforcement et l’adaptation du cadre réglementaire de l’activité minière et pétrolière du Mali à la vision et aux nouvelles ambitions du pays pour le secteur </w:t>
            </w:r>
          </w:p>
          <w:p w14:paraId="512231D1" w14:textId="77777777" w:rsidR="00144951" w:rsidRPr="00094628" w:rsidRDefault="00144951" w:rsidP="001731C1">
            <w:pPr>
              <w:spacing w:before="120" w:after="120"/>
              <w:rPr>
                <w:rFonts w:ascii="Garamond" w:hAnsi="Garamond"/>
              </w:rPr>
            </w:pPr>
          </w:p>
          <w:p w14:paraId="27DDF146" w14:textId="77777777" w:rsidR="00144951" w:rsidRPr="00094628" w:rsidRDefault="00144951" w:rsidP="001731C1">
            <w:pPr>
              <w:spacing w:before="120" w:after="120"/>
              <w:rPr>
                <w:rFonts w:ascii="Garamond" w:hAnsi="Garamond"/>
              </w:rPr>
            </w:pPr>
          </w:p>
          <w:p w14:paraId="087DD5D0" w14:textId="77777777" w:rsidR="00144951" w:rsidRPr="00094628" w:rsidRDefault="00144951" w:rsidP="001731C1">
            <w:pPr>
              <w:spacing w:before="120" w:after="120"/>
              <w:rPr>
                <w:rFonts w:ascii="Garamond" w:hAnsi="Garamond"/>
              </w:rPr>
            </w:pPr>
          </w:p>
          <w:p w14:paraId="5E8035B2" w14:textId="77777777" w:rsidR="00144951" w:rsidRPr="00094628" w:rsidRDefault="00144951" w:rsidP="001731C1">
            <w:pPr>
              <w:spacing w:before="120" w:after="120"/>
              <w:rPr>
                <w:rFonts w:ascii="Garamond" w:hAnsi="Garamond"/>
              </w:rPr>
            </w:pPr>
          </w:p>
          <w:p w14:paraId="7798E326" w14:textId="77777777" w:rsidR="00144951" w:rsidRPr="00094628" w:rsidRDefault="00144951" w:rsidP="001731C1">
            <w:pPr>
              <w:spacing w:before="120" w:after="120"/>
              <w:rPr>
                <w:rFonts w:ascii="Garamond" w:hAnsi="Garamond"/>
              </w:rPr>
            </w:pPr>
          </w:p>
          <w:p w14:paraId="3F4F21D0" w14:textId="77777777" w:rsidR="00144951" w:rsidRPr="00094628" w:rsidRDefault="00144951" w:rsidP="001731C1">
            <w:pPr>
              <w:spacing w:before="120" w:after="120"/>
              <w:rPr>
                <w:rFonts w:ascii="Garamond" w:hAnsi="Garamond"/>
              </w:rPr>
            </w:pPr>
          </w:p>
          <w:p w14:paraId="59D10FE3" w14:textId="77777777" w:rsidR="00144951" w:rsidRPr="00094628" w:rsidRDefault="00144951" w:rsidP="001731C1">
            <w:pPr>
              <w:spacing w:before="120" w:after="120"/>
              <w:rPr>
                <w:rFonts w:ascii="Garamond" w:hAnsi="Garamond"/>
              </w:rPr>
            </w:pPr>
          </w:p>
          <w:p w14:paraId="445B63D0" w14:textId="77777777" w:rsidR="00144951" w:rsidRPr="00094628" w:rsidRDefault="00144951" w:rsidP="001731C1">
            <w:pPr>
              <w:spacing w:before="120" w:after="120"/>
              <w:rPr>
                <w:rFonts w:ascii="Garamond" w:hAnsi="Garamond"/>
              </w:rPr>
            </w:pPr>
          </w:p>
          <w:p w14:paraId="0110EF12" w14:textId="77777777" w:rsidR="00144951" w:rsidRPr="00094628" w:rsidRDefault="00144951" w:rsidP="001731C1">
            <w:pPr>
              <w:spacing w:before="120" w:after="120"/>
              <w:rPr>
                <w:rFonts w:ascii="Garamond" w:hAnsi="Garamond"/>
              </w:rPr>
            </w:pPr>
          </w:p>
          <w:p w14:paraId="01B0241D" w14:textId="77777777" w:rsidR="00144951" w:rsidRPr="00094628" w:rsidRDefault="00144951" w:rsidP="001731C1">
            <w:pPr>
              <w:rPr>
                <w:rFonts w:ascii="Garamond" w:hAnsi="Garamond"/>
                <w:bCs/>
              </w:rPr>
            </w:pPr>
          </w:p>
        </w:tc>
        <w:tc>
          <w:tcPr>
            <w:tcW w:w="1134" w:type="dxa"/>
            <w:vAlign w:val="center"/>
          </w:tcPr>
          <w:p w14:paraId="5D662435" w14:textId="77777777" w:rsidR="00144951" w:rsidRPr="00094628" w:rsidRDefault="00144951" w:rsidP="001731C1">
            <w:pPr>
              <w:spacing w:before="120" w:after="120"/>
              <w:rPr>
                <w:rFonts w:ascii="Garamond" w:hAnsi="Garamond"/>
              </w:rPr>
            </w:pPr>
            <w:r w:rsidRPr="00094628">
              <w:rPr>
                <w:rFonts w:ascii="Garamond" w:hAnsi="Garamond"/>
              </w:rPr>
              <w:lastRenderedPageBreak/>
              <w:t xml:space="preserve"> Le </w:t>
            </w:r>
            <w:proofErr w:type="gramStart"/>
            <w:r w:rsidRPr="00094628">
              <w:rPr>
                <w:rFonts w:ascii="Garamond" w:hAnsi="Garamond"/>
              </w:rPr>
              <w:t>cadre  juridique</w:t>
            </w:r>
            <w:proofErr w:type="gramEnd"/>
            <w:r w:rsidRPr="00094628">
              <w:rPr>
                <w:rFonts w:ascii="Garamond" w:hAnsi="Garamond"/>
              </w:rPr>
              <w:t xml:space="preserve">  et institutionnel du domaine minier et pétrolier est cohérent </w:t>
            </w:r>
          </w:p>
          <w:p w14:paraId="3287E905" w14:textId="77777777" w:rsidR="00144951" w:rsidRPr="00094628" w:rsidRDefault="00144951" w:rsidP="001731C1">
            <w:pPr>
              <w:spacing w:before="120" w:after="120"/>
              <w:rPr>
                <w:rFonts w:ascii="Garamond" w:hAnsi="Garamond"/>
              </w:rPr>
            </w:pPr>
          </w:p>
          <w:p w14:paraId="2303354B" w14:textId="77777777" w:rsidR="00144951" w:rsidRPr="00094628" w:rsidRDefault="00144951" w:rsidP="001731C1">
            <w:pPr>
              <w:spacing w:before="120" w:after="120"/>
              <w:rPr>
                <w:rFonts w:ascii="Garamond" w:hAnsi="Garamond"/>
              </w:rPr>
            </w:pPr>
          </w:p>
          <w:p w14:paraId="4D2034DE" w14:textId="77777777" w:rsidR="00144951" w:rsidRPr="00094628" w:rsidRDefault="00144951" w:rsidP="001731C1">
            <w:pPr>
              <w:spacing w:before="120" w:after="120"/>
              <w:rPr>
                <w:rFonts w:ascii="Garamond" w:hAnsi="Garamond"/>
              </w:rPr>
            </w:pPr>
          </w:p>
          <w:p w14:paraId="67991272" w14:textId="77777777" w:rsidR="00144951" w:rsidRPr="00094628" w:rsidRDefault="00144951" w:rsidP="001731C1">
            <w:pPr>
              <w:spacing w:before="120" w:after="120"/>
              <w:rPr>
                <w:rFonts w:ascii="Garamond" w:hAnsi="Garamond"/>
              </w:rPr>
            </w:pPr>
          </w:p>
          <w:p w14:paraId="76658B88" w14:textId="77777777" w:rsidR="00144951" w:rsidRPr="00094628" w:rsidRDefault="00144951" w:rsidP="001731C1">
            <w:pPr>
              <w:spacing w:before="120" w:after="120"/>
              <w:rPr>
                <w:rFonts w:ascii="Garamond" w:hAnsi="Garamond"/>
              </w:rPr>
            </w:pPr>
          </w:p>
          <w:p w14:paraId="30A6E4BB" w14:textId="77777777" w:rsidR="00144951" w:rsidRPr="00094628" w:rsidRDefault="00144951" w:rsidP="001731C1">
            <w:pPr>
              <w:spacing w:before="120" w:after="120"/>
              <w:rPr>
                <w:rFonts w:ascii="Garamond" w:hAnsi="Garamond"/>
              </w:rPr>
            </w:pPr>
          </w:p>
          <w:p w14:paraId="0DA1AB62" w14:textId="77777777" w:rsidR="00144951" w:rsidRPr="00094628" w:rsidRDefault="00144951" w:rsidP="001731C1">
            <w:pPr>
              <w:spacing w:before="120" w:after="120"/>
              <w:rPr>
                <w:rFonts w:ascii="Garamond" w:hAnsi="Garamond"/>
              </w:rPr>
            </w:pPr>
          </w:p>
          <w:p w14:paraId="0E389317" w14:textId="77777777" w:rsidR="00144951" w:rsidRPr="00094628" w:rsidRDefault="00144951" w:rsidP="001731C1">
            <w:pPr>
              <w:spacing w:before="120" w:after="120"/>
              <w:rPr>
                <w:rFonts w:ascii="Garamond" w:hAnsi="Garamond"/>
              </w:rPr>
            </w:pPr>
          </w:p>
          <w:p w14:paraId="2B6F8D95" w14:textId="77777777" w:rsidR="00144951" w:rsidRPr="00094628" w:rsidRDefault="00144951" w:rsidP="001731C1">
            <w:pPr>
              <w:spacing w:before="120" w:after="120"/>
              <w:rPr>
                <w:rFonts w:ascii="Garamond" w:hAnsi="Garamond"/>
              </w:rPr>
            </w:pPr>
          </w:p>
          <w:p w14:paraId="719757C1" w14:textId="77777777" w:rsidR="00144951" w:rsidRPr="00094628" w:rsidRDefault="00144951" w:rsidP="001731C1">
            <w:pPr>
              <w:spacing w:before="120" w:after="120"/>
              <w:rPr>
                <w:rFonts w:ascii="Garamond" w:hAnsi="Garamond"/>
              </w:rPr>
            </w:pPr>
          </w:p>
        </w:tc>
        <w:tc>
          <w:tcPr>
            <w:tcW w:w="1418" w:type="dxa"/>
            <w:shd w:val="clear" w:color="auto" w:fill="auto"/>
            <w:vAlign w:val="center"/>
          </w:tcPr>
          <w:p w14:paraId="560E8405" w14:textId="77777777" w:rsidR="00144951" w:rsidRPr="00094628" w:rsidRDefault="00144951" w:rsidP="001731C1">
            <w:pPr>
              <w:rPr>
                <w:rFonts w:ascii="Garamond" w:hAnsi="Garamond"/>
              </w:rPr>
            </w:pPr>
            <w:r w:rsidRPr="00094628">
              <w:rPr>
                <w:rFonts w:ascii="Garamond" w:hAnsi="Garamond"/>
              </w:rPr>
              <w:t>Mettre en cohérence le cadre réglementaire et institutionnel du domaine minier et pétrolier</w:t>
            </w:r>
          </w:p>
          <w:p w14:paraId="05EB85DE" w14:textId="77777777" w:rsidR="00144951" w:rsidRPr="00094628" w:rsidRDefault="00144951" w:rsidP="001731C1">
            <w:pPr>
              <w:rPr>
                <w:rFonts w:ascii="Garamond" w:hAnsi="Garamond"/>
              </w:rPr>
            </w:pPr>
          </w:p>
          <w:p w14:paraId="377B4527" w14:textId="77777777" w:rsidR="00144951" w:rsidRPr="00094628" w:rsidRDefault="00144951" w:rsidP="001731C1">
            <w:pPr>
              <w:rPr>
                <w:rFonts w:ascii="Garamond" w:hAnsi="Garamond"/>
              </w:rPr>
            </w:pPr>
          </w:p>
          <w:p w14:paraId="0F18C928" w14:textId="77777777" w:rsidR="00144951" w:rsidRPr="00094628" w:rsidRDefault="00144951" w:rsidP="001731C1">
            <w:pPr>
              <w:rPr>
                <w:rFonts w:ascii="Garamond" w:hAnsi="Garamond"/>
              </w:rPr>
            </w:pPr>
          </w:p>
          <w:p w14:paraId="44E9AACB" w14:textId="77777777" w:rsidR="00144951" w:rsidRPr="00094628" w:rsidRDefault="00144951" w:rsidP="001731C1">
            <w:pPr>
              <w:rPr>
                <w:rFonts w:ascii="Garamond" w:hAnsi="Garamond"/>
              </w:rPr>
            </w:pPr>
          </w:p>
          <w:p w14:paraId="534A0E7A" w14:textId="77777777" w:rsidR="00144951" w:rsidRPr="00094628" w:rsidRDefault="00144951" w:rsidP="001731C1">
            <w:pPr>
              <w:rPr>
                <w:rFonts w:ascii="Garamond" w:hAnsi="Garamond"/>
              </w:rPr>
            </w:pPr>
          </w:p>
          <w:p w14:paraId="5B1A4B44" w14:textId="77777777" w:rsidR="00144951" w:rsidRPr="00094628" w:rsidRDefault="00144951" w:rsidP="001731C1">
            <w:pPr>
              <w:rPr>
                <w:rFonts w:ascii="Garamond" w:hAnsi="Garamond"/>
              </w:rPr>
            </w:pPr>
          </w:p>
          <w:p w14:paraId="1AC64D97" w14:textId="77777777" w:rsidR="00144951" w:rsidRPr="00094628" w:rsidRDefault="00144951" w:rsidP="001731C1">
            <w:pPr>
              <w:rPr>
                <w:rFonts w:ascii="Garamond" w:hAnsi="Garamond"/>
              </w:rPr>
            </w:pPr>
          </w:p>
          <w:p w14:paraId="449B642F" w14:textId="77777777" w:rsidR="00144951" w:rsidRPr="00094628" w:rsidRDefault="00144951" w:rsidP="001731C1">
            <w:pPr>
              <w:rPr>
                <w:rFonts w:ascii="Garamond" w:hAnsi="Garamond"/>
              </w:rPr>
            </w:pPr>
          </w:p>
          <w:p w14:paraId="185F401C" w14:textId="77777777" w:rsidR="00144951" w:rsidRPr="00094628" w:rsidRDefault="00144951" w:rsidP="001731C1">
            <w:pPr>
              <w:rPr>
                <w:rFonts w:ascii="Garamond" w:hAnsi="Garamond"/>
                <w:bCs/>
              </w:rPr>
            </w:pPr>
          </w:p>
        </w:tc>
        <w:tc>
          <w:tcPr>
            <w:tcW w:w="1417" w:type="dxa"/>
            <w:shd w:val="clear" w:color="auto" w:fill="auto"/>
            <w:vAlign w:val="center"/>
          </w:tcPr>
          <w:p w14:paraId="192B2E44" w14:textId="77777777" w:rsidR="00144951" w:rsidRPr="00094628" w:rsidRDefault="00144951" w:rsidP="001731C1">
            <w:pPr>
              <w:rPr>
                <w:rFonts w:ascii="Garamond" w:hAnsi="Garamond"/>
              </w:rPr>
            </w:pPr>
            <w:r w:rsidRPr="00094628">
              <w:rPr>
                <w:rFonts w:ascii="Garamond" w:hAnsi="Garamond"/>
              </w:rPr>
              <w:t xml:space="preserve">Nombre de politiques stratégies </w:t>
            </w:r>
            <w:proofErr w:type="gramStart"/>
            <w:r w:rsidRPr="00094628">
              <w:rPr>
                <w:rFonts w:ascii="Garamond" w:hAnsi="Garamond"/>
              </w:rPr>
              <w:t>sectorielles  relues</w:t>
            </w:r>
            <w:proofErr w:type="gramEnd"/>
            <w:r w:rsidRPr="00094628">
              <w:rPr>
                <w:rFonts w:ascii="Garamond" w:hAnsi="Garamond"/>
              </w:rPr>
              <w:t xml:space="preserve"> et disponibles</w:t>
            </w:r>
          </w:p>
          <w:p w14:paraId="289AB41B" w14:textId="77777777" w:rsidR="00144951" w:rsidRPr="00094628" w:rsidRDefault="00144951" w:rsidP="001731C1">
            <w:pPr>
              <w:rPr>
                <w:rFonts w:ascii="Garamond" w:hAnsi="Garamond"/>
              </w:rPr>
            </w:pPr>
          </w:p>
          <w:p w14:paraId="51FC3BA3" w14:textId="77777777" w:rsidR="00144951" w:rsidRPr="00094628" w:rsidRDefault="00144951" w:rsidP="001731C1">
            <w:pPr>
              <w:rPr>
                <w:rFonts w:ascii="Garamond" w:hAnsi="Garamond"/>
              </w:rPr>
            </w:pPr>
          </w:p>
          <w:p w14:paraId="5488AF29" w14:textId="77777777" w:rsidR="00144951" w:rsidRPr="00094628" w:rsidRDefault="00144951" w:rsidP="001731C1">
            <w:pPr>
              <w:rPr>
                <w:rFonts w:ascii="Garamond" w:hAnsi="Garamond"/>
              </w:rPr>
            </w:pPr>
          </w:p>
          <w:p w14:paraId="1AB494A9" w14:textId="77777777" w:rsidR="00144951" w:rsidRPr="00094628" w:rsidRDefault="00144951" w:rsidP="001731C1">
            <w:pPr>
              <w:rPr>
                <w:rFonts w:ascii="Garamond" w:hAnsi="Garamond"/>
              </w:rPr>
            </w:pPr>
          </w:p>
          <w:p w14:paraId="1CB7C5ED" w14:textId="77777777" w:rsidR="00144951" w:rsidRPr="00094628" w:rsidRDefault="00144951" w:rsidP="001731C1">
            <w:pPr>
              <w:rPr>
                <w:rFonts w:ascii="Garamond" w:hAnsi="Garamond"/>
              </w:rPr>
            </w:pPr>
          </w:p>
          <w:p w14:paraId="5130E738" w14:textId="77777777" w:rsidR="00144951" w:rsidRPr="00094628" w:rsidRDefault="00144951" w:rsidP="001731C1">
            <w:pPr>
              <w:rPr>
                <w:rFonts w:ascii="Garamond" w:hAnsi="Garamond"/>
              </w:rPr>
            </w:pPr>
          </w:p>
          <w:p w14:paraId="5C232C2E" w14:textId="77777777" w:rsidR="00144951" w:rsidRPr="00094628" w:rsidRDefault="00144951" w:rsidP="001731C1">
            <w:pPr>
              <w:rPr>
                <w:rFonts w:ascii="Garamond" w:hAnsi="Garamond"/>
              </w:rPr>
            </w:pPr>
          </w:p>
          <w:p w14:paraId="4C62BC93" w14:textId="77777777" w:rsidR="00144951" w:rsidRPr="00094628" w:rsidRDefault="00144951" w:rsidP="001731C1">
            <w:pPr>
              <w:rPr>
                <w:rFonts w:ascii="Garamond" w:hAnsi="Garamond"/>
              </w:rPr>
            </w:pPr>
          </w:p>
          <w:p w14:paraId="02E92168" w14:textId="77777777" w:rsidR="00144951" w:rsidRPr="00094628" w:rsidRDefault="00144951" w:rsidP="001731C1">
            <w:pPr>
              <w:rPr>
                <w:rFonts w:ascii="Garamond" w:hAnsi="Garamond"/>
                <w:bCs/>
              </w:rPr>
            </w:pPr>
          </w:p>
          <w:p w14:paraId="44B349A1" w14:textId="77777777" w:rsidR="00144951" w:rsidRPr="00094628" w:rsidRDefault="00144951" w:rsidP="001731C1">
            <w:pPr>
              <w:rPr>
                <w:rFonts w:ascii="Garamond" w:hAnsi="Garamond"/>
                <w:bCs/>
              </w:rPr>
            </w:pPr>
          </w:p>
          <w:p w14:paraId="2D1C7DD5" w14:textId="77777777" w:rsidR="00144951" w:rsidRPr="00094628" w:rsidRDefault="00144951" w:rsidP="001731C1">
            <w:pPr>
              <w:rPr>
                <w:rFonts w:ascii="Garamond" w:hAnsi="Garamond"/>
                <w:bCs/>
              </w:rPr>
            </w:pPr>
          </w:p>
        </w:tc>
        <w:tc>
          <w:tcPr>
            <w:tcW w:w="993" w:type="dxa"/>
            <w:shd w:val="clear" w:color="auto" w:fill="auto"/>
          </w:tcPr>
          <w:p w14:paraId="391424C7" w14:textId="77777777" w:rsidR="00144951" w:rsidRPr="00094628" w:rsidRDefault="00144951" w:rsidP="001731C1">
            <w:pPr>
              <w:rPr>
                <w:rFonts w:ascii="Garamond" w:hAnsi="Garamond"/>
              </w:rPr>
            </w:pPr>
            <w:r w:rsidRPr="00094628">
              <w:rPr>
                <w:rFonts w:ascii="Garamond" w:hAnsi="Garamond"/>
              </w:rPr>
              <w:t xml:space="preserve">Journal Officiel, </w:t>
            </w:r>
          </w:p>
          <w:p w14:paraId="54D3BC4F" w14:textId="77777777" w:rsidR="00144951" w:rsidRPr="00094628" w:rsidRDefault="00144951" w:rsidP="001731C1">
            <w:pPr>
              <w:rPr>
                <w:rFonts w:ascii="Garamond" w:hAnsi="Garamond"/>
                <w:bCs/>
              </w:rPr>
            </w:pPr>
            <w:r w:rsidRPr="00094628">
              <w:rPr>
                <w:rFonts w:ascii="Garamond" w:hAnsi="Garamond"/>
              </w:rPr>
              <w:t>Base de données de la DNGM</w:t>
            </w:r>
          </w:p>
        </w:tc>
        <w:tc>
          <w:tcPr>
            <w:tcW w:w="567" w:type="dxa"/>
            <w:shd w:val="clear" w:color="auto" w:fill="auto"/>
          </w:tcPr>
          <w:p w14:paraId="59EC109E"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50466925" w14:textId="77777777" w:rsidR="00144951" w:rsidRPr="00094628" w:rsidRDefault="00144951" w:rsidP="001731C1">
            <w:pPr>
              <w:jc w:val="center"/>
              <w:rPr>
                <w:rFonts w:ascii="Garamond" w:hAnsi="Garamond"/>
              </w:rPr>
            </w:pPr>
          </w:p>
        </w:tc>
        <w:tc>
          <w:tcPr>
            <w:tcW w:w="567" w:type="dxa"/>
            <w:shd w:val="clear" w:color="auto" w:fill="auto"/>
          </w:tcPr>
          <w:p w14:paraId="383C91ED" w14:textId="77777777" w:rsidR="00144951" w:rsidRPr="00094628" w:rsidRDefault="00144951" w:rsidP="001731C1">
            <w:pPr>
              <w:jc w:val="center"/>
              <w:rPr>
                <w:rFonts w:ascii="Garamond" w:hAnsi="Garamond"/>
              </w:rPr>
            </w:pPr>
          </w:p>
        </w:tc>
        <w:tc>
          <w:tcPr>
            <w:tcW w:w="425" w:type="dxa"/>
            <w:shd w:val="clear" w:color="auto" w:fill="auto"/>
          </w:tcPr>
          <w:p w14:paraId="06B6F0A4" w14:textId="77777777" w:rsidR="00144951" w:rsidRPr="00094628" w:rsidRDefault="00144951" w:rsidP="001731C1">
            <w:pPr>
              <w:jc w:val="center"/>
              <w:rPr>
                <w:rFonts w:ascii="Garamond" w:hAnsi="Garamond"/>
              </w:rPr>
            </w:pPr>
          </w:p>
        </w:tc>
        <w:tc>
          <w:tcPr>
            <w:tcW w:w="425" w:type="dxa"/>
            <w:shd w:val="clear" w:color="auto" w:fill="auto"/>
          </w:tcPr>
          <w:p w14:paraId="333A7841" w14:textId="77777777" w:rsidR="00144951" w:rsidRPr="00094628" w:rsidRDefault="00144951" w:rsidP="001731C1">
            <w:pPr>
              <w:jc w:val="center"/>
              <w:rPr>
                <w:rFonts w:ascii="Garamond" w:hAnsi="Garamond"/>
              </w:rPr>
            </w:pPr>
          </w:p>
        </w:tc>
        <w:tc>
          <w:tcPr>
            <w:tcW w:w="1276" w:type="dxa"/>
            <w:shd w:val="clear" w:color="auto" w:fill="auto"/>
          </w:tcPr>
          <w:p w14:paraId="652423B0" w14:textId="77777777" w:rsidR="00144951" w:rsidRPr="00094628" w:rsidRDefault="00144951" w:rsidP="001731C1">
            <w:pPr>
              <w:jc w:val="center"/>
              <w:rPr>
                <w:rFonts w:ascii="Garamond" w:hAnsi="Garamond"/>
              </w:rPr>
            </w:pPr>
            <w:r>
              <w:rPr>
                <w:rFonts w:ascii="Garamond" w:hAnsi="Garamond"/>
              </w:rPr>
              <w:t>20.000</w:t>
            </w:r>
          </w:p>
        </w:tc>
        <w:tc>
          <w:tcPr>
            <w:tcW w:w="709" w:type="dxa"/>
            <w:shd w:val="clear" w:color="auto" w:fill="auto"/>
          </w:tcPr>
          <w:p w14:paraId="3679FB1E" w14:textId="77777777" w:rsidR="00144951" w:rsidRPr="00094628" w:rsidRDefault="00144951" w:rsidP="001731C1">
            <w:pPr>
              <w:rPr>
                <w:rFonts w:ascii="Garamond" w:hAnsi="Garamond"/>
              </w:rPr>
            </w:pPr>
            <w:r w:rsidRPr="00094628">
              <w:rPr>
                <w:rFonts w:ascii="Garamond" w:hAnsi="Garamond"/>
              </w:rPr>
              <w:t>MM</w:t>
            </w:r>
          </w:p>
        </w:tc>
        <w:tc>
          <w:tcPr>
            <w:tcW w:w="1275" w:type="dxa"/>
            <w:shd w:val="clear" w:color="auto" w:fill="auto"/>
          </w:tcPr>
          <w:p w14:paraId="00A3821F" w14:textId="77777777" w:rsidR="00144951" w:rsidRPr="00094628" w:rsidRDefault="00144951" w:rsidP="001731C1">
            <w:pPr>
              <w:rPr>
                <w:rFonts w:ascii="Garamond" w:hAnsi="Garamond"/>
              </w:rPr>
            </w:pPr>
            <w:r w:rsidRPr="00094628">
              <w:rPr>
                <w:rFonts w:ascii="Garamond" w:hAnsi="Garamond"/>
              </w:rPr>
              <w:t xml:space="preserve">MEF, MEADD, MC, </w:t>
            </w:r>
          </w:p>
          <w:p w14:paraId="1BC39909" w14:textId="77777777" w:rsidR="00144951" w:rsidRPr="00094628" w:rsidRDefault="00144951" w:rsidP="001731C1">
            <w:pPr>
              <w:rPr>
                <w:rFonts w:ascii="Garamond" w:hAnsi="Garamond"/>
              </w:rPr>
            </w:pPr>
            <w:r w:rsidRPr="00094628">
              <w:rPr>
                <w:rFonts w:ascii="Garamond" w:hAnsi="Garamond"/>
              </w:rPr>
              <w:t xml:space="preserve">Ministère Industrie </w:t>
            </w:r>
          </w:p>
          <w:p w14:paraId="39D2A378" w14:textId="77777777" w:rsidR="00144951" w:rsidRPr="00094628" w:rsidRDefault="00144951" w:rsidP="001731C1">
            <w:pPr>
              <w:rPr>
                <w:rFonts w:ascii="Garamond" w:hAnsi="Garamond"/>
              </w:rPr>
            </w:pPr>
            <w:r w:rsidRPr="00094628">
              <w:rPr>
                <w:rFonts w:ascii="Garamond" w:hAnsi="Garamond"/>
              </w:rPr>
              <w:t>Ministère du secteur privé</w:t>
            </w:r>
          </w:p>
          <w:p w14:paraId="60D61695" w14:textId="77777777" w:rsidR="00144951" w:rsidRPr="00094628" w:rsidRDefault="00144951" w:rsidP="001731C1">
            <w:pPr>
              <w:rPr>
                <w:rFonts w:ascii="Garamond" w:hAnsi="Garamond"/>
              </w:rPr>
            </w:pPr>
            <w:proofErr w:type="spellStart"/>
            <w:r w:rsidRPr="00094628">
              <w:rPr>
                <w:rFonts w:ascii="Garamond" w:hAnsi="Garamond"/>
              </w:rPr>
              <w:t>PTFs</w:t>
            </w:r>
            <w:proofErr w:type="spellEnd"/>
          </w:p>
        </w:tc>
        <w:tc>
          <w:tcPr>
            <w:tcW w:w="1134" w:type="dxa"/>
            <w:shd w:val="clear" w:color="auto" w:fill="auto"/>
          </w:tcPr>
          <w:p w14:paraId="102D4E83"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6330CA45" w14:textId="77777777" w:rsidTr="00144951">
        <w:tc>
          <w:tcPr>
            <w:tcW w:w="1588" w:type="dxa"/>
            <w:vMerge/>
            <w:shd w:val="clear" w:color="auto" w:fill="auto"/>
          </w:tcPr>
          <w:p w14:paraId="1D96DA31"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3F3D44EB" w14:textId="77777777" w:rsidR="00144951" w:rsidRPr="00094628" w:rsidRDefault="00144951" w:rsidP="001731C1">
            <w:pPr>
              <w:rPr>
                <w:rFonts w:ascii="Garamond" w:hAnsi="Garamond"/>
                <w:bCs/>
              </w:rPr>
            </w:pPr>
          </w:p>
        </w:tc>
        <w:tc>
          <w:tcPr>
            <w:tcW w:w="1134" w:type="dxa"/>
            <w:vAlign w:val="center"/>
          </w:tcPr>
          <w:p w14:paraId="2C89D146" w14:textId="77777777" w:rsidR="00144951" w:rsidRPr="00094628" w:rsidRDefault="00144951" w:rsidP="001731C1">
            <w:pPr>
              <w:spacing w:before="120" w:after="120"/>
              <w:rPr>
                <w:rFonts w:ascii="Garamond" w:hAnsi="Garamond"/>
              </w:rPr>
            </w:pPr>
            <w:proofErr w:type="gramStart"/>
            <w:r w:rsidRPr="00094628">
              <w:rPr>
                <w:rFonts w:ascii="Garamond" w:hAnsi="Garamond"/>
              </w:rPr>
              <w:t>l’acquisition</w:t>
            </w:r>
            <w:proofErr w:type="gramEnd"/>
            <w:r w:rsidRPr="00094628">
              <w:rPr>
                <w:rFonts w:ascii="Garamond" w:hAnsi="Garamond"/>
              </w:rPr>
              <w:t xml:space="preserve"> de titres  miniers et pétroliers est facilitée </w:t>
            </w:r>
          </w:p>
          <w:p w14:paraId="3E2E4578" w14:textId="77777777" w:rsidR="00144951" w:rsidRPr="00094628" w:rsidRDefault="00144951" w:rsidP="001731C1">
            <w:pPr>
              <w:spacing w:before="120" w:after="120"/>
              <w:rPr>
                <w:rFonts w:ascii="Garamond" w:hAnsi="Garamond"/>
              </w:rPr>
            </w:pPr>
          </w:p>
          <w:p w14:paraId="102BDAAC" w14:textId="77777777" w:rsidR="00144951" w:rsidRPr="00094628" w:rsidRDefault="00144951" w:rsidP="001731C1">
            <w:pPr>
              <w:spacing w:before="120" w:after="120"/>
              <w:rPr>
                <w:rFonts w:ascii="Garamond" w:hAnsi="Garamond"/>
              </w:rPr>
            </w:pPr>
            <w:r w:rsidRPr="00094628">
              <w:rPr>
                <w:rFonts w:ascii="Garamond" w:hAnsi="Garamond"/>
              </w:rPr>
              <w:t>Les sites d’exploitation sont sécurisés</w:t>
            </w:r>
          </w:p>
          <w:p w14:paraId="7D70B64C" w14:textId="77777777" w:rsidR="00144951" w:rsidRPr="00094628" w:rsidRDefault="00144951" w:rsidP="001731C1">
            <w:pPr>
              <w:spacing w:before="120" w:after="120"/>
              <w:rPr>
                <w:rFonts w:ascii="Garamond" w:hAnsi="Garamond"/>
              </w:rPr>
            </w:pPr>
          </w:p>
          <w:p w14:paraId="680E7C31" w14:textId="77777777" w:rsidR="00144951" w:rsidRPr="00094628" w:rsidRDefault="00144951" w:rsidP="001731C1">
            <w:pPr>
              <w:spacing w:before="120" w:after="120"/>
              <w:rPr>
                <w:rFonts w:ascii="Garamond" w:hAnsi="Garamond"/>
              </w:rPr>
            </w:pPr>
            <w:proofErr w:type="gramStart"/>
            <w:r w:rsidRPr="00094628">
              <w:rPr>
                <w:rFonts w:ascii="Garamond" w:hAnsi="Garamond"/>
              </w:rPr>
              <w:t>les</w:t>
            </w:r>
            <w:proofErr w:type="gramEnd"/>
            <w:r w:rsidRPr="00094628">
              <w:rPr>
                <w:rFonts w:ascii="Garamond" w:hAnsi="Garamond"/>
              </w:rPr>
              <w:t xml:space="preserve"> revenus liés à l’attribution de titre minier sont améliorés</w:t>
            </w:r>
          </w:p>
        </w:tc>
        <w:tc>
          <w:tcPr>
            <w:tcW w:w="1418" w:type="dxa"/>
            <w:shd w:val="clear" w:color="auto" w:fill="auto"/>
            <w:vAlign w:val="center"/>
          </w:tcPr>
          <w:p w14:paraId="0EBF43F0" w14:textId="77777777" w:rsidR="00144951" w:rsidRPr="00094628" w:rsidRDefault="00144951" w:rsidP="001731C1">
            <w:pPr>
              <w:spacing w:before="120" w:after="120"/>
              <w:rPr>
                <w:rFonts w:ascii="Garamond" w:hAnsi="Garamond"/>
              </w:rPr>
            </w:pPr>
            <w:r w:rsidRPr="00094628">
              <w:rPr>
                <w:rFonts w:ascii="Garamond" w:hAnsi="Garamond"/>
              </w:rPr>
              <w:t>Mettre en place un cadastre minier performant sous la forme d’un guichet unique pour la délivrance diligente des permis de recherche et autorisations de prospection</w:t>
            </w:r>
          </w:p>
        </w:tc>
        <w:tc>
          <w:tcPr>
            <w:tcW w:w="1417" w:type="dxa"/>
            <w:shd w:val="clear" w:color="auto" w:fill="auto"/>
            <w:vAlign w:val="center"/>
          </w:tcPr>
          <w:p w14:paraId="5A9E0363" w14:textId="77777777" w:rsidR="00144951" w:rsidRPr="00094628" w:rsidRDefault="00144951" w:rsidP="001731C1">
            <w:pPr>
              <w:rPr>
                <w:rFonts w:ascii="Garamond" w:hAnsi="Garamond"/>
                <w:bCs/>
              </w:rPr>
            </w:pPr>
            <w:r w:rsidRPr="00094628">
              <w:rPr>
                <w:rFonts w:ascii="Garamond" w:hAnsi="Garamond"/>
                <w:bCs/>
              </w:rPr>
              <w:t xml:space="preserve">Le cadastre minier est opérationnel </w:t>
            </w:r>
          </w:p>
        </w:tc>
        <w:tc>
          <w:tcPr>
            <w:tcW w:w="993" w:type="dxa"/>
            <w:shd w:val="clear" w:color="auto" w:fill="auto"/>
          </w:tcPr>
          <w:p w14:paraId="7AF4C574" w14:textId="77777777" w:rsidR="00144951" w:rsidRPr="00094628" w:rsidRDefault="00144951" w:rsidP="001731C1">
            <w:pPr>
              <w:rPr>
                <w:rFonts w:ascii="Garamond" w:hAnsi="Garamond"/>
                <w:bCs/>
              </w:rPr>
            </w:pPr>
          </w:p>
        </w:tc>
        <w:tc>
          <w:tcPr>
            <w:tcW w:w="567" w:type="dxa"/>
            <w:shd w:val="clear" w:color="auto" w:fill="auto"/>
          </w:tcPr>
          <w:p w14:paraId="1B47E0D7"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2F894896"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0B269F9"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17985A3D"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4ACA9566"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58D24F95" w14:textId="77777777" w:rsidR="00144951" w:rsidRPr="00094628" w:rsidRDefault="00144951" w:rsidP="001731C1">
            <w:pPr>
              <w:jc w:val="center"/>
              <w:rPr>
                <w:rFonts w:ascii="Garamond" w:hAnsi="Garamond"/>
              </w:rPr>
            </w:pPr>
          </w:p>
        </w:tc>
        <w:tc>
          <w:tcPr>
            <w:tcW w:w="709" w:type="dxa"/>
            <w:shd w:val="clear" w:color="auto" w:fill="auto"/>
          </w:tcPr>
          <w:p w14:paraId="1743E5B1" w14:textId="77777777" w:rsidR="00144951" w:rsidRPr="00094628" w:rsidRDefault="00144951" w:rsidP="001731C1">
            <w:pPr>
              <w:rPr>
                <w:rFonts w:ascii="Garamond" w:hAnsi="Garamond"/>
              </w:rPr>
            </w:pPr>
            <w:r w:rsidRPr="00094628">
              <w:rPr>
                <w:rFonts w:ascii="Garamond" w:hAnsi="Garamond"/>
              </w:rPr>
              <w:t>MM</w:t>
            </w:r>
          </w:p>
        </w:tc>
        <w:tc>
          <w:tcPr>
            <w:tcW w:w="1275" w:type="dxa"/>
            <w:shd w:val="clear" w:color="auto" w:fill="auto"/>
          </w:tcPr>
          <w:p w14:paraId="22CF739F" w14:textId="77777777" w:rsidR="00144951" w:rsidRPr="00094628" w:rsidRDefault="00144951" w:rsidP="001731C1">
            <w:pPr>
              <w:rPr>
                <w:rFonts w:ascii="Garamond" w:hAnsi="Garamond"/>
              </w:rPr>
            </w:pPr>
            <w:r w:rsidRPr="00094628">
              <w:rPr>
                <w:rFonts w:ascii="Garamond" w:hAnsi="Garamond"/>
              </w:rPr>
              <w:t xml:space="preserve">MEF, MEADD, MC, </w:t>
            </w:r>
          </w:p>
          <w:p w14:paraId="0B9356B5" w14:textId="77777777" w:rsidR="00144951" w:rsidRPr="00094628" w:rsidRDefault="00144951" w:rsidP="001731C1">
            <w:pPr>
              <w:rPr>
                <w:rFonts w:ascii="Garamond" w:hAnsi="Garamond"/>
              </w:rPr>
            </w:pPr>
            <w:r w:rsidRPr="00094628">
              <w:rPr>
                <w:rFonts w:ascii="Garamond" w:hAnsi="Garamond"/>
              </w:rPr>
              <w:t xml:space="preserve">Ministère Industrie </w:t>
            </w:r>
          </w:p>
          <w:p w14:paraId="2E721D38" w14:textId="77777777" w:rsidR="00144951" w:rsidRPr="00094628" w:rsidRDefault="00144951" w:rsidP="001731C1">
            <w:pPr>
              <w:rPr>
                <w:rFonts w:ascii="Garamond" w:hAnsi="Garamond"/>
              </w:rPr>
            </w:pPr>
            <w:r w:rsidRPr="00094628">
              <w:rPr>
                <w:rFonts w:ascii="Garamond" w:hAnsi="Garamond"/>
              </w:rPr>
              <w:t>Ministère du secteur privé</w:t>
            </w:r>
          </w:p>
          <w:p w14:paraId="6AD7C169" w14:textId="77777777" w:rsidR="00144951" w:rsidRPr="00094628" w:rsidRDefault="00144951" w:rsidP="001731C1">
            <w:pPr>
              <w:rPr>
                <w:rFonts w:ascii="Garamond" w:hAnsi="Garamond"/>
              </w:rPr>
            </w:pPr>
            <w:proofErr w:type="spellStart"/>
            <w:r w:rsidRPr="00094628">
              <w:rPr>
                <w:rFonts w:ascii="Garamond" w:hAnsi="Garamond"/>
              </w:rPr>
              <w:t>PTFs</w:t>
            </w:r>
            <w:proofErr w:type="spellEnd"/>
          </w:p>
        </w:tc>
        <w:tc>
          <w:tcPr>
            <w:tcW w:w="1134" w:type="dxa"/>
            <w:shd w:val="clear" w:color="auto" w:fill="auto"/>
          </w:tcPr>
          <w:p w14:paraId="7223D1B4"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3C4BF1CB" w14:textId="77777777" w:rsidTr="00144951">
        <w:tc>
          <w:tcPr>
            <w:tcW w:w="1588" w:type="dxa"/>
            <w:vMerge/>
            <w:shd w:val="clear" w:color="auto" w:fill="auto"/>
          </w:tcPr>
          <w:p w14:paraId="61CC97D9"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00EA576C" w14:textId="77777777" w:rsidR="00144951" w:rsidRPr="00094628" w:rsidRDefault="00144951" w:rsidP="001731C1">
            <w:pPr>
              <w:rPr>
                <w:rFonts w:ascii="Garamond" w:hAnsi="Garamond"/>
                <w:bCs/>
              </w:rPr>
            </w:pPr>
          </w:p>
        </w:tc>
        <w:tc>
          <w:tcPr>
            <w:tcW w:w="1134" w:type="dxa"/>
          </w:tcPr>
          <w:p w14:paraId="392879D1" w14:textId="77777777" w:rsidR="00144951" w:rsidRPr="00094628" w:rsidRDefault="00144951" w:rsidP="001731C1">
            <w:pPr>
              <w:rPr>
                <w:rFonts w:ascii="Garamond" w:hAnsi="Garamond"/>
              </w:rPr>
            </w:pPr>
            <w:r w:rsidRPr="00094628">
              <w:rPr>
                <w:rFonts w:ascii="Garamond" w:hAnsi="Garamond"/>
              </w:rPr>
              <w:t xml:space="preserve">Mise en œuvre de l’ITIE est effective </w:t>
            </w:r>
          </w:p>
          <w:p w14:paraId="60D60783" w14:textId="77777777" w:rsidR="00144951" w:rsidRPr="00094628" w:rsidRDefault="00144951" w:rsidP="001731C1">
            <w:pPr>
              <w:rPr>
                <w:rFonts w:ascii="Garamond" w:hAnsi="Garamond"/>
              </w:rPr>
            </w:pPr>
            <w:r w:rsidRPr="00094628">
              <w:rPr>
                <w:rFonts w:ascii="Garamond" w:hAnsi="Garamond"/>
              </w:rPr>
              <w:t>Mise en œuvre du processus de Kimberley est effective</w:t>
            </w:r>
          </w:p>
          <w:p w14:paraId="0DEB27ED" w14:textId="77777777" w:rsidR="00144951" w:rsidRPr="00094628" w:rsidRDefault="00144951" w:rsidP="001731C1">
            <w:pPr>
              <w:rPr>
                <w:rFonts w:ascii="Garamond" w:hAnsi="Garamond"/>
              </w:rPr>
            </w:pPr>
            <w:proofErr w:type="gramStart"/>
            <w:r w:rsidRPr="00094628">
              <w:rPr>
                <w:rFonts w:ascii="Garamond" w:hAnsi="Garamond"/>
              </w:rPr>
              <w:t>l’inspection</w:t>
            </w:r>
            <w:proofErr w:type="gramEnd"/>
            <w:r w:rsidRPr="00094628">
              <w:rPr>
                <w:rFonts w:ascii="Garamond" w:hAnsi="Garamond"/>
              </w:rPr>
              <w:t xml:space="preserve"> des mines est créée et opérationnelle</w:t>
            </w:r>
          </w:p>
        </w:tc>
        <w:tc>
          <w:tcPr>
            <w:tcW w:w="1418" w:type="dxa"/>
            <w:shd w:val="clear" w:color="auto" w:fill="auto"/>
          </w:tcPr>
          <w:p w14:paraId="116761D4" w14:textId="77777777" w:rsidR="00144951" w:rsidRPr="00094628" w:rsidRDefault="00144951" w:rsidP="001731C1">
            <w:pPr>
              <w:rPr>
                <w:rFonts w:ascii="Garamond" w:hAnsi="Garamond"/>
              </w:rPr>
            </w:pPr>
            <w:r w:rsidRPr="00094628">
              <w:rPr>
                <w:rFonts w:ascii="Garamond" w:hAnsi="Garamond"/>
              </w:rPr>
              <w:t xml:space="preserve">Mettre en place des instruments et /ou de méthodes de suivi du circuit de production et de distribution des retombées de l’activité minière </w:t>
            </w:r>
          </w:p>
          <w:p w14:paraId="4620B45E" w14:textId="77777777" w:rsidR="00144951" w:rsidRPr="00094628" w:rsidRDefault="00144951" w:rsidP="001731C1">
            <w:pPr>
              <w:rPr>
                <w:rFonts w:ascii="Garamond" w:hAnsi="Garamond"/>
              </w:rPr>
            </w:pPr>
          </w:p>
        </w:tc>
        <w:tc>
          <w:tcPr>
            <w:tcW w:w="1417" w:type="dxa"/>
            <w:shd w:val="clear" w:color="auto" w:fill="auto"/>
            <w:vAlign w:val="center"/>
          </w:tcPr>
          <w:p w14:paraId="6FB45662" w14:textId="77777777" w:rsidR="00144951" w:rsidRPr="00094628" w:rsidRDefault="00144951" w:rsidP="001731C1">
            <w:pPr>
              <w:rPr>
                <w:rFonts w:ascii="Garamond" w:hAnsi="Garamond"/>
              </w:rPr>
            </w:pPr>
            <w:proofErr w:type="gramStart"/>
            <w:r w:rsidRPr="00094628">
              <w:rPr>
                <w:rFonts w:ascii="Garamond" w:hAnsi="Garamond"/>
              </w:rPr>
              <w:t>Appréciation de ITIE international</w:t>
            </w:r>
            <w:proofErr w:type="gramEnd"/>
          </w:p>
          <w:p w14:paraId="7462DE71" w14:textId="77777777" w:rsidR="00144951" w:rsidRPr="00094628" w:rsidRDefault="00144951" w:rsidP="001731C1">
            <w:pPr>
              <w:rPr>
                <w:rFonts w:ascii="Garamond" w:hAnsi="Garamond"/>
              </w:rPr>
            </w:pPr>
            <w:r w:rsidRPr="00094628">
              <w:rPr>
                <w:rFonts w:ascii="Garamond" w:hAnsi="Garamond"/>
              </w:rPr>
              <w:t>Conformité du Mali aux KPCS</w:t>
            </w:r>
          </w:p>
          <w:p w14:paraId="0FFC842C" w14:textId="77777777" w:rsidR="00144951" w:rsidRPr="00094628" w:rsidRDefault="00144951" w:rsidP="001731C1">
            <w:pPr>
              <w:rPr>
                <w:rFonts w:ascii="Garamond" w:hAnsi="Garamond"/>
              </w:rPr>
            </w:pPr>
            <w:r w:rsidRPr="00094628">
              <w:rPr>
                <w:rFonts w:ascii="Garamond" w:hAnsi="Garamond"/>
              </w:rPr>
              <w:t>Taux de mise en œuvre des recommandations issues des missions de l’Inspection des Mines</w:t>
            </w:r>
          </w:p>
        </w:tc>
        <w:tc>
          <w:tcPr>
            <w:tcW w:w="993" w:type="dxa"/>
            <w:shd w:val="clear" w:color="auto" w:fill="auto"/>
          </w:tcPr>
          <w:p w14:paraId="65674DD8" w14:textId="77777777" w:rsidR="00144951" w:rsidRPr="00094628" w:rsidRDefault="00144951" w:rsidP="001731C1">
            <w:pPr>
              <w:rPr>
                <w:rFonts w:ascii="Garamond" w:hAnsi="Garamond"/>
              </w:rPr>
            </w:pPr>
            <w:r w:rsidRPr="00094628">
              <w:rPr>
                <w:rFonts w:ascii="Garamond" w:hAnsi="Garamond"/>
              </w:rPr>
              <w:t>Rapport de l’ITIE</w:t>
            </w:r>
          </w:p>
          <w:p w14:paraId="47224AB5" w14:textId="77777777" w:rsidR="00144951" w:rsidRPr="00094628" w:rsidRDefault="00144951" w:rsidP="001731C1">
            <w:pPr>
              <w:rPr>
                <w:rFonts w:ascii="Garamond" w:hAnsi="Garamond"/>
              </w:rPr>
            </w:pPr>
          </w:p>
          <w:p w14:paraId="0998E989" w14:textId="77777777" w:rsidR="00144951" w:rsidRPr="00094628" w:rsidRDefault="00144951" w:rsidP="001731C1">
            <w:pPr>
              <w:rPr>
                <w:rFonts w:ascii="Garamond" w:hAnsi="Garamond"/>
              </w:rPr>
            </w:pPr>
            <w:r w:rsidRPr="00094628">
              <w:rPr>
                <w:rFonts w:ascii="Garamond" w:hAnsi="Garamond"/>
              </w:rPr>
              <w:t>Rapport de KPCS</w:t>
            </w:r>
          </w:p>
          <w:p w14:paraId="4A43CFD6" w14:textId="77777777" w:rsidR="00144951" w:rsidRPr="00094628" w:rsidRDefault="00144951" w:rsidP="001731C1">
            <w:pPr>
              <w:rPr>
                <w:rFonts w:ascii="Garamond" w:hAnsi="Garamond"/>
                <w:bCs/>
              </w:rPr>
            </w:pPr>
            <w:r w:rsidRPr="00094628">
              <w:rPr>
                <w:rFonts w:ascii="Garamond" w:hAnsi="Garamond"/>
              </w:rPr>
              <w:t>Rapport annuel de performance du ministère</w:t>
            </w:r>
          </w:p>
        </w:tc>
        <w:tc>
          <w:tcPr>
            <w:tcW w:w="567" w:type="dxa"/>
            <w:shd w:val="clear" w:color="auto" w:fill="auto"/>
          </w:tcPr>
          <w:p w14:paraId="26891EE2"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75728B48"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656386D"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74BF7D65" w14:textId="77777777" w:rsidR="00144951" w:rsidRPr="00094628" w:rsidRDefault="00144951" w:rsidP="001731C1">
            <w:pPr>
              <w:rPr>
                <w:rFonts w:ascii="Garamond" w:hAnsi="Garamond"/>
              </w:rPr>
            </w:pPr>
            <w:r w:rsidRPr="00094628">
              <w:rPr>
                <w:rFonts w:ascii="Garamond" w:hAnsi="Garamond"/>
              </w:rPr>
              <w:t>X</w:t>
            </w:r>
          </w:p>
        </w:tc>
        <w:tc>
          <w:tcPr>
            <w:tcW w:w="425" w:type="dxa"/>
            <w:shd w:val="clear" w:color="auto" w:fill="auto"/>
          </w:tcPr>
          <w:p w14:paraId="713A76B0"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6AE82676" w14:textId="77777777" w:rsidR="00144951" w:rsidRPr="00094628" w:rsidRDefault="00144951" w:rsidP="001731C1">
            <w:pPr>
              <w:jc w:val="center"/>
              <w:rPr>
                <w:rFonts w:ascii="Garamond" w:hAnsi="Garamond"/>
              </w:rPr>
            </w:pPr>
          </w:p>
        </w:tc>
        <w:tc>
          <w:tcPr>
            <w:tcW w:w="709" w:type="dxa"/>
            <w:shd w:val="clear" w:color="auto" w:fill="auto"/>
          </w:tcPr>
          <w:p w14:paraId="671865B1" w14:textId="77777777" w:rsidR="00144951" w:rsidRPr="00094628" w:rsidRDefault="00144951" w:rsidP="001731C1">
            <w:pPr>
              <w:rPr>
                <w:rFonts w:ascii="Garamond" w:hAnsi="Garamond"/>
              </w:rPr>
            </w:pPr>
            <w:r w:rsidRPr="00094628">
              <w:rPr>
                <w:rFonts w:ascii="Garamond" w:hAnsi="Garamond"/>
              </w:rPr>
              <w:t>MM</w:t>
            </w:r>
          </w:p>
        </w:tc>
        <w:tc>
          <w:tcPr>
            <w:tcW w:w="1275" w:type="dxa"/>
            <w:shd w:val="clear" w:color="auto" w:fill="auto"/>
          </w:tcPr>
          <w:p w14:paraId="2E0215A3" w14:textId="77777777" w:rsidR="00144951" w:rsidRPr="00094628" w:rsidRDefault="00144951" w:rsidP="001731C1">
            <w:pPr>
              <w:rPr>
                <w:rFonts w:ascii="Garamond" w:hAnsi="Garamond"/>
              </w:rPr>
            </w:pPr>
            <w:r w:rsidRPr="00094628">
              <w:rPr>
                <w:rFonts w:ascii="Garamond" w:hAnsi="Garamond"/>
              </w:rPr>
              <w:t xml:space="preserve">MEF, MEADD, MC, </w:t>
            </w:r>
          </w:p>
          <w:p w14:paraId="2104DBFE" w14:textId="77777777" w:rsidR="00144951" w:rsidRPr="00094628" w:rsidRDefault="00144951" w:rsidP="001731C1">
            <w:pPr>
              <w:rPr>
                <w:rFonts w:ascii="Garamond" w:hAnsi="Garamond"/>
              </w:rPr>
            </w:pPr>
            <w:r w:rsidRPr="00094628">
              <w:rPr>
                <w:rFonts w:ascii="Garamond" w:hAnsi="Garamond"/>
              </w:rPr>
              <w:t xml:space="preserve">Ministère Industrie </w:t>
            </w:r>
          </w:p>
          <w:p w14:paraId="52786794" w14:textId="77777777" w:rsidR="00144951" w:rsidRPr="00094628" w:rsidRDefault="00144951" w:rsidP="001731C1">
            <w:pPr>
              <w:rPr>
                <w:rFonts w:ascii="Garamond" w:hAnsi="Garamond"/>
              </w:rPr>
            </w:pPr>
            <w:r w:rsidRPr="00094628">
              <w:rPr>
                <w:rFonts w:ascii="Garamond" w:hAnsi="Garamond"/>
              </w:rPr>
              <w:t>Ministère du secteur privé</w:t>
            </w:r>
          </w:p>
          <w:p w14:paraId="702A7D77" w14:textId="77777777" w:rsidR="00144951" w:rsidRPr="00094628" w:rsidRDefault="00144951" w:rsidP="001731C1">
            <w:pPr>
              <w:rPr>
                <w:rFonts w:ascii="Garamond" w:hAnsi="Garamond"/>
              </w:rPr>
            </w:pPr>
            <w:proofErr w:type="spellStart"/>
            <w:r w:rsidRPr="00094628">
              <w:rPr>
                <w:rFonts w:ascii="Garamond" w:hAnsi="Garamond"/>
              </w:rPr>
              <w:t>PTFs</w:t>
            </w:r>
            <w:proofErr w:type="spellEnd"/>
          </w:p>
        </w:tc>
        <w:tc>
          <w:tcPr>
            <w:tcW w:w="1134" w:type="dxa"/>
            <w:shd w:val="clear" w:color="auto" w:fill="auto"/>
          </w:tcPr>
          <w:p w14:paraId="291C433B" w14:textId="77777777" w:rsidR="00144951" w:rsidRPr="00094628" w:rsidRDefault="00144951" w:rsidP="001731C1">
            <w:pPr>
              <w:jc w:val="center"/>
              <w:rPr>
                <w:rFonts w:ascii="Garamond" w:hAnsi="Garamond"/>
              </w:rPr>
            </w:pPr>
            <w:r w:rsidRPr="00094628">
              <w:rPr>
                <w:rFonts w:ascii="Garamond" w:hAnsi="Garamond"/>
              </w:rPr>
              <w:t xml:space="preserve">BE, </w:t>
            </w:r>
            <w:proofErr w:type="spellStart"/>
            <w:r w:rsidRPr="00094628">
              <w:rPr>
                <w:rFonts w:ascii="Garamond" w:hAnsi="Garamond"/>
              </w:rPr>
              <w:t>PTFs</w:t>
            </w:r>
            <w:proofErr w:type="spellEnd"/>
          </w:p>
        </w:tc>
      </w:tr>
      <w:tr w:rsidR="00144951" w:rsidRPr="00094628" w14:paraId="4C553BF5" w14:textId="77777777" w:rsidTr="00144951">
        <w:tc>
          <w:tcPr>
            <w:tcW w:w="1588" w:type="dxa"/>
            <w:vMerge/>
            <w:shd w:val="clear" w:color="auto" w:fill="auto"/>
          </w:tcPr>
          <w:p w14:paraId="4887DDE6"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1F58A2A3" w14:textId="77777777" w:rsidR="00144951" w:rsidRPr="00094628" w:rsidRDefault="00144951" w:rsidP="001731C1">
            <w:pPr>
              <w:rPr>
                <w:rFonts w:ascii="Garamond" w:hAnsi="Garamond"/>
                <w:bCs/>
              </w:rPr>
            </w:pPr>
          </w:p>
        </w:tc>
        <w:tc>
          <w:tcPr>
            <w:tcW w:w="1134" w:type="dxa"/>
          </w:tcPr>
          <w:p w14:paraId="26641824" w14:textId="77777777" w:rsidR="00144951" w:rsidRPr="00094628" w:rsidRDefault="00144951" w:rsidP="001731C1">
            <w:pPr>
              <w:rPr>
                <w:rFonts w:ascii="Garamond" w:hAnsi="Garamond"/>
              </w:rPr>
            </w:pPr>
            <w:r w:rsidRPr="00094628">
              <w:rPr>
                <w:rFonts w:ascii="Garamond" w:hAnsi="Garamond"/>
              </w:rPr>
              <w:t xml:space="preserve">Les communautés hôtes disposent des capacités de négociation, de </w:t>
            </w:r>
            <w:r w:rsidRPr="00094628">
              <w:rPr>
                <w:rFonts w:ascii="Garamond" w:hAnsi="Garamond"/>
              </w:rPr>
              <w:lastRenderedPageBreak/>
              <w:t>suivi et de contrôle</w:t>
            </w:r>
          </w:p>
        </w:tc>
        <w:tc>
          <w:tcPr>
            <w:tcW w:w="1418" w:type="dxa"/>
            <w:shd w:val="clear" w:color="auto" w:fill="auto"/>
            <w:vAlign w:val="center"/>
          </w:tcPr>
          <w:p w14:paraId="68FED725" w14:textId="77777777" w:rsidR="00144951" w:rsidRPr="00094628" w:rsidRDefault="00144951" w:rsidP="001731C1">
            <w:pPr>
              <w:spacing w:before="80" w:after="80"/>
              <w:ind w:right="-108"/>
              <w:rPr>
                <w:rFonts w:ascii="Garamond" w:hAnsi="Garamond"/>
              </w:rPr>
            </w:pPr>
            <w:r w:rsidRPr="00094628">
              <w:rPr>
                <w:rFonts w:ascii="Garamond" w:hAnsi="Garamond"/>
              </w:rPr>
              <w:lastRenderedPageBreak/>
              <w:t xml:space="preserve">Développer et renforcer les capacités de négociation, de suivi et de </w:t>
            </w:r>
            <w:proofErr w:type="gramStart"/>
            <w:r w:rsidRPr="00094628">
              <w:rPr>
                <w:rFonts w:ascii="Garamond" w:hAnsi="Garamond"/>
              </w:rPr>
              <w:t>contrôle  des</w:t>
            </w:r>
            <w:proofErr w:type="gramEnd"/>
            <w:r w:rsidRPr="00094628">
              <w:rPr>
                <w:rFonts w:ascii="Garamond" w:hAnsi="Garamond"/>
              </w:rPr>
              <w:t xml:space="preserve">  communautés hôtes des zones </w:t>
            </w:r>
            <w:r w:rsidRPr="00094628">
              <w:rPr>
                <w:rFonts w:ascii="Garamond" w:hAnsi="Garamond"/>
              </w:rPr>
              <w:lastRenderedPageBreak/>
              <w:t xml:space="preserve">minières et pétrolières </w:t>
            </w:r>
          </w:p>
          <w:p w14:paraId="13909DE1" w14:textId="77777777" w:rsidR="00144951" w:rsidRPr="00094628" w:rsidRDefault="00144951" w:rsidP="001731C1">
            <w:pPr>
              <w:spacing w:before="80" w:after="80"/>
              <w:ind w:right="-108"/>
              <w:rPr>
                <w:rFonts w:ascii="Garamond" w:hAnsi="Garamond"/>
              </w:rPr>
            </w:pPr>
          </w:p>
          <w:p w14:paraId="2E0588BF" w14:textId="77777777" w:rsidR="00144951" w:rsidRPr="00094628" w:rsidRDefault="00144951" w:rsidP="001731C1">
            <w:pPr>
              <w:spacing w:before="80" w:after="80"/>
              <w:ind w:right="-108"/>
              <w:rPr>
                <w:rFonts w:ascii="Garamond" w:hAnsi="Garamond"/>
              </w:rPr>
            </w:pPr>
          </w:p>
        </w:tc>
        <w:tc>
          <w:tcPr>
            <w:tcW w:w="1417" w:type="dxa"/>
            <w:shd w:val="clear" w:color="auto" w:fill="auto"/>
            <w:vAlign w:val="center"/>
          </w:tcPr>
          <w:p w14:paraId="255BD038" w14:textId="77777777" w:rsidR="00144951" w:rsidRPr="00094628" w:rsidRDefault="00144951" w:rsidP="001731C1">
            <w:pPr>
              <w:spacing w:before="80" w:after="80"/>
              <w:ind w:right="-108"/>
              <w:rPr>
                <w:rFonts w:ascii="Garamond" w:hAnsi="Garamond"/>
                <w:bCs/>
              </w:rPr>
            </w:pPr>
            <w:r w:rsidRPr="00094628">
              <w:rPr>
                <w:rFonts w:ascii="Garamond" w:hAnsi="Garamond"/>
                <w:bCs/>
              </w:rPr>
              <w:lastRenderedPageBreak/>
              <w:t xml:space="preserve">Nombre de Leaders communautaires formés en négociation de contrat minier et pétrolier </w:t>
            </w:r>
          </w:p>
          <w:p w14:paraId="4E4FBD19" w14:textId="77777777" w:rsidR="00144951" w:rsidRPr="00094628" w:rsidRDefault="00144951" w:rsidP="001731C1">
            <w:pPr>
              <w:spacing w:before="80" w:after="80"/>
              <w:ind w:right="-108"/>
              <w:rPr>
                <w:rFonts w:ascii="Garamond" w:hAnsi="Garamond"/>
                <w:bCs/>
              </w:rPr>
            </w:pPr>
          </w:p>
          <w:p w14:paraId="6416503B" w14:textId="77777777" w:rsidR="00144951" w:rsidRPr="00094628" w:rsidRDefault="00144951" w:rsidP="001731C1">
            <w:pPr>
              <w:spacing w:before="80" w:after="80"/>
              <w:ind w:right="-108"/>
              <w:rPr>
                <w:rFonts w:ascii="Garamond" w:hAnsi="Garamond"/>
                <w:bCs/>
              </w:rPr>
            </w:pPr>
            <w:r w:rsidRPr="00094628">
              <w:rPr>
                <w:rFonts w:ascii="Garamond" w:hAnsi="Garamond"/>
                <w:bCs/>
              </w:rPr>
              <w:lastRenderedPageBreak/>
              <w:t>Nombre de contrats conformes aux normes de gestion équitable des ressources</w:t>
            </w:r>
          </w:p>
        </w:tc>
        <w:tc>
          <w:tcPr>
            <w:tcW w:w="993" w:type="dxa"/>
            <w:shd w:val="clear" w:color="auto" w:fill="auto"/>
          </w:tcPr>
          <w:p w14:paraId="4710D3B4" w14:textId="77777777" w:rsidR="00144951" w:rsidRPr="00094628" w:rsidRDefault="00144951" w:rsidP="001731C1">
            <w:pPr>
              <w:rPr>
                <w:rFonts w:ascii="Garamond" w:hAnsi="Garamond"/>
              </w:rPr>
            </w:pPr>
            <w:r w:rsidRPr="00094628">
              <w:rPr>
                <w:rFonts w:ascii="Garamond" w:hAnsi="Garamond"/>
              </w:rPr>
              <w:lastRenderedPageBreak/>
              <w:t>Rapport de formation de leaders communautaires</w:t>
            </w:r>
          </w:p>
          <w:p w14:paraId="6B968C49" w14:textId="77777777" w:rsidR="00144951" w:rsidRPr="00094628" w:rsidRDefault="00144951" w:rsidP="001731C1">
            <w:pPr>
              <w:rPr>
                <w:rFonts w:ascii="Garamond" w:hAnsi="Garamond"/>
              </w:rPr>
            </w:pPr>
          </w:p>
          <w:p w14:paraId="0990BBF1" w14:textId="77777777" w:rsidR="00144951" w:rsidRPr="00094628" w:rsidRDefault="00144951" w:rsidP="001731C1">
            <w:pPr>
              <w:rPr>
                <w:rFonts w:ascii="Garamond" w:hAnsi="Garamond"/>
              </w:rPr>
            </w:pPr>
          </w:p>
          <w:p w14:paraId="1086C3ED" w14:textId="77777777" w:rsidR="00144951" w:rsidRPr="00094628" w:rsidRDefault="00144951" w:rsidP="001731C1">
            <w:pPr>
              <w:rPr>
                <w:rFonts w:ascii="Garamond" w:hAnsi="Garamond"/>
              </w:rPr>
            </w:pPr>
            <w:r w:rsidRPr="00094628">
              <w:rPr>
                <w:rFonts w:ascii="Garamond" w:hAnsi="Garamond"/>
              </w:rPr>
              <w:lastRenderedPageBreak/>
              <w:t>Rapport annuel de performance du ministère</w:t>
            </w:r>
          </w:p>
        </w:tc>
        <w:tc>
          <w:tcPr>
            <w:tcW w:w="567" w:type="dxa"/>
            <w:shd w:val="clear" w:color="auto" w:fill="auto"/>
          </w:tcPr>
          <w:p w14:paraId="1D17177E" w14:textId="77777777" w:rsidR="00144951" w:rsidRPr="00094628" w:rsidRDefault="00144951" w:rsidP="001731C1">
            <w:pPr>
              <w:jc w:val="center"/>
              <w:rPr>
                <w:rFonts w:ascii="Garamond" w:hAnsi="Garamond"/>
              </w:rPr>
            </w:pPr>
            <w:r w:rsidRPr="00094628">
              <w:rPr>
                <w:rFonts w:ascii="Garamond" w:hAnsi="Garamond"/>
              </w:rPr>
              <w:lastRenderedPageBreak/>
              <w:t>X</w:t>
            </w:r>
          </w:p>
        </w:tc>
        <w:tc>
          <w:tcPr>
            <w:tcW w:w="567" w:type="dxa"/>
            <w:shd w:val="clear" w:color="auto" w:fill="auto"/>
          </w:tcPr>
          <w:p w14:paraId="19ECFFB0"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3419BE48"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AA5A499"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1FA8769F"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1CDB80F7" w14:textId="77777777" w:rsidR="00144951" w:rsidRPr="00094628" w:rsidRDefault="00144951" w:rsidP="001731C1">
            <w:pPr>
              <w:jc w:val="center"/>
              <w:rPr>
                <w:rFonts w:ascii="Garamond" w:hAnsi="Garamond"/>
              </w:rPr>
            </w:pPr>
          </w:p>
        </w:tc>
        <w:tc>
          <w:tcPr>
            <w:tcW w:w="709" w:type="dxa"/>
            <w:shd w:val="clear" w:color="auto" w:fill="auto"/>
          </w:tcPr>
          <w:p w14:paraId="2BEF36FC" w14:textId="77777777" w:rsidR="00144951" w:rsidRPr="00094628" w:rsidRDefault="00144951" w:rsidP="001731C1">
            <w:pPr>
              <w:rPr>
                <w:rFonts w:ascii="Garamond" w:hAnsi="Garamond"/>
              </w:rPr>
            </w:pPr>
            <w:r w:rsidRPr="00094628">
              <w:rPr>
                <w:rFonts w:ascii="Garamond" w:hAnsi="Garamond"/>
              </w:rPr>
              <w:t>MM</w:t>
            </w:r>
          </w:p>
        </w:tc>
        <w:tc>
          <w:tcPr>
            <w:tcW w:w="1275" w:type="dxa"/>
            <w:shd w:val="clear" w:color="auto" w:fill="auto"/>
          </w:tcPr>
          <w:p w14:paraId="131D1E51" w14:textId="77777777" w:rsidR="00144951" w:rsidRPr="00094628" w:rsidRDefault="00144951" w:rsidP="001731C1">
            <w:pPr>
              <w:rPr>
                <w:rFonts w:ascii="Garamond" w:hAnsi="Garamond"/>
              </w:rPr>
            </w:pPr>
            <w:r w:rsidRPr="00094628">
              <w:rPr>
                <w:rFonts w:ascii="Garamond" w:hAnsi="Garamond"/>
              </w:rPr>
              <w:t xml:space="preserve">MEF, MEADD, MC, </w:t>
            </w:r>
          </w:p>
          <w:p w14:paraId="5F20C8D0" w14:textId="77777777" w:rsidR="00144951" w:rsidRPr="00094628" w:rsidRDefault="00144951" w:rsidP="001731C1">
            <w:pPr>
              <w:rPr>
                <w:rFonts w:ascii="Garamond" w:hAnsi="Garamond"/>
              </w:rPr>
            </w:pPr>
            <w:r w:rsidRPr="00094628">
              <w:rPr>
                <w:rFonts w:ascii="Garamond" w:hAnsi="Garamond"/>
              </w:rPr>
              <w:t xml:space="preserve">Ministère Industrie </w:t>
            </w:r>
          </w:p>
          <w:p w14:paraId="07C4C708" w14:textId="77777777" w:rsidR="00144951" w:rsidRPr="00094628" w:rsidRDefault="00144951" w:rsidP="001731C1">
            <w:pPr>
              <w:rPr>
                <w:rFonts w:ascii="Garamond" w:hAnsi="Garamond"/>
              </w:rPr>
            </w:pPr>
            <w:r w:rsidRPr="00094628">
              <w:rPr>
                <w:rFonts w:ascii="Garamond" w:hAnsi="Garamond"/>
              </w:rPr>
              <w:t>Ministère du secteur privé</w:t>
            </w:r>
          </w:p>
          <w:p w14:paraId="23142DDD" w14:textId="77777777" w:rsidR="00144951" w:rsidRPr="00094628" w:rsidRDefault="00144951" w:rsidP="001731C1">
            <w:pPr>
              <w:rPr>
                <w:rFonts w:ascii="Garamond" w:hAnsi="Garamond"/>
              </w:rPr>
            </w:pPr>
            <w:proofErr w:type="spellStart"/>
            <w:r w:rsidRPr="00094628">
              <w:rPr>
                <w:rFonts w:ascii="Garamond" w:hAnsi="Garamond"/>
              </w:rPr>
              <w:t>PTFs</w:t>
            </w:r>
            <w:proofErr w:type="spellEnd"/>
          </w:p>
        </w:tc>
        <w:tc>
          <w:tcPr>
            <w:tcW w:w="1134" w:type="dxa"/>
            <w:shd w:val="clear" w:color="auto" w:fill="auto"/>
          </w:tcPr>
          <w:p w14:paraId="5830345A" w14:textId="77777777" w:rsidR="00144951" w:rsidRPr="00094628" w:rsidRDefault="00144951" w:rsidP="001731C1">
            <w:pPr>
              <w:jc w:val="center"/>
              <w:rPr>
                <w:rFonts w:ascii="Garamond" w:hAnsi="Garamond"/>
              </w:rPr>
            </w:pPr>
            <w:r w:rsidRPr="00094628">
              <w:rPr>
                <w:rFonts w:ascii="Garamond" w:hAnsi="Garamond"/>
              </w:rPr>
              <w:t>BE</w:t>
            </w:r>
          </w:p>
        </w:tc>
      </w:tr>
      <w:tr w:rsidR="00144951" w:rsidRPr="00094628" w14:paraId="1080166E" w14:textId="77777777" w:rsidTr="00144951">
        <w:tc>
          <w:tcPr>
            <w:tcW w:w="1588" w:type="dxa"/>
            <w:vMerge/>
            <w:shd w:val="clear" w:color="auto" w:fill="auto"/>
          </w:tcPr>
          <w:p w14:paraId="7CEA08FB"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3967835D" w14:textId="77777777" w:rsidR="00144951" w:rsidRPr="00094628" w:rsidRDefault="00144951" w:rsidP="001731C1">
            <w:pPr>
              <w:rPr>
                <w:rFonts w:ascii="Garamond" w:hAnsi="Garamond"/>
                <w:bCs/>
              </w:rPr>
            </w:pPr>
          </w:p>
        </w:tc>
        <w:tc>
          <w:tcPr>
            <w:tcW w:w="1134" w:type="dxa"/>
          </w:tcPr>
          <w:p w14:paraId="53275C21" w14:textId="77777777" w:rsidR="00144951" w:rsidRPr="00094628" w:rsidRDefault="00144951" w:rsidP="001731C1">
            <w:pPr>
              <w:rPr>
                <w:rFonts w:ascii="Garamond" w:hAnsi="Garamond"/>
              </w:rPr>
            </w:pPr>
            <w:r w:rsidRPr="00094628">
              <w:rPr>
                <w:rFonts w:ascii="Garamond" w:hAnsi="Garamond"/>
              </w:rPr>
              <w:t>Une société de gestion du patrimoine de l’Etat dans le secteur minier est créée et fonctionnelle</w:t>
            </w:r>
          </w:p>
          <w:p w14:paraId="2806338F" w14:textId="77777777" w:rsidR="00144951" w:rsidRPr="00094628" w:rsidRDefault="00144951" w:rsidP="001731C1">
            <w:pPr>
              <w:rPr>
                <w:rFonts w:ascii="Garamond" w:hAnsi="Garamond"/>
              </w:rPr>
            </w:pPr>
          </w:p>
        </w:tc>
        <w:tc>
          <w:tcPr>
            <w:tcW w:w="1418" w:type="dxa"/>
            <w:vMerge w:val="restart"/>
            <w:shd w:val="clear" w:color="auto" w:fill="auto"/>
            <w:vAlign w:val="center"/>
          </w:tcPr>
          <w:p w14:paraId="10F4B910" w14:textId="77777777" w:rsidR="00144951" w:rsidRPr="00094628" w:rsidRDefault="00144951" w:rsidP="001731C1">
            <w:pPr>
              <w:spacing w:before="80" w:after="80"/>
              <w:ind w:right="-108"/>
              <w:rPr>
                <w:rFonts w:ascii="Garamond" w:hAnsi="Garamond"/>
              </w:rPr>
            </w:pPr>
            <w:r w:rsidRPr="00094628">
              <w:rPr>
                <w:rFonts w:ascii="Garamond" w:hAnsi="Garamond"/>
              </w:rPr>
              <w:t xml:space="preserve">Développer des stratégies de maximisation de la participation de l’Etat dans le capital des sociétés minières </w:t>
            </w:r>
          </w:p>
        </w:tc>
        <w:tc>
          <w:tcPr>
            <w:tcW w:w="1417" w:type="dxa"/>
            <w:shd w:val="clear" w:color="auto" w:fill="auto"/>
            <w:vAlign w:val="center"/>
          </w:tcPr>
          <w:p w14:paraId="176C5290" w14:textId="77777777" w:rsidR="00144951" w:rsidRPr="00094628" w:rsidRDefault="00144951" w:rsidP="001731C1">
            <w:pPr>
              <w:spacing w:before="80" w:after="80"/>
              <w:ind w:right="-108"/>
              <w:rPr>
                <w:rFonts w:ascii="Garamond" w:hAnsi="Garamond"/>
              </w:rPr>
            </w:pPr>
            <w:r w:rsidRPr="00094628">
              <w:rPr>
                <w:rFonts w:ascii="Garamond" w:hAnsi="Garamond"/>
              </w:rPr>
              <w:t xml:space="preserve">Le niveau d’accroissement du revenu de l’Etat dans les activités minières lié à la nouvelle société de patrimoine  </w:t>
            </w:r>
          </w:p>
        </w:tc>
        <w:tc>
          <w:tcPr>
            <w:tcW w:w="993" w:type="dxa"/>
            <w:shd w:val="clear" w:color="auto" w:fill="auto"/>
          </w:tcPr>
          <w:p w14:paraId="31A8172F" w14:textId="77777777" w:rsidR="00144951" w:rsidRPr="00094628" w:rsidRDefault="00144951" w:rsidP="001731C1">
            <w:pPr>
              <w:rPr>
                <w:rFonts w:ascii="Garamond" w:hAnsi="Garamond"/>
              </w:rPr>
            </w:pPr>
            <w:r w:rsidRPr="00094628">
              <w:rPr>
                <w:rFonts w:ascii="Garamond" w:hAnsi="Garamond"/>
              </w:rPr>
              <w:t>Rapport d’activités de la société de gestion du patrimoine de l’Etat</w:t>
            </w:r>
          </w:p>
        </w:tc>
        <w:tc>
          <w:tcPr>
            <w:tcW w:w="567" w:type="dxa"/>
            <w:shd w:val="clear" w:color="auto" w:fill="auto"/>
          </w:tcPr>
          <w:p w14:paraId="188E3ABF"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23706E9B"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2B4FF325"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352FAD2E"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01139648"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6778F017" w14:textId="77777777" w:rsidR="00144951" w:rsidRPr="00094628" w:rsidRDefault="00144951" w:rsidP="001731C1">
            <w:pPr>
              <w:jc w:val="center"/>
              <w:rPr>
                <w:rFonts w:ascii="Garamond" w:hAnsi="Garamond"/>
              </w:rPr>
            </w:pPr>
          </w:p>
        </w:tc>
        <w:tc>
          <w:tcPr>
            <w:tcW w:w="709" w:type="dxa"/>
            <w:shd w:val="clear" w:color="auto" w:fill="auto"/>
          </w:tcPr>
          <w:p w14:paraId="259F9B71" w14:textId="77777777" w:rsidR="00144951" w:rsidRPr="00094628" w:rsidRDefault="00144951" w:rsidP="001731C1">
            <w:pPr>
              <w:rPr>
                <w:rFonts w:ascii="Garamond" w:hAnsi="Garamond"/>
              </w:rPr>
            </w:pPr>
            <w:r w:rsidRPr="00094628">
              <w:rPr>
                <w:rFonts w:ascii="Garamond" w:hAnsi="Garamond"/>
              </w:rPr>
              <w:t>MM</w:t>
            </w:r>
          </w:p>
        </w:tc>
        <w:tc>
          <w:tcPr>
            <w:tcW w:w="1275" w:type="dxa"/>
            <w:shd w:val="clear" w:color="auto" w:fill="auto"/>
          </w:tcPr>
          <w:p w14:paraId="771B115E" w14:textId="77777777" w:rsidR="00144951" w:rsidRPr="00094628" w:rsidRDefault="00144951" w:rsidP="001731C1">
            <w:pPr>
              <w:rPr>
                <w:rFonts w:ascii="Garamond" w:hAnsi="Garamond"/>
              </w:rPr>
            </w:pPr>
            <w:r w:rsidRPr="00094628">
              <w:rPr>
                <w:rFonts w:ascii="Garamond" w:hAnsi="Garamond"/>
              </w:rPr>
              <w:t xml:space="preserve">MEF, MEADD, MC, </w:t>
            </w:r>
          </w:p>
          <w:p w14:paraId="647642C0" w14:textId="77777777" w:rsidR="00144951" w:rsidRPr="00094628" w:rsidRDefault="00144951" w:rsidP="001731C1">
            <w:pPr>
              <w:rPr>
                <w:rFonts w:ascii="Garamond" w:hAnsi="Garamond"/>
              </w:rPr>
            </w:pPr>
            <w:r w:rsidRPr="00094628">
              <w:rPr>
                <w:rFonts w:ascii="Garamond" w:hAnsi="Garamond"/>
              </w:rPr>
              <w:t xml:space="preserve">Ministère Industrie </w:t>
            </w:r>
          </w:p>
          <w:p w14:paraId="27EBA67A" w14:textId="77777777" w:rsidR="00144951" w:rsidRPr="00094628" w:rsidRDefault="00144951" w:rsidP="001731C1">
            <w:pPr>
              <w:rPr>
                <w:rFonts w:ascii="Garamond" w:hAnsi="Garamond"/>
              </w:rPr>
            </w:pPr>
            <w:r w:rsidRPr="00094628">
              <w:rPr>
                <w:rFonts w:ascii="Garamond" w:hAnsi="Garamond"/>
              </w:rPr>
              <w:t>Ministère du secteur privé</w:t>
            </w:r>
          </w:p>
          <w:p w14:paraId="165E7149" w14:textId="77777777" w:rsidR="00144951" w:rsidRPr="00094628" w:rsidRDefault="00144951" w:rsidP="001731C1">
            <w:pPr>
              <w:rPr>
                <w:rFonts w:ascii="Garamond" w:hAnsi="Garamond"/>
              </w:rPr>
            </w:pPr>
            <w:proofErr w:type="spellStart"/>
            <w:r w:rsidRPr="00094628">
              <w:rPr>
                <w:rFonts w:ascii="Garamond" w:hAnsi="Garamond"/>
              </w:rPr>
              <w:t>PTFs</w:t>
            </w:r>
            <w:proofErr w:type="spellEnd"/>
          </w:p>
        </w:tc>
        <w:tc>
          <w:tcPr>
            <w:tcW w:w="1134" w:type="dxa"/>
            <w:shd w:val="clear" w:color="auto" w:fill="auto"/>
          </w:tcPr>
          <w:p w14:paraId="402CC4A0"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6B506319" w14:textId="77777777" w:rsidTr="00144951">
        <w:tc>
          <w:tcPr>
            <w:tcW w:w="1588" w:type="dxa"/>
            <w:vMerge/>
            <w:shd w:val="clear" w:color="auto" w:fill="auto"/>
          </w:tcPr>
          <w:p w14:paraId="1CE92772"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379AFDB5" w14:textId="77777777" w:rsidR="00144951" w:rsidRPr="00094628" w:rsidRDefault="00144951" w:rsidP="001731C1">
            <w:pPr>
              <w:rPr>
                <w:rFonts w:ascii="Garamond" w:hAnsi="Garamond"/>
                <w:bCs/>
              </w:rPr>
            </w:pPr>
          </w:p>
        </w:tc>
        <w:tc>
          <w:tcPr>
            <w:tcW w:w="1134" w:type="dxa"/>
          </w:tcPr>
          <w:p w14:paraId="5003D28F" w14:textId="77777777" w:rsidR="00144951" w:rsidRPr="00094628" w:rsidRDefault="00144951" w:rsidP="001731C1">
            <w:pPr>
              <w:rPr>
                <w:rFonts w:ascii="Garamond" w:hAnsi="Garamond"/>
              </w:rPr>
            </w:pPr>
            <w:proofErr w:type="gramStart"/>
            <w:r w:rsidRPr="00094628">
              <w:rPr>
                <w:rFonts w:ascii="Garamond" w:hAnsi="Garamond"/>
              </w:rPr>
              <w:t>la</w:t>
            </w:r>
            <w:proofErr w:type="gramEnd"/>
            <w:r w:rsidRPr="00094628">
              <w:rPr>
                <w:rFonts w:ascii="Garamond" w:hAnsi="Garamond"/>
              </w:rPr>
              <w:t xml:space="preserve"> participation de l’Etat au capital des </w:t>
            </w:r>
            <w:r w:rsidRPr="00094628">
              <w:rPr>
                <w:rFonts w:ascii="Garamond" w:hAnsi="Garamond"/>
              </w:rPr>
              <w:lastRenderedPageBreak/>
              <w:t>sociétés minières</w:t>
            </w:r>
          </w:p>
        </w:tc>
        <w:tc>
          <w:tcPr>
            <w:tcW w:w="1418" w:type="dxa"/>
            <w:vMerge/>
            <w:shd w:val="clear" w:color="auto" w:fill="auto"/>
            <w:vAlign w:val="center"/>
          </w:tcPr>
          <w:p w14:paraId="3DB18E91" w14:textId="77777777" w:rsidR="00144951" w:rsidRPr="00094628" w:rsidRDefault="00144951" w:rsidP="001731C1">
            <w:pPr>
              <w:rPr>
                <w:rFonts w:ascii="Garamond" w:hAnsi="Garamond"/>
                <w:bCs/>
              </w:rPr>
            </w:pPr>
          </w:p>
        </w:tc>
        <w:tc>
          <w:tcPr>
            <w:tcW w:w="1417" w:type="dxa"/>
            <w:shd w:val="clear" w:color="auto" w:fill="auto"/>
            <w:vAlign w:val="center"/>
          </w:tcPr>
          <w:p w14:paraId="5FB7299D" w14:textId="77777777" w:rsidR="00144951" w:rsidRPr="00094628" w:rsidRDefault="00144951" w:rsidP="001731C1">
            <w:pPr>
              <w:spacing w:before="80" w:after="80"/>
              <w:ind w:right="-108"/>
              <w:rPr>
                <w:rFonts w:ascii="Garamond" w:hAnsi="Garamond"/>
              </w:rPr>
            </w:pPr>
            <w:r w:rsidRPr="00094628">
              <w:rPr>
                <w:rFonts w:ascii="Garamond" w:hAnsi="Garamond"/>
              </w:rPr>
              <w:t xml:space="preserve">Pourcentage de capital détenu par l’Etat dans le capital des </w:t>
            </w:r>
            <w:r w:rsidRPr="00094628">
              <w:rPr>
                <w:rFonts w:ascii="Garamond" w:hAnsi="Garamond"/>
              </w:rPr>
              <w:lastRenderedPageBreak/>
              <w:t xml:space="preserve">sociétés minières </w:t>
            </w:r>
          </w:p>
        </w:tc>
        <w:tc>
          <w:tcPr>
            <w:tcW w:w="993" w:type="dxa"/>
            <w:shd w:val="clear" w:color="auto" w:fill="auto"/>
          </w:tcPr>
          <w:p w14:paraId="10C45D2E" w14:textId="77777777" w:rsidR="00144951" w:rsidRPr="00094628" w:rsidRDefault="00144951" w:rsidP="001731C1">
            <w:pPr>
              <w:rPr>
                <w:rFonts w:ascii="Garamond" w:hAnsi="Garamond"/>
              </w:rPr>
            </w:pPr>
            <w:r w:rsidRPr="00094628">
              <w:rPr>
                <w:rFonts w:ascii="Garamond" w:hAnsi="Garamond"/>
              </w:rPr>
              <w:lastRenderedPageBreak/>
              <w:t xml:space="preserve">Rapport d’activités de la société de gestion </w:t>
            </w:r>
            <w:r w:rsidRPr="00094628">
              <w:rPr>
                <w:rFonts w:ascii="Garamond" w:hAnsi="Garamond"/>
              </w:rPr>
              <w:lastRenderedPageBreak/>
              <w:t>du patrimoine de l’Etat</w:t>
            </w:r>
          </w:p>
        </w:tc>
        <w:tc>
          <w:tcPr>
            <w:tcW w:w="567" w:type="dxa"/>
            <w:shd w:val="clear" w:color="auto" w:fill="auto"/>
          </w:tcPr>
          <w:p w14:paraId="58376BD3" w14:textId="77777777" w:rsidR="00144951" w:rsidRPr="00094628" w:rsidRDefault="00144951" w:rsidP="001731C1">
            <w:pPr>
              <w:jc w:val="center"/>
              <w:rPr>
                <w:rFonts w:ascii="Garamond" w:hAnsi="Garamond"/>
              </w:rPr>
            </w:pPr>
            <w:r w:rsidRPr="00094628">
              <w:rPr>
                <w:rFonts w:ascii="Garamond" w:hAnsi="Garamond"/>
              </w:rPr>
              <w:lastRenderedPageBreak/>
              <w:t>X</w:t>
            </w:r>
          </w:p>
        </w:tc>
        <w:tc>
          <w:tcPr>
            <w:tcW w:w="567" w:type="dxa"/>
            <w:shd w:val="clear" w:color="auto" w:fill="auto"/>
          </w:tcPr>
          <w:p w14:paraId="61306DBE"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9EF080A"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02141E56"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8DC6D48"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1B594B29" w14:textId="77777777" w:rsidR="00144951" w:rsidRPr="00094628" w:rsidRDefault="00144951" w:rsidP="001731C1">
            <w:pPr>
              <w:jc w:val="center"/>
              <w:rPr>
                <w:rFonts w:ascii="Garamond" w:hAnsi="Garamond"/>
              </w:rPr>
            </w:pPr>
          </w:p>
        </w:tc>
        <w:tc>
          <w:tcPr>
            <w:tcW w:w="709" w:type="dxa"/>
            <w:shd w:val="clear" w:color="auto" w:fill="auto"/>
          </w:tcPr>
          <w:p w14:paraId="4BA532DE" w14:textId="77777777" w:rsidR="00144951" w:rsidRPr="00094628" w:rsidRDefault="00144951" w:rsidP="001731C1">
            <w:pPr>
              <w:rPr>
                <w:rFonts w:ascii="Garamond" w:hAnsi="Garamond"/>
              </w:rPr>
            </w:pPr>
            <w:r w:rsidRPr="00094628">
              <w:rPr>
                <w:rFonts w:ascii="Garamond" w:hAnsi="Garamond"/>
              </w:rPr>
              <w:t>MM</w:t>
            </w:r>
          </w:p>
        </w:tc>
        <w:tc>
          <w:tcPr>
            <w:tcW w:w="1275" w:type="dxa"/>
            <w:shd w:val="clear" w:color="auto" w:fill="auto"/>
          </w:tcPr>
          <w:p w14:paraId="1B9D59B9" w14:textId="77777777" w:rsidR="00144951" w:rsidRPr="00094628" w:rsidRDefault="00144951" w:rsidP="001731C1">
            <w:pPr>
              <w:rPr>
                <w:rFonts w:ascii="Garamond" w:hAnsi="Garamond"/>
              </w:rPr>
            </w:pPr>
            <w:r w:rsidRPr="00094628">
              <w:rPr>
                <w:rFonts w:ascii="Garamond" w:hAnsi="Garamond"/>
              </w:rPr>
              <w:t xml:space="preserve">MEF, MEADD, MC, </w:t>
            </w:r>
          </w:p>
          <w:p w14:paraId="7E87D755" w14:textId="77777777" w:rsidR="00144951" w:rsidRPr="00094628" w:rsidRDefault="00144951" w:rsidP="001731C1">
            <w:pPr>
              <w:rPr>
                <w:rFonts w:ascii="Garamond" w:hAnsi="Garamond"/>
              </w:rPr>
            </w:pPr>
            <w:r w:rsidRPr="00094628">
              <w:rPr>
                <w:rFonts w:ascii="Garamond" w:hAnsi="Garamond"/>
              </w:rPr>
              <w:t xml:space="preserve">Ministère Industrie </w:t>
            </w:r>
          </w:p>
          <w:p w14:paraId="3C5CE2DF" w14:textId="77777777" w:rsidR="00144951" w:rsidRPr="00094628" w:rsidRDefault="00144951" w:rsidP="001731C1">
            <w:pPr>
              <w:rPr>
                <w:rFonts w:ascii="Garamond" w:hAnsi="Garamond"/>
              </w:rPr>
            </w:pPr>
            <w:r w:rsidRPr="00094628">
              <w:rPr>
                <w:rFonts w:ascii="Garamond" w:hAnsi="Garamond"/>
              </w:rPr>
              <w:lastRenderedPageBreak/>
              <w:t>Ministère du secteur privé</w:t>
            </w:r>
          </w:p>
          <w:p w14:paraId="52785CC0" w14:textId="77777777" w:rsidR="00144951" w:rsidRPr="00094628" w:rsidRDefault="00144951" w:rsidP="001731C1">
            <w:pPr>
              <w:rPr>
                <w:rFonts w:ascii="Garamond" w:hAnsi="Garamond"/>
              </w:rPr>
            </w:pPr>
            <w:proofErr w:type="spellStart"/>
            <w:r w:rsidRPr="00094628">
              <w:rPr>
                <w:rFonts w:ascii="Garamond" w:hAnsi="Garamond"/>
              </w:rPr>
              <w:t>PTFs</w:t>
            </w:r>
            <w:proofErr w:type="spellEnd"/>
          </w:p>
        </w:tc>
        <w:tc>
          <w:tcPr>
            <w:tcW w:w="1134" w:type="dxa"/>
            <w:shd w:val="clear" w:color="auto" w:fill="auto"/>
          </w:tcPr>
          <w:p w14:paraId="6E8B267C" w14:textId="77777777" w:rsidR="00144951" w:rsidRPr="00094628" w:rsidRDefault="00144951" w:rsidP="001731C1">
            <w:pPr>
              <w:rPr>
                <w:rFonts w:ascii="Garamond" w:hAnsi="Garamond"/>
              </w:rPr>
            </w:pPr>
            <w:r w:rsidRPr="00094628">
              <w:rPr>
                <w:rFonts w:ascii="Garamond" w:hAnsi="Garamond"/>
              </w:rPr>
              <w:lastRenderedPageBreak/>
              <w:t>BE</w:t>
            </w:r>
          </w:p>
        </w:tc>
      </w:tr>
      <w:tr w:rsidR="00144951" w:rsidRPr="00094628" w14:paraId="70B135C4" w14:textId="77777777" w:rsidTr="00144951">
        <w:tc>
          <w:tcPr>
            <w:tcW w:w="1588" w:type="dxa"/>
            <w:vMerge w:val="restart"/>
            <w:shd w:val="clear" w:color="auto" w:fill="auto"/>
          </w:tcPr>
          <w:p w14:paraId="05F6A042" w14:textId="65B4029D" w:rsidR="00144951" w:rsidRPr="00094628" w:rsidRDefault="00144951" w:rsidP="001731C1">
            <w:pPr>
              <w:rPr>
                <w:rFonts w:ascii="Garamond" w:hAnsi="Garamond"/>
              </w:rPr>
            </w:pPr>
            <w:bookmarkStart w:id="18" w:name="_Toc459574060"/>
            <w:r w:rsidRPr="00094628">
              <w:rPr>
                <w:rFonts w:ascii="Garamond" w:hAnsi="Garamond"/>
                <w:bCs/>
              </w:rPr>
              <w:t>Objectifs spécifiques</w:t>
            </w:r>
            <w:r w:rsidRPr="00094628">
              <w:rPr>
                <w:rFonts w:ascii="Garamond" w:hAnsi="Garamond"/>
              </w:rPr>
              <w:t xml:space="preserve"> 2. </w:t>
            </w:r>
            <w:bookmarkEnd w:id="18"/>
            <w:r w:rsidRPr="00094628">
              <w:rPr>
                <w:rFonts w:ascii="Garamond" w:hAnsi="Garamond"/>
              </w:rPr>
              <w:t xml:space="preserve">Doter le Mali d’une base de données et d’un système d’information géo scientifique performant </w:t>
            </w:r>
          </w:p>
        </w:tc>
        <w:tc>
          <w:tcPr>
            <w:tcW w:w="1701" w:type="dxa"/>
            <w:vMerge w:val="restart"/>
            <w:shd w:val="clear" w:color="auto" w:fill="auto"/>
          </w:tcPr>
          <w:p w14:paraId="616EC649" w14:textId="77777777" w:rsidR="00144951" w:rsidRPr="00094628" w:rsidRDefault="00144951" w:rsidP="001731C1">
            <w:pPr>
              <w:rPr>
                <w:rFonts w:ascii="Garamond" w:hAnsi="Garamond"/>
              </w:rPr>
            </w:pPr>
            <w:r w:rsidRPr="00094628">
              <w:rPr>
                <w:rFonts w:ascii="Garamond" w:hAnsi="Garamond"/>
              </w:rPr>
              <w:t>Axe stratégique 2 : l’optimisation de l’exploitation du potentiel minier malien dans l’espace et dans le temps</w:t>
            </w:r>
          </w:p>
        </w:tc>
        <w:tc>
          <w:tcPr>
            <w:tcW w:w="1134" w:type="dxa"/>
          </w:tcPr>
          <w:p w14:paraId="71B9D534" w14:textId="77777777" w:rsidR="00144951" w:rsidRPr="00094628" w:rsidRDefault="00144951" w:rsidP="001731C1">
            <w:pPr>
              <w:rPr>
                <w:rFonts w:ascii="Garamond" w:hAnsi="Garamond"/>
              </w:rPr>
            </w:pPr>
            <w:proofErr w:type="gramStart"/>
            <w:r w:rsidRPr="00094628">
              <w:rPr>
                <w:rFonts w:ascii="Garamond" w:hAnsi="Garamond"/>
              </w:rPr>
              <w:t>de</w:t>
            </w:r>
            <w:proofErr w:type="gramEnd"/>
            <w:r w:rsidRPr="00094628">
              <w:rPr>
                <w:rFonts w:ascii="Garamond" w:hAnsi="Garamond"/>
              </w:rPr>
              <w:t xml:space="preserve"> nouveaux indices sont mis en évidence</w:t>
            </w:r>
          </w:p>
          <w:p w14:paraId="0135214F" w14:textId="77777777" w:rsidR="00144951" w:rsidRPr="00094628" w:rsidRDefault="00144951" w:rsidP="001731C1">
            <w:pPr>
              <w:rPr>
                <w:rFonts w:ascii="Garamond" w:hAnsi="Garamond"/>
              </w:rPr>
            </w:pPr>
          </w:p>
        </w:tc>
        <w:tc>
          <w:tcPr>
            <w:tcW w:w="1418" w:type="dxa"/>
            <w:shd w:val="clear" w:color="auto" w:fill="auto"/>
          </w:tcPr>
          <w:p w14:paraId="6E4B7916" w14:textId="77777777" w:rsidR="00144951" w:rsidRPr="00094628" w:rsidRDefault="00144951" w:rsidP="001731C1">
            <w:pPr>
              <w:rPr>
                <w:rFonts w:ascii="Garamond" w:hAnsi="Garamond"/>
              </w:rPr>
            </w:pPr>
            <w:r w:rsidRPr="00094628">
              <w:rPr>
                <w:rFonts w:ascii="Garamond" w:hAnsi="Garamond"/>
              </w:rPr>
              <w:t xml:space="preserve">Poursuite des travaux de recherche fondamentale </w:t>
            </w:r>
          </w:p>
          <w:p w14:paraId="60713355" w14:textId="77777777" w:rsidR="00144951" w:rsidRPr="00094628" w:rsidRDefault="00144951" w:rsidP="001731C1">
            <w:pPr>
              <w:rPr>
                <w:rFonts w:ascii="Garamond" w:hAnsi="Garamond"/>
              </w:rPr>
            </w:pPr>
          </w:p>
        </w:tc>
        <w:tc>
          <w:tcPr>
            <w:tcW w:w="1417" w:type="dxa"/>
            <w:shd w:val="clear" w:color="auto" w:fill="auto"/>
          </w:tcPr>
          <w:p w14:paraId="71CB304C" w14:textId="77777777" w:rsidR="00144951" w:rsidRPr="00094628" w:rsidRDefault="00144951" w:rsidP="001731C1">
            <w:pPr>
              <w:rPr>
                <w:rFonts w:ascii="Garamond" w:hAnsi="Garamond"/>
              </w:rPr>
            </w:pPr>
            <w:r w:rsidRPr="00094628">
              <w:rPr>
                <w:rFonts w:ascii="Garamond" w:hAnsi="Garamond"/>
              </w:rPr>
              <w:t>Nombre d’indices ;</w:t>
            </w:r>
          </w:p>
          <w:p w14:paraId="1B08CD72" w14:textId="77777777" w:rsidR="00144951" w:rsidRPr="00094628" w:rsidRDefault="00144951" w:rsidP="001731C1">
            <w:pPr>
              <w:rPr>
                <w:rFonts w:ascii="Garamond" w:hAnsi="Garamond"/>
              </w:rPr>
            </w:pPr>
            <w:r w:rsidRPr="00094628">
              <w:rPr>
                <w:rFonts w:ascii="Garamond" w:hAnsi="Garamond"/>
              </w:rPr>
              <w:t xml:space="preserve">Substances découvertes ou promues </w:t>
            </w:r>
          </w:p>
        </w:tc>
        <w:tc>
          <w:tcPr>
            <w:tcW w:w="993" w:type="dxa"/>
            <w:shd w:val="clear" w:color="auto" w:fill="auto"/>
          </w:tcPr>
          <w:p w14:paraId="3BBE4F61" w14:textId="77777777" w:rsidR="00144951" w:rsidRPr="00094628" w:rsidRDefault="00144951" w:rsidP="001731C1">
            <w:pPr>
              <w:rPr>
                <w:rFonts w:ascii="Garamond" w:hAnsi="Garamond"/>
                <w:bCs/>
              </w:rPr>
            </w:pPr>
          </w:p>
        </w:tc>
        <w:tc>
          <w:tcPr>
            <w:tcW w:w="567" w:type="dxa"/>
            <w:shd w:val="clear" w:color="auto" w:fill="auto"/>
          </w:tcPr>
          <w:p w14:paraId="0EF8023A"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5B7A1135"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74F3098C"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2AC24442"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79C17050"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0CFEB330" w14:textId="77777777" w:rsidR="00144951" w:rsidRPr="00094628" w:rsidRDefault="00144951" w:rsidP="001731C1">
            <w:pPr>
              <w:jc w:val="center"/>
              <w:rPr>
                <w:rFonts w:ascii="Garamond" w:hAnsi="Garamond"/>
              </w:rPr>
            </w:pPr>
            <w:r>
              <w:rPr>
                <w:rFonts w:ascii="Garamond" w:hAnsi="Garamond"/>
              </w:rPr>
              <w:t>75.595</w:t>
            </w:r>
          </w:p>
        </w:tc>
        <w:tc>
          <w:tcPr>
            <w:tcW w:w="709" w:type="dxa"/>
            <w:shd w:val="clear" w:color="auto" w:fill="auto"/>
          </w:tcPr>
          <w:p w14:paraId="222CF14F"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3132385F" w14:textId="77777777" w:rsidR="00144951" w:rsidRPr="00094628" w:rsidRDefault="00144951" w:rsidP="001731C1">
            <w:pPr>
              <w:jc w:val="center"/>
              <w:rPr>
                <w:rFonts w:ascii="Garamond" w:hAnsi="Garamond"/>
              </w:rPr>
            </w:pPr>
            <w:r w:rsidRPr="00094628">
              <w:rPr>
                <w:rFonts w:ascii="Garamond" w:hAnsi="Garamond"/>
              </w:rPr>
              <w:t xml:space="preserve">MEF, </w:t>
            </w:r>
            <w:proofErr w:type="spellStart"/>
            <w:r w:rsidRPr="00094628">
              <w:rPr>
                <w:rFonts w:ascii="Garamond" w:hAnsi="Garamond"/>
              </w:rPr>
              <w:t>PTFs</w:t>
            </w:r>
            <w:proofErr w:type="spellEnd"/>
          </w:p>
        </w:tc>
        <w:tc>
          <w:tcPr>
            <w:tcW w:w="1134" w:type="dxa"/>
            <w:shd w:val="clear" w:color="auto" w:fill="auto"/>
          </w:tcPr>
          <w:p w14:paraId="6EA951BA"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12C5061F" w14:textId="77777777" w:rsidTr="00144951">
        <w:tc>
          <w:tcPr>
            <w:tcW w:w="1588" w:type="dxa"/>
            <w:vMerge/>
            <w:shd w:val="clear" w:color="auto" w:fill="auto"/>
          </w:tcPr>
          <w:p w14:paraId="5968A14E"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1E0105FA" w14:textId="77777777" w:rsidR="00144951" w:rsidRPr="00094628" w:rsidRDefault="00144951" w:rsidP="001731C1">
            <w:pPr>
              <w:rPr>
                <w:rFonts w:ascii="Garamond" w:hAnsi="Garamond"/>
                <w:bCs/>
              </w:rPr>
            </w:pPr>
          </w:p>
        </w:tc>
        <w:tc>
          <w:tcPr>
            <w:tcW w:w="1134" w:type="dxa"/>
          </w:tcPr>
          <w:p w14:paraId="284F1D17" w14:textId="77777777" w:rsidR="00144951" w:rsidRPr="00094628" w:rsidRDefault="00144951" w:rsidP="001731C1">
            <w:pPr>
              <w:rPr>
                <w:rFonts w:ascii="Garamond" w:hAnsi="Garamond"/>
              </w:rPr>
            </w:pPr>
            <w:proofErr w:type="gramStart"/>
            <w:r w:rsidRPr="00094628">
              <w:rPr>
                <w:rFonts w:ascii="Garamond" w:hAnsi="Garamond"/>
              </w:rPr>
              <w:t>des</w:t>
            </w:r>
            <w:proofErr w:type="gramEnd"/>
            <w:r w:rsidRPr="00094628">
              <w:rPr>
                <w:rFonts w:ascii="Garamond" w:hAnsi="Garamond"/>
              </w:rPr>
              <w:t xml:space="preserve"> indices sont confirmés </w:t>
            </w:r>
          </w:p>
          <w:p w14:paraId="7E1BC9F4" w14:textId="77777777" w:rsidR="00144951" w:rsidRPr="00094628" w:rsidRDefault="00144951" w:rsidP="001731C1">
            <w:pPr>
              <w:rPr>
                <w:rFonts w:ascii="Garamond" w:hAnsi="Garamond"/>
                <w:bCs/>
              </w:rPr>
            </w:pPr>
          </w:p>
        </w:tc>
        <w:tc>
          <w:tcPr>
            <w:tcW w:w="1418" w:type="dxa"/>
            <w:vMerge w:val="restart"/>
            <w:shd w:val="clear" w:color="auto" w:fill="auto"/>
            <w:vAlign w:val="center"/>
          </w:tcPr>
          <w:p w14:paraId="0B1F843D" w14:textId="77777777" w:rsidR="00144951" w:rsidRPr="00094628" w:rsidRDefault="00144951" w:rsidP="001731C1">
            <w:pPr>
              <w:rPr>
                <w:rFonts w:ascii="Garamond" w:hAnsi="Garamond"/>
              </w:rPr>
            </w:pPr>
            <w:r w:rsidRPr="00094628">
              <w:rPr>
                <w:rFonts w:ascii="Garamond" w:hAnsi="Garamond"/>
              </w:rPr>
              <w:t xml:space="preserve">Approfondir les études sur les indices déjà mis en évidence </w:t>
            </w:r>
          </w:p>
          <w:p w14:paraId="5320CF88" w14:textId="77777777" w:rsidR="00144951" w:rsidRPr="00094628" w:rsidRDefault="00144951" w:rsidP="001731C1">
            <w:pPr>
              <w:rPr>
                <w:rFonts w:ascii="Garamond" w:hAnsi="Garamond"/>
                <w:bCs/>
              </w:rPr>
            </w:pPr>
          </w:p>
        </w:tc>
        <w:tc>
          <w:tcPr>
            <w:tcW w:w="1417" w:type="dxa"/>
            <w:shd w:val="clear" w:color="auto" w:fill="auto"/>
            <w:vAlign w:val="center"/>
          </w:tcPr>
          <w:p w14:paraId="2CC6772A" w14:textId="77777777" w:rsidR="00144951" w:rsidRPr="00094628" w:rsidRDefault="00144951" w:rsidP="001731C1">
            <w:pPr>
              <w:rPr>
                <w:rFonts w:ascii="Garamond" w:hAnsi="Garamond"/>
              </w:rPr>
            </w:pPr>
            <w:r w:rsidRPr="00094628">
              <w:rPr>
                <w:rFonts w:ascii="Garamond" w:hAnsi="Garamond"/>
              </w:rPr>
              <w:t>Nombre d’indices </w:t>
            </w:r>
            <w:proofErr w:type="gramStart"/>
            <w:r w:rsidRPr="00094628">
              <w:rPr>
                <w:rFonts w:ascii="Garamond" w:hAnsi="Garamond"/>
              </w:rPr>
              <w:t>confirmés;</w:t>
            </w:r>
            <w:proofErr w:type="gramEnd"/>
          </w:p>
          <w:p w14:paraId="54D6492B" w14:textId="77777777" w:rsidR="00144951" w:rsidRPr="00094628" w:rsidRDefault="00144951" w:rsidP="001731C1">
            <w:pPr>
              <w:rPr>
                <w:rFonts w:ascii="Garamond" w:hAnsi="Garamond"/>
                <w:bCs/>
              </w:rPr>
            </w:pPr>
            <w:r w:rsidRPr="00094628">
              <w:rPr>
                <w:rFonts w:ascii="Garamond" w:hAnsi="Garamond"/>
              </w:rPr>
              <w:t xml:space="preserve">Substances identifiées  </w:t>
            </w:r>
          </w:p>
        </w:tc>
        <w:tc>
          <w:tcPr>
            <w:tcW w:w="993" w:type="dxa"/>
            <w:shd w:val="clear" w:color="auto" w:fill="auto"/>
          </w:tcPr>
          <w:p w14:paraId="3BC1D854" w14:textId="77777777" w:rsidR="00144951" w:rsidRPr="00094628" w:rsidRDefault="00144951" w:rsidP="001731C1">
            <w:pPr>
              <w:rPr>
                <w:rFonts w:ascii="Garamond" w:hAnsi="Garamond"/>
              </w:rPr>
            </w:pPr>
            <w:r w:rsidRPr="00094628">
              <w:rPr>
                <w:rFonts w:ascii="Garamond" w:hAnsi="Garamond"/>
              </w:rPr>
              <w:t>Rapport d’activités de la DNGM et de l’AUREP</w:t>
            </w:r>
          </w:p>
        </w:tc>
        <w:tc>
          <w:tcPr>
            <w:tcW w:w="567" w:type="dxa"/>
            <w:shd w:val="clear" w:color="auto" w:fill="auto"/>
          </w:tcPr>
          <w:p w14:paraId="1694E2F6"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68D3C60A"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F616333"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76274EC6"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D060B6C"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4BF11410" w14:textId="77777777" w:rsidR="00144951" w:rsidRPr="00094628" w:rsidRDefault="00144951" w:rsidP="001731C1">
            <w:pPr>
              <w:jc w:val="center"/>
              <w:rPr>
                <w:rFonts w:ascii="Garamond" w:hAnsi="Garamond"/>
              </w:rPr>
            </w:pPr>
          </w:p>
        </w:tc>
        <w:tc>
          <w:tcPr>
            <w:tcW w:w="709" w:type="dxa"/>
            <w:shd w:val="clear" w:color="auto" w:fill="auto"/>
          </w:tcPr>
          <w:p w14:paraId="7A9B7DE1"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3A39194C" w14:textId="77777777" w:rsidR="00144951" w:rsidRPr="00094628" w:rsidRDefault="00144951" w:rsidP="001731C1">
            <w:pPr>
              <w:jc w:val="center"/>
              <w:rPr>
                <w:rFonts w:ascii="Garamond" w:hAnsi="Garamond"/>
              </w:rPr>
            </w:pPr>
            <w:r w:rsidRPr="00094628">
              <w:rPr>
                <w:rFonts w:ascii="Garamond" w:hAnsi="Garamond"/>
              </w:rPr>
              <w:t xml:space="preserve">MEF, </w:t>
            </w:r>
            <w:proofErr w:type="spellStart"/>
            <w:r w:rsidRPr="00094628">
              <w:rPr>
                <w:rFonts w:ascii="Garamond" w:hAnsi="Garamond"/>
              </w:rPr>
              <w:t>PTFs</w:t>
            </w:r>
            <w:proofErr w:type="spellEnd"/>
          </w:p>
        </w:tc>
        <w:tc>
          <w:tcPr>
            <w:tcW w:w="1134" w:type="dxa"/>
            <w:shd w:val="clear" w:color="auto" w:fill="auto"/>
          </w:tcPr>
          <w:p w14:paraId="3B8C5C7D"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3C818A3E" w14:textId="77777777" w:rsidTr="00144951">
        <w:tc>
          <w:tcPr>
            <w:tcW w:w="1588" w:type="dxa"/>
            <w:vMerge/>
            <w:shd w:val="clear" w:color="auto" w:fill="auto"/>
          </w:tcPr>
          <w:p w14:paraId="2B889D84"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330FAB05" w14:textId="77777777" w:rsidR="00144951" w:rsidRPr="00094628" w:rsidRDefault="00144951" w:rsidP="001731C1">
            <w:pPr>
              <w:rPr>
                <w:rFonts w:ascii="Garamond" w:hAnsi="Garamond"/>
                <w:bCs/>
              </w:rPr>
            </w:pPr>
          </w:p>
        </w:tc>
        <w:tc>
          <w:tcPr>
            <w:tcW w:w="1134" w:type="dxa"/>
          </w:tcPr>
          <w:p w14:paraId="7B209F07" w14:textId="77777777" w:rsidR="00144951" w:rsidRPr="00094628" w:rsidRDefault="00144951" w:rsidP="001731C1">
            <w:pPr>
              <w:rPr>
                <w:rFonts w:ascii="Garamond" w:hAnsi="Garamond"/>
              </w:rPr>
            </w:pPr>
            <w:proofErr w:type="gramStart"/>
            <w:r w:rsidRPr="00094628">
              <w:rPr>
                <w:rFonts w:ascii="Garamond" w:hAnsi="Garamond"/>
              </w:rPr>
              <w:t>la</w:t>
            </w:r>
            <w:proofErr w:type="gramEnd"/>
            <w:r w:rsidRPr="00094628">
              <w:rPr>
                <w:rFonts w:ascii="Garamond" w:hAnsi="Garamond"/>
              </w:rPr>
              <w:t xml:space="preserve"> promotion de la diversification minière est assurée  </w:t>
            </w:r>
          </w:p>
        </w:tc>
        <w:tc>
          <w:tcPr>
            <w:tcW w:w="1418" w:type="dxa"/>
            <w:vMerge/>
            <w:shd w:val="clear" w:color="auto" w:fill="auto"/>
            <w:vAlign w:val="center"/>
          </w:tcPr>
          <w:p w14:paraId="2D81C2EF" w14:textId="77777777" w:rsidR="00144951" w:rsidRPr="00094628" w:rsidRDefault="00144951" w:rsidP="001731C1">
            <w:pPr>
              <w:rPr>
                <w:rFonts w:ascii="Garamond" w:hAnsi="Garamond"/>
                <w:bCs/>
              </w:rPr>
            </w:pPr>
          </w:p>
        </w:tc>
        <w:tc>
          <w:tcPr>
            <w:tcW w:w="1417" w:type="dxa"/>
            <w:shd w:val="clear" w:color="auto" w:fill="auto"/>
          </w:tcPr>
          <w:p w14:paraId="66201A2C" w14:textId="77777777" w:rsidR="00144951" w:rsidRPr="00094628" w:rsidRDefault="00144951" w:rsidP="001731C1">
            <w:pPr>
              <w:rPr>
                <w:rFonts w:ascii="Garamond" w:hAnsi="Garamond"/>
              </w:rPr>
            </w:pPr>
            <w:r w:rsidRPr="00094628">
              <w:rPr>
                <w:rFonts w:ascii="Garamond" w:hAnsi="Garamond"/>
              </w:rPr>
              <w:t>Autres minerais ou substance en exploitation</w:t>
            </w:r>
          </w:p>
        </w:tc>
        <w:tc>
          <w:tcPr>
            <w:tcW w:w="993" w:type="dxa"/>
            <w:shd w:val="clear" w:color="auto" w:fill="auto"/>
          </w:tcPr>
          <w:p w14:paraId="7898F188" w14:textId="77777777" w:rsidR="00144951" w:rsidRPr="00094628" w:rsidRDefault="00144951" w:rsidP="001731C1">
            <w:pPr>
              <w:rPr>
                <w:rFonts w:ascii="Garamond" w:hAnsi="Garamond"/>
              </w:rPr>
            </w:pPr>
            <w:r w:rsidRPr="00094628">
              <w:rPr>
                <w:rFonts w:ascii="Garamond" w:hAnsi="Garamond"/>
              </w:rPr>
              <w:t>Rapport d’activités de la DNGM et de l’AUREP</w:t>
            </w:r>
          </w:p>
        </w:tc>
        <w:tc>
          <w:tcPr>
            <w:tcW w:w="567" w:type="dxa"/>
            <w:shd w:val="clear" w:color="auto" w:fill="auto"/>
          </w:tcPr>
          <w:p w14:paraId="1E76EFA9"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53D4E69B"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299FBBB3"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6FF09160"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7B05F76C"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2EF1EBA3" w14:textId="77777777" w:rsidR="00144951" w:rsidRPr="00094628" w:rsidRDefault="00144951" w:rsidP="001731C1">
            <w:pPr>
              <w:jc w:val="center"/>
              <w:rPr>
                <w:rFonts w:ascii="Garamond" w:hAnsi="Garamond"/>
              </w:rPr>
            </w:pPr>
          </w:p>
        </w:tc>
        <w:tc>
          <w:tcPr>
            <w:tcW w:w="709" w:type="dxa"/>
            <w:shd w:val="clear" w:color="auto" w:fill="auto"/>
          </w:tcPr>
          <w:p w14:paraId="11E99A5E" w14:textId="77777777" w:rsidR="00144951" w:rsidRPr="00094628" w:rsidRDefault="00144951" w:rsidP="001731C1">
            <w:pPr>
              <w:jc w:val="center"/>
              <w:rPr>
                <w:rFonts w:ascii="Garamond" w:hAnsi="Garamond"/>
              </w:rPr>
            </w:pPr>
          </w:p>
        </w:tc>
        <w:tc>
          <w:tcPr>
            <w:tcW w:w="1275" w:type="dxa"/>
            <w:shd w:val="clear" w:color="auto" w:fill="auto"/>
          </w:tcPr>
          <w:p w14:paraId="49D3CCEF" w14:textId="77777777" w:rsidR="00144951" w:rsidRPr="00094628" w:rsidRDefault="00144951" w:rsidP="001731C1">
            <w:pPr>
              <w:jc w:val="center"/>
              <w:rPr>
                <w:rFonts w:ascii="Garamond" w:hAnsi="Garamond"/>
              </w:rPr>
            </w:pPr>
          </w:p>
        </w:tc>
        <w:tc>
          <w:tcPr>
            <w:tcW w:w="1134" w:type="dxa"/>
            <w:shd w:val="clear" w:color="auto" w:fill="auto"/>
          </w:tcPr>
          <w:p w14:paraId="5D69BCEC"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4908790D" w14:textId="77777777" w:rsidTr="00144951">
        <w:tc>
          <w:tcPr>
            <w:tcW w:w="1588" w:type="dxa"/>
            <w:vMerge/>
            <w:shd w:val="clear" w:color="auto" w:fill="auto"/>
          </w:tcPr>
          <w:p w14:paraId="50A14490"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55D0328F" w14:textId="77777777" w:rsidR="00144951" w:rsidRPr="00094628" w:rsidRDefault="00144951" w:rsidP="001731C1">
            <w:pPr>
              <w:rPr>
                <w:rFonts w:ascii="Garamond" w:hAnsi="Garamond"/>
                <w:bCs/>
              </w:rPr>
            </w:pPr>
          </w:p>
        </w:tc>
        <w:tc>
          <w:tcPr>
            <w:tcW w:w="1134" w:type="dxa"/>
          </w:tcPr>
          <w:p w14:paraId="2F308785" w14:textId="77777777" w:rsidR="00144951" w:rsidRPr="00094628" w:rsidRDefault="00144951" w:rsidP="001731C1">
            <w:pPr>
              <w:rPr>
                <w:rFonts w:ascii="Garamond" w:hAnsi="Garamond"/>
              </w:rPr>
            </w:pPr>
            <w:r w:rsidRPr="00094628">
              <w:rPr>
                <w:rFonts w:ascii="Garamond" w:hAnsi="Garamond"/>
              </w:rPr>
              <w:t xml:space="preserve">La base de données est améliorée et actualisée </w:t>
            </w:r>
          </w:p>
        </w:tc>
        <w:tc>
          <w:tcPr>
            <w:tcW w:w="1418" w:type="dxa"/>
            <w:shd w:val="clear" w:color="auto" w:fill="auto"/>
            <w:vAlign w:val="center"/>
          </w:tcPr>
          <w:p w14:paraId="73CBBE8C" w14:textId="77777777" w:rsidR="00144951" w:rsidRPr="00094628" w:rsidRDefault="00144951" w:rsidP="001731C1">
            <w:pPr>
              <w:pStyle w:val="Paragraphedeliste"/>
              <w:spacing w:before="80" w:after="80"/>
              <w:ind w:left="0"/>
              <w:contextualSpacing w:val="0"/>
              <w:rPr>
                <w:rFonts w:ascii="Garamond" w:hAnsi="Garamond"/>
              </w:rPr>
            </w:pPr>
            <w:proofErr w:type="gramStart"/>
            <w:r w:rsidRPr="00094628">
              <w:rPr>
                <w:rFonts w:ascii="Garamond" w:hAnsi="Garamond"/>
              </w:rPr>
              <w:t>Améliorer  et</w:t>
            </w:r>
            <w:proofErr w:type="gramEnd"/>
            <w:r w:rsidRPr="00094628">
              <w:rPr>
                <w:rFonts w:ascii="Garamond" w:hAnsi="Garamond"/>
              </w:rPr>
              <w:t xml:space="preserve"> actualiser la base de données géologique informatisée </w:t>
            </w:r>
          </w:p>
          <w:p w14:paraId="6A59FAC4" w14:textId="77777777" w:rsidR="00144951" w:rsidRPr="00094628" w:rsidRDefault="00144951" w:rsidP="001731C1">
            <w:pPr>
              <w:rPr>
                <w:rFonts w:ascii="Garamond" w:hAnsi="Garamond"/>
                <w:bCs/>
              </w:rPr>
            </w:pPr>
          </w:p>
        </w:tc>
        <w:tc>
          <w:tcPr>
            <w:tcW w:w="1417" w:type="dxa"/>
            <w:shd w:val="clear" w:color="auto" w:fill="auto"/>
            <w:vAlign w:val="center"/>
          </w:tcPr>
          <w:p w14:paraId="18F61F6D" w14:textId="77777777" w:rsidR="00144951" w:rsidRPr="00094628" w:rsidRDefault="00144951" w:rsidP="001731C1">
            <w:pPr>
              <w:pStyle w:val="Paragraphedeliste"/>
              <w:spacing w:before="80" w:after="80"/>
              <w:ind w:left="0"/>
              <w:contextualSpacing w:val="0"/>
              <w:rPr>
                <w:rFonts w:ascii="Garamond" w:hAnsi="Garamond"/>
              </w:rPr>
            </w:pPr>
            <w:r w:rsidRPr="00094628">
              <w:rPr>
                <w:rFonts w:ascii="Garamond" w:hAnsi="Garamond"/>
              </w:rPr>
              <w:t>Une Base de données informatisées et actualisées disponible</w:t>
            </w:r>
          </w:p>
        </w:tc>
        <w:tc>
          <w:tcPr>
            <w:tcW w:w="993" w:type="dxa"/>
            <w:shd w:val="clear" w:color="auto" w:fill="auto"/>
          </w:tcPr>
          <w:p w14:paraId="3520537E" w14:textId="77777777" w:rsidR="00144951" w:rsidRPr="00094628" w:rsidRDefault="00144951" w:rsidP="001731C1">
            <w:pPr>
              <w:rPr>
                <w:rFonts w:ascii="Garamond" w:hAnsi="Garamond"/>
              </w:rPr>
            </w:pPr>
            <w:r w:rsidRPr="00094628">
              <w:rPr>
                <w:rFonts w:ascii="Garamond" w:hAnsi="Garamond"/>
              </w:rPr>
              <w:t>Rapport d’activités de la DNGM et de l’AUREP</w:t>
            </w:r>
          </w:p>
        </w:tc>
        <w:tc>
          <w:tcPr>
            <w:tcW w:w="567" w:type="dxa"/>
            <w:shd w:val="clear" w:color="auto" w:fill="auto"/>
          </w:tcPr>
          <w:p w14:paraId="342FD9C6"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2AC241F8"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7969940B"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626158BD"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4B96367B"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5CB4F522" w14:textId="77777777" w:rsidR="00144951" w:rsidRPr="00094628" w:rsidRDefault="00144951" w:rsidP="001731C1">
            <w:pPr>
              <w:jc w:val="center"/>
              <w:rPr>
                <w:rFonts w:ascii="Garamond" w:hAnsi="Garamond"/>
              </w:rPr>
            </w:pPr>
          </w:p>
        </w:tc>
        <w:tc>
          <w:tcPr>
            <w:tcW w:w="709" w:type="dxa"/>
            <w:shd w:val="clear" w:color="auto" w:fill="auto"/>
          </w:tcPr>
          <w:p w14:paraId="252CFB23"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49AB22C4" w14:textId="77777777" w:rsidR="00144951" w:rsidRPr="00094628" w:rsidRDefault="00144951" w:rsidP="001731C1">
            <w:pPr>
              <w:jc w:val="center"/>
              <w:rPr>
                <w:rFonts w:ascii="Garamond" w:hAnsi="Garamond"/>
              </w:rPr>
            </w:pPr>
            <w:r w:rsidRPr="00094628">
              <w:rPr>
                <w:rFonts w:ascii="Garamond" w:hAnsi="Garamond"/>
              </w:rPr>
              <w:t xml:space="preserve">MEF, </w:t>
            </w:r>
            <w:proofErr w:type="spellStart"/>
            <w:r w:rsidRPr="00094628">
              <w:rPr>
                <w:rFonts w:ascii="Garamond" w:hAnsi="Garamond"/>
              </w:rPr>
              <w:t>PTFs</w:t>
            </w:r>
            <w:proofErr w:type="spellEnd"/>
          </w:p>
        </w:tc>
        <w:tc>
          <w:tcPr>
            <w:tcW w:w="1134" w:type="dxa"/>
            <w:shd w:val="clear" w:color="auto" w:fill="auto"/>
          </w:tcPr>
          <w:p w14:paraId="456183C2"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16FCC37E" w14:textId="77777777" w:rsidTr="00144951">
        <w:tc>
          <w:tcPr>
            <w:tcW w:w="1588" w:type="dxa"/>
            <w:vMerge w:val="restart"/>
            <w:shd w:val="clear" w:color="auto" w:fill="auto"/>
          </w:tcPr>
          <w:p w14:paraId="6518BDD0" w14:textId="62BB5A4E" w:rsidR="00144951" w:rsidRPr="00094628" w:rsidRDefault="00144951" w:rsidP="001731C1">
            <w:pPr>
              <w:jc w:val="center"/>
              <w:rPr>
                <w:rFonts w:ascii="Garamond" w:hAnsi="Garamond"/>
              </w:rPr>
            </w:pPr>
            <w:bookmarkStart w:id="19" w:name="_Toc459574061"/>
            <w:r w:rsidRPr="00094628">
              <w:rPr>
                <w:rFonts w:ascii="Garamond" w:hAnsi="Garamond"/>
                <w:bCs/>
              </w:rPr>
              <w:t>Objectifs spécifiques</w:t>
            </w:r>
            <w:r w:rsidRPr="00094628">
              <w:rPr>
                <w:rFonts w:ascii="Garamond" w:hAnsi="Garamond"/>
              </w:rPr>
              <w:t xml:space="preserve"> 3. </w:t>
            </w:r>
            <w:bookmarkEnd w:id="19"/>
            <w:proofErr w:type="gramStart"/>
            <w:r w:rsidRPr="00094628">
              <w:rPr>
                <w:rFonts w:ascii="Garamond" w:hAnsi="Garamond"/>
              </w:rPr>
              <w:t>doter</w:t>
            </w:r>
            <w:proofErr w:type="gramEnd"/>
            <w:r w:rsidRPr="00094628">
              <w:rPr>
                <w:rFonts w:ascii="Garamond" w:hAnsi="Garamond"/>
              </w:rPr>
              <w:t xml:space="preserve"> le Mali des infrastructures de base </w:t>
            </w:r>
          </w:p>
        </w:tc>
        <w:tc>
          <w:tcPr>
            <w:tcW w:w="1701" w:type="dxa"/>
            <w:vMerge w:val="restart"/>
            <w:shd w:val="clear" w:color="auto" w:fill="auto"/>
            <w:vAlign w:val="center"/>
          </w:tcPr>
          <w:p w14:paraId="0136C974" w14:textId="77777777" w:rsidR="00144951" w:rsidRPr="00094628" w:rsidRDefault="00144951" w:rsidP="001731C1">
            <w:pPr>
              <w:rPr>
                <w:rFonts w:ascii="Garamond" w:hAnsi="Garamond"/>
                <w:bCs/>
              </w:rPr>
            </w:pPr>
            <w:r w:rsidRPr="00094628">
              <w:rPr>
                <w:rFonts w:ascii="Garamond" w:hAnsi="Garamond"/>
              </w:rPr>
              <w:t>Axe stratégique 3 : la satisfaction des besoins en infrastructures pour le développement minier et pétrolier</w:t>
            </w:r>
          </w:p>
        </w:tc>
        <w:tc>
          <w:tcPr>
            <w:tcW w:w="1134" w:type="dxa"/>
          </w:tcPr>
          <w:p w14:paraId="2DDB2868" w14:textId="77777777" w:rsidR="00144951" w:rsidRPr="00094628" w:rsidRDefault="00144951" w:rsidP="001731C1">
            <w:pPr>
              <w:rPr>
                <w:rFonts w:ascii="Garamond" w:hAnsi="Garamond"/>
              </w:rPr>
            </w:pPr>
            <w:proofErr w:type="gramStart"/>
            <w:r w:rsidRPr="00094628">
              <w:rPr>
                <w:rFonts w:ascii="Garamond" w:hAnsi="Garamond"/>
              </w:rPr>
              <w:t>la</w:t>
            </w:r>
            <w:proofErr w:type="gramEnd"/>
            <w:r w:rsidRPr="00094628">
              <w:rPr>
                <w:rFonts w:ascii="Garamond" w:hAnsi="Garamond"/>
              </w:rPr>
              <w:t xml:space="preserve"> desserte des zones minières dans les domaines de télécommunication et de transport est assurée </w:t>
            </w:r>
          </w:p>
        </w:tc>
        <w:tc>
          <w:tcPr>
            <w:tcW w:w="1418" w:type="dxa"/>
            <w:shd w:val="clear" w:color="auto" w:fill="auto"/>
            <w:vAlign w:val="center"/>
          </w:tcPr>
          <w:p w14:paraId="4BA9D946" w14:textId="77777777" w:rsidR="00144951" w:rsidRPr="00094628" w:rsidRDefault="00144951" w:rsidP="001731C1">
            <w:pPr>
              <w:spacing w:before="120" w:after="120"/>
              <w:rPr>
                <w:rFonts w:ascii="Garamond" w:hAnsi="Garamond"/>
              </w:rPr>
            </w:pPr>
            <w:r w:rsidRPr="00094628">
              <w:rPr>
                <w:rStyle w:val="normaltextrun"/>
                <w:rFonts w:ascii="Garamond" w:hAnsi="Garamond"/>
              </w:rPr>
              <w:t xml:space="preserve">Mettre progressivement à niveau les infrastructures de désenclavement (de transport, chemins de fer, communication, etc.) en cohérence avec les besoins de la politique minière intégrés </w:t>
            </w:r>
            <w:r w:rsidRPr="00094628">
              <w:rPr>
                <w:rStyle w:val="normaltextrun"/>
                <w:rFonts w:ascii="Garamond" w:hAnsi="Garamond"/>
              </w:rPr>
              <w:lastRenderedPageBreak/>
              <w:t>dans les plans l’aménagement du territoire</w:t>
            </w:r>
          </w:p>
        </w:tc>
        <w:tc>
          <w:tcPr>
            <w:tcW w:w="1417" w:type="dxa"/>
            <w:shd w:val="clear" w:color="auto" w:fill="auto"/>
            <w:vAlign w:val="center"/>
          </w:tcPr>
          <w:p w14:paraId="4E014050" w14:textId="77777777" w:rsidR="00144951" w:rsidRPr="00094628" w:rsidRDefault="00144951" w:rsidP="001731C1">
            <w:pPr>
              <w:spacing w:before="120" w:after="120"/>
              <w:rPr>
                <w:rFonts w:ascii="Garamond" w:hAnsi="Garamond"/>
              </w:rPr>
            </w:pPr>
            <w:r w:rsidRPr="00094628">
              <w:rPr>
                <w:rFonts w:ascii="Garamond" w:hAnsi="Garamond"/>
              </w:rPr>
              <w:lastRenderedPageBreak/>
              <w:t xml:space="preserve">Zones disposant de réseau de télécommunication ou d’infrastructures routières </w:t>
            </w:r>
          </w:p>
          <w:p w14:paraId="210D122F" w14:textId="77777777" w:rsidR="00144951" w:rsidRPr="00094628" w:rsidRDefault="00144951" w:rsidP="001731C1">
            <w:pPr>
              <w:spacing w:before="120" w:after="120"/>
              <w:rPr>
                <w:rFonts w:ascii="Garamond" w:hAnsi="Garamond"/>
              </w:rPr>
            </w:pPr>
          </w:p>
        </w:tc>
        <w:tc>
          <w:tcPr>
            <w:tcW w:w="993" w:type="dxa"/>
            <w:shd w:val="clear" w:color="auto" w:fill="auto"/>
          </w:tcPr>
          <w:p w14:paraId="0D7F55BE" w14:textId="77777777" w:rsidR="00144951" w:rsidRPr="00094628" w:rsidRDefault="00144951" w:rsidP="001731C1">
            <w:pPr>
              <w:rPr>
                <w:rFonts w:ascii="Garamond" w:hAnsi="Garamond"/>
              </w:rPr>
            </w:pPr>
            <w:r w:rsidRPr="00094628">
              <w:rPr>
                <w:rFonts w:ascii="Garamond" w:hAnsi="Garamond"/>
              </w:rPr>
              <w:t>Rapport d’état d’avancement des travaux</w:t>
            </w:r>
          </w:p>
        </w:tc>
        <w:tc>
          <w:tcPr>
            <w:tcW w:w="567" w:type="dxa"/>
            <w:shd w:val="clear" w:color="auto" w:fill="auto"/>
          </w:tcPr>
          <w:p w14:paraId="69090422"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9F06957"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3705F20B"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7A2355C0"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389DAB13"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13B8C95A" w14:textId="77777777" w:rsidR="00144951" w:rsidRPr="00094628" w:rsidRDefault="00144951" w:rsidP="001731C1">
            <w:pPr>
              <w:jc w:val="center"/>
              <w:rPr>
                <w:rFonts w:ascii="Garamond" w:hAnsi="Garamond"/>
              </w:rPr>
            </w:pPr>
            <w:r w:rsidRPr="00094628">
              <w:rPr>
                <w:rFonts w:ascii="Garamond" w:hAnsi="Garamond"/>
              </w:rPr>
              <w:t>PM</w:t>
            </w:r>
          </w:p>
        </w:tc>
        <w:tc>
          <w:tcPr>
            <w:tcW w:w="709" w:type="dxa"/>
            <w:shd w:val="clear" w:color="auto" w:fill="auto"/>
          </w:tcPr>
          <w:p w14:paraId="3311462E" w14:textId="77777777" w:rsidR="00144951" w:rsidRPr="00094628" w:rsidRDefault="00144951" w:rsidP="001731C1">
            <w:pPr>
              <w:jc w:val="center"/>
              <w:rPr>
                <w:rFonts w:ascii="Garamond" w:hAnsi="Garamond"/>
              </w:rPr>
            </w:pPr>
            <w:r w:rsidRPr="00094628">
              <w:rPr>
                <w:rFonts w:ascii="Garamond" w:hAnsi="Garamond"/>
              </w:rPr>
              <w:t xml:space="preserve">Ministères concernés </w:t>
            </w:r>
          </w:p>
        </w:tc>
        <w:tc>
          <w:tcPr>
            <w:tcW w:w="1275" w:type="dxa"/>
            <w:shd w:val="clear" w:color="auto" w:fill="auto"/>
          </w:tcPr>
          <w:p w14:paraId="38BE2D4D" w14:textId="77777777" w:rsidR="00144951" w:rsidRPr="00094628" w:rsidRDefault="00144951" w:rsidP="001731C1">
            <w:pPr>
              <w:jc w:val="center"/>
              <w:rPr>
                <w:rFonts w:ascii="Garamond" w:hAnsi="Garamond"/>
              </w:rPr>
            </w:pPr>
            <w:r w:rsidRPr="00094628">
              <w:rPr>
                <w:rFonts w:ascii="Garamond" w:hAnsi="Garamond"/>
              </w:rPr>
              <w:t>MED, MENC, MEF</w:t>
            </w:r>
          </w:p>
        </w:tc>
        <w:tc>
          <w:tcPr>
            <w:tcW w:w="1134" w:type="dxa"/>
            <w:shd w:val="clear" w:color="auto" w:fill="auto"/>
          </w:tcPr>
          <w:p w14:paraId="72DCAD99"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4C95397E" w14:textId="77777777" w:rsidTr="00144951">
        <w:tc>
          <w:tcPr>
            <w:tcW w:w="1588" w:type="dxa"/>
            <w:vMerge/>
            <w:shd w:val="clear" w:color="auto" w:fill="auto"/>
          </w:tcPr>
          <w:p w14:paraId="79E46474"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49EEB25F" w14:textId="77777777" w:rsidR="00144951" w:rsidRPr="00094628" w:rsidRDefault="00144951" w:rsidP="001731C1">
            <w:pPr>
              <w:rPr>
                <w:rFonts w:ascii="Garamond" w:hAnsi="Garamond"/>
                <w:bCs/>
              </w:rPr>
            </w:pPr>
          </w:p>
        </w:tc>
        <w:tc>
          <w:tcPr>
            <w:tcW w:w="1134" w:type="dxa"/>
          </w:tcPr>
          <w:p w14:paraId="653DC6A5" w14:textId="77777777" w:rsidR="00144951" w:rsidRPr="00094628" w:rsidRDefault="00144951" w:rsidP="001731C1">
            <w:pPr>
              <w:rPr>
                <w:rFonts w:ascii="Garamond" w:hAnsi="Garamond"/>
              </w:rPr>
            </w:pPr>
            <w:proofErr w:type="gramStart"/>
            <w:r w:rsidRPr="00094628">
              <w:rPr>
                <w:rFonts w:ascii="Garamond" w:hAnsi="Garamond"/>
              </w:rPr>
              <w:t>la</w:t>
            </w:r>
            <w:proofErr w:type="gramEnd"/>
            <w:r w:rsidRPr="00094628">
              <w:rPr>
                <w:rFonts w:ascii="Garamond" w:hAnsi="Garamond"/>
              </w:rPr>
              <w:t xml:space="preserve"> desserte des zones minières dans le domaine de l’énergie est assurée </w:t>
            </w:r>
          </w:p>
        </w:tc>
        <w:tc>
          <w:tcPr>
            <w:tcW w:w="1418" w:type="dxa"/>
            <w:shd w:val="clear" w:color="auto" w:fill="auto"/>
            <w:vAlign w:val="center"/>
          </w:tcPr>
          <w:p w14:paraId="0DFA8382" w14:textId="77777777" w:rsidR="00144951" w:rsidRPr="00094628" w:rsidRDefault="00144951" w:rsidP="001731C1">
            <w:pPr>
              <w:spacing w:before="120" w:after="120"/>
              <w:ind w:right="-108"/>
              <w:rPr>
                <w:rFonts w:ascii="Garamond" w:hAnsi="Garamond"/>
              </w:rPr>
            </w:pPr>
            <w:r w:rsidRPr="00094628">
              <w:rPr>
                <w:rStyle w:val="normaltextrun"/>
                <w:rFonts w:ascii="Garamond" w:hAnsi="Garamond"/>
              </w:rPr>
              <w:t>Mettre progressivement à niveau les infrastructures énergétiques par rapport aux besoins de la vision et de la stratégie minière nationale</w:t>
            </w:r>
          </w:p>
        </w:tc>
        <w:tc>
          <w:tcPr>
            <w:tcW w:w="1417" w:type="dxa"/>
            <w:shd w:val="clear" w:color="auto" w:fill="auto"/>
            <w:vAlign w:val="center"/>
          </w:tcPr>
          <w:p w14:paraId="5E93C45A" w14:textId="77777777" w:rsidR="00144951" w:rsidRPr="00094628" w:rsidRDefault="00144951" w:rsidP="001731C1">
            <w:pPr>
              <w:spacing w:before="120" w:after="120"/>
              <w:ind w:right="-108"/>
              <w:rPr>
                <w:rFonts w:ascii="Garamond" w:hAnsi="Garamond"/>
              </w:rPr>
            </w:pPr>
            <w:r w:rsidRPr="00094628">
              <w:rPr>
                <w:rFonts w:ascii="Garamond" w:hAnsi="Garamond"/>
              </w:rPr>
              <w:t>Mines connectées au réseau EDM ;</w:t>
            </w:r>
          </w:p>
          <w:p w14:paraId="65E09E63" w14:textId="77777777" w:rsidR="00144951" w:rsidRPr="00094628" w:rsidRDefault="00144951" w:rsidP="001731C1">
            <w:pPr>
              <w:spacing w:before="120" w:after="120"/>
              <w:ind w:right="-108"/>
              <w:rPr>
                <w:rFonts w:ascii="Garamond" w:hAnsi="Garamond"/>
              </w:rPr>
            </w:pPr>
          </w:p>
        </w:tc>
        <w:tc>
          <w:tcPr>
            <w:tcW w:w="993" w:type="dxa"/>
            <w:shd w:val="clear" w:color="auto" w:fill="auto"/>
          </w:tcPr>
          <w:p w14:paraId="7529392B" w14:textId="77777777" w:rsidR="00144951" w:rsidRPr="00094628" w:rsidRDefault="00144951" w:rsidP="001731C1">
            <w:pPr>
              <w:rPr>
                <w:rFonts w:ascii="Garamond" w:hAnsi="Garamond"/>
              </w:rPr>
            </w:pPr>
            <w:r w:rsidRPr="00094628">
              <w:rPr>
                <w:rFonts w:ascii="Garamond" w:hAnsi="Garamond"/>
              </w:rPr>
              <w:t>Rapport d’état d’avancement des travaux</w:t>
            </w:r>
          </w:p>
        </w:tc>
        <w:tc>
          <w:tcPr>
            <w:tcW w:w="567" w:type="dxa"/>
            <w:shd w:val="clear" w:color="auto" w:fill="auto"/>
          </w:tcPr>
          <w:p w14:paraId="49831477"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4B4FE29"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6E873811"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47EE7D3"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2390690A"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761A60DF" w14:textId="77777777" w:rsidR="00144951" w:rsidRPr="00094628" w:rsidRDefault="00144951" w:rsidP="001731C1">
            <w:pPr>
              <w:jc w:val="center"/>
              <w:rPr>
                <w:rFonts w:ascii="Garamond" w:hAnsi="Garamond"/>
              </w:rPr>
            </w:pPr>
          </w:p>
        </w:tc>
        <w:tc>
          <w:tcPr>
            <w:tcW w:w="709" w:type="dxa"/>
            <w:shd w:val="clear" w:color="auto" w:fill="auto"/>
          </w:tcPr>
          <w:p w14:paraId="6D034CB6" w14:textId="77777777" w:rsidR="00144951" w:rsidRPr="00094628" w:rsidRDefault="00144951" w:rsidP="001731C1">
            <w:pPr>
              <w:jc w:val="center"/>
              <w:rPr>
                <w:rFonts w:ascii="Garamond" w:hAnsi="Garamond"/>
              </w:rPr>
            </w:pPr>
            <w:r w:rsidRPr="00094628">
              <w:rPr>
                <w:rFonts w:ascii="Garamond" w:hAnsi="Garamond"/>
              </w:rPr>
              <w:t xml:space="preserve">Ministères concernés </w:t>
            </w:r>
          </w:p>
        </w:tc>
        <w:tc>
          <w:tcPr>
            <w:tcW w:w="1275" w:type="dxa"/>
            <w:shd w:val="clear" w:color="auto" w:fill="auto"/>
          </w:tcPr>
          <w:p w14:paraId="32A2CC24" w14:textId="77777777" w:rsidR="00144951" w:rsidRPr="00094628" w:rsidRDefault="00144951" w:rsidP="001731C1">
            <w:pPr>
              <w:jc w:val="center"/>
              <w:rPr>
                <w:rFonts w:ascii="Garamond" w:hAnsi="Garamond"/>
              </w:rPr>
            </w:pPr>
            <w:r w:rsidRPr="00094628">
              <w:rPr>
                <w:rFonts w:ascii="Garamond" w:hAnsi="Garamond"/>
              </w:rPr>
              <w:t>MED, MENC, MEF</w:t>
            </w:r>
          </w:p>
        </w:tc>
        <w:tc>
          <w:tcPr>
            <w:tcW w:w="1134" w:type="dxa"/>
            <w:shd w:val="clear" w:color="auto" w:fill="auto"/>
          </w:tcPr>
          <w:p w14:paraId="2A7E5BD1"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656DB8A1" w14:textId="77777777" w:rsidTr="00144951">
        <w:tc>
          <w:tcPr>
            <w:tcW w:w="1588" w:type="dxa"/>
            <w:vMerge/>
            <w:shd w:val="clear" w:color="auto" w:fill="auto"/>
          </w:tcPr>
          <w:p w14:paraId="13CB6514"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7CF15C9F" w14:textId="77777777" w:rsidR="00144951" w:rsidRPr="00094628" w:rsidRDefault="00144951" w:rsidP="001731C1">
            <w:pPr>
              <w:rPr>
                <w:rFonts w:ascii="Garamond" w:hAnsi="Garamond"/>
                <w:bCs/>
              </w:rPr>
            </w:pPr>
          </w:p>
        </w:tc>
        <w:tc>
          <w:tcPr>
            <w:tcW w:w="1134" w:type="dxa"/>
            <w:vAlign w:val="center"/>
          </w:tcPr>
          <w:p w14:paraId="527B2DFB" w14:textId="77777777" w:rsidR="00144951" w:rsidRPr="00094628" w:rsidRDefault="00144951" w:rsidP="001731C1">
            <w:pPr>
              <w:spacing w:before="120" w:after="120"/>
              <w:rPr>
                <w:rFonts w:ascii="Garamond" w:hAnsi="Garamond"/>
              </w:rPr>
            </w:pPr>
            <w:r w:rsidRPr="00094628">
              <w:rPr>
                <w:rFonts w:ascii="Garamond" w:hAnsi="Garamond"/>
              </w:rPr>
              <w:t xml:space="preserve">Les projets PPP sont initiés et mis en œuvre </w:t>
            </w:r>
          </w:p>
        </w:tc>
        <w:tc>
          <w:tcPr>
            <w:tcW w:w="1418" w:type="dxa"/>
            <w:shd w:val="clear" w:color="auto" w:fill="auto"/>
            <w:vAlign w:val="center"/>
          </w:tcPr>
          <w:p w14:paraId="5A9FD784" w14:textId="77777777" w:rsidR="00144951" w:rsidRPr="00094628" w:rsidRDefault="00144951" w:rsidP="001731C1">
            <w:pPr>
              <w:spacing w:before="120" w:after="120"/>
              <w:rPr>
                <w:rFonts w:ascii="Garamond" w:hAnsi="Garamond"/>
              </w:rPr>
            </w:pPr>
            <w:r w:rsidRPr="00094628">
              <w:rPr>
                <w:rFonts w:ascii="Garamond" w:hAnsi="Garamond"/>
              </w:rPr>
              <w:t xml:space="preserve">Impliquer le secteur privé dans la mise en œuvre des projets d’infrastructures en favorisant </w:t>
            </w:r>
            <w:r w:rsidRPr="00094628">
              <w:rPr>
                <w:rFonts w:ascii="Garamond" w:hAnsi="Garamond"/>
              </w:rPr>
              <w:lastRenderedPageBreak/>
              <w:t>une approche PPP (Partenariat Public Privé).</w:t>
            </w:r>
          </w:p>
          <w:p w14:paraId="411BBAEB" w14:textId="77777777" w:rsidR="00144951" w:rsidRPr="00094628" w:rsidRDefault="00144951" w:rsidP="001731C1">
            <w:pPr>
              <w:spacing w:before="120" w:after="120"/>
              <w:rPr>
                <w:rFonts w:ascii="Garamond" w:hAnsi="Garamond"/>
              </w:rPr>
            </w:pPr>
          </w:p>
          <w:p w14:paraId="5FDEACA6" w14:textId="77777777" w:rsidR="00144951" w:rsidRPr="00094628" w:rsidRDefault="00144951" w:rsidP="001731C1">
            <w:pPr>
              <w:spacing w:before="120" w:after="120"/>
              <w:rPr>
                <w:rFonts w:ascii="Garamond" w:hAnsi="Garamond"/>
                <w:bCs/>
              </w:rPr>
            </w:pPr>
          </w:p>
        </w:tc>
        <w:tc>
          <w:tcPr>
            <w:tcW w:w="1417" w:type="dxa"/>
            <w:shd w:val="clear" w:color="auto" w:fill="auto"/>
            <w:vAlign w:val="center"/>
          </w:tcPr>
          <w:p w14:paraId="7C924FFE" w14:textId="77777777" w:rsidR="00144951" w:rsidRPr="00094628" w:rsidRDefault="00144951" w:rsidP="001731C1">
            <w:pPr>
              <w:spacing w:before="120" w:after="120"/>
              <w:rPr>
                <w:rFonts w:ascii="Garamond" w:hAnsi="Garamond"/>
                <w:bCs/>
              </w:rPr>
            </w:pPr>
            <w:r w:rsidRPr="00094628">
              <w:rPr>
                <w:rFonts w:ascii="Garamond" w:hAnsi="Garamond"/>
                <w:bCs/>
              </w:rPr>
              <w:lastRenderedPageBreak/>
              <w:t>Nombre de projets mis en œuvre à travers l’initiative PPP</w:t>
            </w:r>
          </w:p>
        </w:tc>
        <w:tc>
          <w:tcPr>
            <w:tcW w:w="993" w:type="dxa"/>
            <w:shd w:val="clear" w:color="auto" w:fill="auto"/>
          </w:tcPr>
          <w:p w14:paraId="1413AE80" w14:textId="77777777" w:rsidR="00144951" w:rsidRPr="00094628" w:rsidRDefault="00144951" w:rsidP="001731C1">
            <w:pPr>
              <w:rPr>
                <w:rFonts w:ascii="Garamond" w:hAnsi="Garamond"/>
              </w:rPr>
            </w:pPr>
            <w:r w:rsidRPr="00094628">
              <w:rPr>
                <w:rFonts w:ascii="Garamond" w:hAnsi="Garamond"/>
              </w:rPr>
              <w:t>Rapport de la Cellule PPP</w:t>
            </w:r>
          </w:p>
        </w:tc>
        <w:tc>
          <w:tcPr>
            <w:tcW w:w="567" w:type="dxa"/>
            <w:shd w:val="clear" w:color="auto" w:fill="auto"/>
          </w:tcPr>
          <w:p w14:paraId="521A1547"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DAF2826"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53A40E19"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7BDBC2F"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24E92E84"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20AA56D2" w14:textId="77777777" w:rsidR="00144951" w:rsidRPr="00094628" w:rsidRDefault="00144951" w:rsidP="001731C1">
            <w:pPr>
              <w:jc w:val="center"/>
              <w:rPr>
                <w:rFonts w:ascii="Garamond" w:hAnsi="Garamond"/>
              </w:rPr>
            </w:pPr>
          </w:p>
        </w:tc>
        <w:tc>
          <w:tcPr>
            <w:tcW w:w="709" w:type="dxa"/>
            <w:shd w:val="clear" w:color="auto" w:fill="auto"/>
          </w:tcPr>
          <w:p w14:paraId="41D17A19" w14:textId="77777777" w:rsidR="00144951" w:rsidRPr="00094628" w:rsidRDefault="00144951" w:rsidP="001731C1">
            <w:pPr>
              <w:jc w:val="center"/>
              <w:rPr>
                <w:rFonts w:ascii="Garamond" w:hAnsi="Garamond"/>
              </w:rPr>
            </w:pPr>
            <w:r w:rsidRPr="00094628">
              <w:rPr>
                <w:rFonts w:ascii="Garamond" w:hAnsi="Garamond"/>
              </w:rPr>
              <w:t xml:space="preserve">Ministères concernés </w:t>
            </w:r>
          </w:p>
        </w:tc>
        <w:tc>
          <w:tcPr>
            <w:tcW w:w="1275" w:type="dxa"/>
            <w:shd w:val="clear" w:color="auto" w:fill="auto"/>
          </w:tcPr>
          <w:p w14:paraId="1C45F9AF" w14:textId="77777777" w:rsidR="00144951" w:rsidRPr="00094628" w:rsidRDefault="00144951" w:rsidP="001731C1">
            <w:pPr>
              <w:jc w:val="center"/>
              <w:rPr>
                <w:rFonts w:ascii="Garamond" w:hAnsi="Garamond"/>
              </w:rPr>
            </w:pPr>
            <w:r w:rsidRPr="00094628">
              <w:rPr>
                <w:rFonts w:ascii="Garamond" w:hAnsi="Garamond"/>
              </w:rPr>
              <w:t xml:space="preserve">Partenaires de mise en œuvre </w:t>
            </w:r>
          </w:p>
        </w:tc>
        <w:tc>
          <w:tcPr>
            <w:tcW w:w="1134" w:type="dxa"/>
            <w:shd w:val="clear" w:color="auto" w:fill="auto"/>
          </w:tcPr>
          <w:p w14:paraId="438877EE" w14:textId="77777777" w:rsidR="00144951" w:rsidRPr="00094628" w:rsidRDefault="00144951" w:rsidP="001731C1">
            <w:pPr>
              <w:jc w:val="center"/>
              <w:rPr>
                <w:rFonts w:ascii="Garamond" w:hAnsi="Garamond"/>
              </w:rPr>
            </w:pPr>
            <w:r w:rsidRPr="00094628">
              <w:rPr>
                <w:rFonts w:ascii="Garamond" w:hAnsi="Garamond"/>
              </w:rPr>
              <w:t>BE</w:t>
            </w:r>
          </w:p>
        </w:tc>
      </w:tr>
      <w:tr w:rsidR="00144951" w:rsidRPr="00094628" w14:paraId="5BC38AE5" w14:textId="77777777" w:rsidTr="00144951">
        <w:tc>
          <w:tcPr>
            <w:tcW w:w="1588" w:type="dxa"/>
            <w:vMerge w:val="restart"/>
            <w:shd w:val="clear" w:color="auto" w:fill="auto"/>
            <w:vAlign w:val="center"/>
          </w:tcPr>
          <w:p w14:paraId="3D50EA28" w14:textId="570F908D" w:rsidR="00144951" w:rsidRPr="00094628" w:rsidRDefault="00144951" w:rsidP="001731C1">
            <w:pPr>
              <w:rPr>
                <w:rFonts w:ascii="Garamond" w:hAnsi="Garamond"/>
              </w:rPr>
            </w:pPr>
            <w:bookmarkStart w:id="20" w:name="_Toc459574062"/>
            <w:r w:rsidRPr="00094628">
              <w:rPr>
                <w:rFonts w:ascii="Garamond" w:hAnsi="Garamond"/>
                <w:bCs/>
              </w:rPr>
              <w:t>Objectifs spécifiques</w:t>
            </w:r>
            <w:r w:rsidRPr="00094628">
              <w:rPr>
                <w:rFonts w:ascii="Garamond" w:hAnsi="Garamond"/>
              </w:rPr>
              <w:t xml:space="preserve"> 4. </w:t>
            </w:r>
            <w:bookmarkEnd w:id="20"/>
            <w:proofErr w:type="gramStart"/>
            <w:r w:rsidRPr="00094628">
              <w:rPr>
                <w:rFonts w:ascii="Garamond" w:hAnsi="Garamond"/>
              </w:rPr>
              <w:t>mieux</w:t>
            </w:r>
            <w:proofErr w:type="gramEnd"/>
            <w:r w:rsidRPr="00094628">
              <w:rPr>
                <w:rFonts w:ascii="Garamond" w:hAnsi="Garamond"/>
              </w:rPr>
              <w:t xml:space="preserve"> structurer et encadrer les secteurs de l’artisanat minier </w:t>
            </w:r>
          </w:p>
        </w:tc>
        <w:tc>
          <w:tcPr>
            <w:tcW w:w="1701" w:type="dxa"/>
            <w:vMerge w:val="restart"/>
            <w:shd w:val="clear" w:color="auto" w:fill="auto"/>
            <w:vAlign w:val="center"/>
          </w:tcPr>
          <w:p w14:paraId="6433C90F" w14:textId="77777777" w:rsidR="00144951" w:rsidRPr="00094628" w:rsidRDefault="00144951" w:rsidP="001731C1">
            <w:pPr>
              <w:rPr>
                <w:rFonts w:ascii="Garamond" w:hAnsi="Garamond"/>
                <w:bCs/>
              </w:rPr>
            </w:pPr>
            <w:r w:rsidRPr="00094628">
              <w:rPr>
                <w:rFonts w:ascii="Garamond" w:hAnsi="Garamond"/>
              </w:rPr>
              <w:t>Axe stratégique 4 : un meilleur respect des réglementations et normes ainsi que la préservation du bien-être des acteurs locaux et des populations</w:t>
            </w:r>
            <w:r w:rsidRPr="00094628">
              <w:rPr>
                <w:rFonts w:ascii="Garamond" w:hAnsi="Garamond"/>
                <w:b/>
              </w:rPr>
              <w:t xml:space="preserve">. </w:t>
            </w:r>
          </w:p>
        </w:tc>
        <w:tc>
          <w:tcPr>
            <w:tcW w:w="1134" w:type="dxa"/>
          </w:tcPr>
          <w:p w14:paraId="31B53E0F" w14:textId="77777777" w:rsidR="00144951" w:rsidRPr="00094628" w:rsidRDefault="00144951" w:rsidP="001731C1">
            <w:pPr>
              <w:rPr>
                <w:rFonts w:ascii="Garamond" w:hAnsi="Garamond"/>
              </w:rPr>
            </w:pPr>
            <w:proofErr w:type="gramStart"/>
            <w:r w:rsidRPr="00094628">
              <w:rPr>
                <w:rFonts w:ascii="Garamond" w:hAnsi="Garamond"/>
              </w:rPr>
              <w:t>le</w:t>
            </w:r>
            <w:proofErr w:type="gramEnd"/>
            <w:r w:rsidRPr="00094628">
              <w:rPr>
                <w:rFonts w:ascii="Garamond" w:hAnsi="Garamond"/>
              </w:rPr>
              <w:t xml:space="preserve"> répertoire des sites d’orpaillage et orpailleurs est créé  </w:t>
            </w:r>
          </w:p>
          <w:p w14:paraId="111A97B9" w14:textId="77777777" w:rsidR="00144951" w:rsidRPr="00094628" w:rsidRDefault="00144951" w:rsidP="001731C1">
            <w:pPr>
              <w:rPr>
                <w:rFonts w:ascii="Garamond" w:hAnsi="Garamond"/>
              </w:rPr>
            </w:pPr>
          </w:p>
        </w:tc>
        <w:tc>
          <w:tcPr>
            <w:tcW w:w="1418" w:type="dxa"/>
            <w:shd w:val="clear" w:color="auto" w:fill="auto"/>
            <w:vAlign w:val="center"/>
          </w:tcPr>
          <w:p w14:paraId="443B589E" w14:textId="77777777" w:rsidR="00144951" w:rsidRPr="00094628" w:rsidRDefault="00144951" w:rsidP="001731C1">
            <w:pPr>
              <w:spacing w:before="60" w:after="60"/>
              <w:rPr>
                <w:rFonts w:ascii="Garamond" w:hAnsi="Garamond"/>
              </w:rPr>
            </w:pPr>
            <w:r w:rsidRPr="00094628">
              <w:rPr>
                <w:rFonts w:ascii="Garamond" w:hAnsi="Garamond"/>
              </w:rPr>
              <w:t xml:space="preserve">Recenser les orpailleurs </w:t>
            </w:r>
          </w:p>
          <w:p w14:paraId="33C37905" w14:textId="77777777" w:rsidR="00144951" w:rsidRPr="00094628" w:rsidRDefault="00144951" w:rsidP="001731C1">
            <w:pPr>
              <w:spacing w:before="60" w:after="60"/>
              <w:rPr>
                <w:rFonts w:ascii="Garamond" w:hAnsi="Garamond"/>
              </w:rPr>
            </w:pPr>
          </w:p>
        </w:tc>
        <w:tc>
          <w:tcPr>
            <w:tcW w:w="1417" w:type="dxa"/>
            <w:shd w:val="clear" w:color="auto" w:fill="auto"/>
            <w:vAlign w:val="center"/>
          </w:tcPr>
          <w:p w14:paraId="6D068390" w14:textId="77777777" w:rsidR="00144951" w:rsidRPr="00094628" w:rsidRDefault="00144951" w:rsidP="001731C1">
            <w:pPr>
              <w:spacing w:before="60" w:after="60"/>
              <w:rPr>
                <w:rFonts w:ascii="Garamond" w:hAnsi="Garamond"/>
              </w:rPr>
            </w:pPr>
            <w:r w:rsidRPr="00094628">
              <w:rPr>
                <w:rFonts w:ascii="Garamond" w:hAnsi="Garamond"/>
              </w:rPr>
              <w:t>Nombre de sites localisés ;</w:t>
            </w:r>
          </w:p>
          <w:p w14:paraId="2DF227D8" w14:textId="77777777" w:rsidR="00144951" w:rsidRPr="00094628" w:rsidRDefault="00144951" w:rsidP="001731C1">
            <w:pPr>
              <w:spacing w:before="60" w:after="60"/>
              <w:rPr>
                <w:rFonts w:ascii="Garamond" w:hAnsi="Garamond"/>
              </w:rPr>
            </w:pPr>
            <w:r w:rsidRPr="00094628">
              <w:rPr>
                <w:rFonts w:ascii="Garamond" w:hAnsi="Garamond"/>
              </w:rPr>
              <w:t xml:space="preserve">Nombre d’orpailleurs </w:t>
            </w:r>
          </w:p>
        </w:tc>
        <w:tc>
          <w:tcPr>
            <w:tcW w:w="993" w:type="dxa"/>
            <w:shd w:val="clear" w:color="auto" w:fill="auto"/>
          </w:tcPr>
          <w:p w14:paraId="3DEF5F1D" w14:textId="77777777" w:rsidR="00144951" w:rsidRPr="00094628" w:rsidRDefault="00144951" w:rsidP="001731C1">
            <w:pPr>
              <w:rPr>
                <w:rFonts w:ascii="Garamond" w:hAnsi="Garamond"/>
              </w:rPr>
            </w:pPr>
            <w:r w:rsidRPr="00094628">
              <w:rPr>
                <w:rFonts w:ascii="Garamond" w:hAnsi="Garamond"/>
              </w:rPr>
              <w:t>Rapport d’activité de la DNGM, de la Chambre des Mines</w:t>
            </w:r>
          </w:p>
        </w:tc>
        <w:tc>
          <w:tcPr>
            <w:tcW w:w="567" w:type="dxa"/>
            <w:shd w:val="clear" w:color="auto" w:fill="auto"/>
          </w:tcPr>
          <w:p w14:paraId="2320A69E"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36A4AF06"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66DB58C9"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07EA0E89"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393C4662"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5864E24F" w14:textId="77777777" w:rsidR="00144951" w:rsidRPr="00094628" w:rsidRDefault="00144951" w:rsidP="001731C1">
            <w:pPr>
              <w:jc w:val="center"/>
              <w:rPr>
                <w:rFonts w:ascii="Garamond" w:hAnsi="Garamond"/>
              </w:rPr>
            </w:pPr>
            <w:r>
              <w:rPr>
                <w:rFonts w:ascii="Garamond" w:hAnsi="Garamond"/>
              </w:rPr>
              <w:t>7.905</w:t>
            </w:r>
          </w:p>
        </w:tc>
        <w:tc>
          <w:tcPr>
            <w:tcW w:w="709" w:type="dxa"/>
            <w:shd w:val="clear" w:color="auto" w:fill="auto"/>
          </w:tcPr>
          <w:p w14:paraId="314AE032"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20879C6F" w14:textId="77777777" w:rsidR="00144951" w:rsidRPr="00094628" w:rsidRDefault="00144951" w:rsidP="001731C1">
            <w:pPr>
              <w:jc w:val="center"/>
              <w:rPr>
                <w:rFonts w:ascii="Garamond" w:hAnsi="Garamond"/>
              </w:rPr>
            </w:pPr>
            <w:r w:rsidRPr="00094628">
              <w:rPr>
                <w:rFonts w:ascii="Garamond" w:hAnsi="Garamond"/>
              </w:rPr>
              <w:t xml:space="preserve">MEF, MDFL, MMEIA, MAT, MSPC, MEADD, </w:t>
            </w:r>
            <w:proofErr w:type="spellStart"/>
            <w:r w:rsidRPr="00094628">
              <w:rPr>
                <w:rFonts w:ascii="Garamond" w:hAnsi="Garamond"/>
              </w:rPr>
              <w:t>PTFs</w:t>
            </w:r>
            <w:proofErr w:type="spellEnd"/>
          </w:p>
        </w:tc>
        <w:tc>
          <w:tcPr>
            <w:tcW w:w="1134" w:type="dxa"/>
            <w:shd w:val="clear" w:color="auto" w:fill="auto"/>
          </w:tcPr>
          <w:p w14:paraId="0D88FFA1"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471D559E" w14:textId="77777777" w:rsidTr="00144951">
        <w:tc>
          <w:tcPr>
            <w:tcW w:w="1588" w:type="dxa"/>
            <w:vMerge/>
            <w:shd w:val="clear" w:color="auto" w:fill="auto"/>
          </w:tcPr>
          <w:p w14:paraId="77B45100"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5B9456B9" w14:textId="77777777" w:rsidR="00144951" w:rsidRPr="00094628" w:rsidRDefault="00144951" w:rsidP="001731C1">
            <w:pPr>
              <w:rPr>
                <w:rFonts w:ascii="Garamond" w:hAnsi="Garamond"/>
                <w:bCs/>
              </w:rPr>
            </w:pPr>
          </w:p>
        </w:tc>
        <w:tc>
          <w:tcPr>
            <w:tcW w:w="1134" w:type="dxa"/>
          </w:tcPr>
          <w:p w14:paraId="64CFDC6F" w14:textId="77777777" w:rsidR="00144951" w:rsidRPr="00094628" w:rsidRDefault="00144951" w:rsidP="001731C1">
            <w:pPr>
              <w:rPr>
                <w:rFonts w:ascii="Garamond" w:hAnsi="Garamond"/>
              </w:rPr>
            </w:pPr>
            <w:proofErr w:type="gramStart"/>
            <w:r w:rsidRPr="00094628">
              <w:rPr>
                <w:rFonts w:ascii="Garamond" w:hAnsi="Garamond"/>
              </w:rPr>
              <w:t>les</w:t>
            </w:r>
            <w:proofErr w:type="gramEnd"/>
            <w:r w:rsidRPr="00094628">
              <w:rPr>
                <w:rFonts w:ascii="Garamond" w:hAnsi="Garamond"/>
              </w:rPr>
              <w:t xml:space="preserve"> couloirs d’orpaillage crées sont sécurisés  </w:t>
            </w:r>
          </w:p>
        </w:tc>
        <w:tc>
          <w:tcPr>
            <w:tcW w:w="1418" w:type="dxa"/>
            <w:vMerge w:val="restart"/>
            <w:shd w:val="clear" w:color="auto" w:fill="auto"/>
            <w:vAlign w:val="center"/>
          </w:tcPr>
          <w:p w14:paraId="15487760" w14:textId="77777777" w:rsidR="00144951" w:rsidRPr="00094628" w:rsidRDefault="00144951" w:rsidP="001731C1">
            <w:pPr>
              <w:spacing w:before="60" w:after="60"/>
              <w:ind w:right="-108"/>
              <w:rPr>
                <w:rFonts w:ascii="Garamond" w:hAnsi="Garamond"/>
              </w:rPr>
            </w:pPr>
          </w:p>
          <w:p w14:paraId="18186AAE" w14:textId="77777777" w:rsidR="00144951" w:rsidRPr="00094628" w:rsidRDefault="00144951" w:rsidP="001731C1">
            <w:pPr>
              <w:spacing w:before="60" w:after="60"/>
              <w:ind w:right="-108"/>
              <w:rPr>
                <w:rFonts w:ascii="Garamond" w:hAnsi="Garamond"/>
              </w:rPr>
            </w:pPr>
            <w:r w:rsidRPr="00094628">
              <w:rPr>
                <w:rFonts w:ascii="Garamond" w:hAnsi="Garamond"/>
              </w:rPr>
              <w:t xml:space="preserve">Rendre disponible et mieux gérer les couloirs d’orpaillage afin de </w:t>
            </w:r>
            <w:r w:rsidRPr="00094628">
              <w:rPr>
                <w:rFonts w:ascii="Garamond" w:hAnsi="Garamond"/>
              </w:rPr>
              <w:lastRenderedPageBreak/>
              <w:t>réduire les conflits potentiels entre exploitants traditionnels et opérateurs industriels</w:t>
            </w:r>
          </w:p>
        </w:tc>
        <w:tc>
          <w:tcPr>
            <w:tcW w:w="1417" w:type="dxa"/>
            <w:shd w:val="clear" w:color="auto" w:fill="auto"/>
            <w:vAlign w:val="center"/>
          </w:tcPr>
          <w:p w14:paraId="7BC14FA7" w14:textId="77777777" w:rsidR="00144951" w:rsidRPr="00094628" w:rsidRDefault="00144951" w:rsidP="001731C1">
            <w:pPr>
              <w:spacing w:before="60" w:after="60"/>
              <w:ind w:right="-108"/>
              <w:rPr>
                <w:rFonts w:ascii="Garamond" w:hAnsi="Garamond"/>
              </w:rPr>
            </w:pPr>
            <w:r w:rsidRPr="00094628">
              <w:rPr>
                <w:rFonts w:ascii="Garamond" w:hAnsi="Garamond"/>
              </w:rPr>
              <w:lastRenderedPageBreak/>
              <w:t xml:space="preserve">Nombre de Couloirs crées sécurisés </w:t>
            </w:r>
          </w:p>
        </w:tc>
        <w:tc>
          <w:tcPr>
            <w:tcW w:w="993" w:type="dxa"/>
            <w:shd w:val="clear" w:color="auto" w:fill="auto"/>
          </w:tcPr>
          <w:p w14:paraId="4219AD95" w14:textId="77777777" w:rsidR="00144951" w:rsidRPr="00094628" w:rsidRDefault="00144951" w:rsidP="001731C1">
            <w:pPr>
              <w:rPr>
                <w:rFonts w:ascii="Garamond" w:hAnsi="Garamond"/>
              </w:rPr>
            </w:pPr>
            <w:r w:rsidRPr="00094628">
              <w:rPr>
                <w:rFonts w:ascii="Garamond" w:hAnsi="Garamond"/>
              </w:rPr>
              <w:t>Rapport d’activité de la DNGM, de la Chambre des Mines</w:t>
            </w:r>
          </w:p>
        </w:tc>
        <w:tc>
          <w:tcPr>
            <w:tcW w:w="567" w:type="dxa"/>
            <w:shd w:val="clear" w:color="auto" w:fill="auto"/>
          </w:tcPr>
          <w:p w14:paraId="6E2506F7"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D8929C5"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32141DBE"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48C5DE2F"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69E99AF2"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41EA2901" w14:textId="77777777" w:rsidR="00144951" w:rsidRPr="00094628" w:rsidRDefault="00144951" w:rsidP="001731C1">
            <w:pPr>
              <w:jc w:val="center"/>
              <w:rPr>
                <w:rFonts w:ascii="Garamond" w:hAnsi="Garamond"/>
              </w:rPr>
            </w:pPr>
          </w:p>
        </w:tc>
        <w:tc>
          <w:tcPr>
            <w:tcW w:w="709" w:type="dxa"/>
            <w:shd w:val="clear" w:color="auto" w:fill="auto"/>
          </w:tcPr>
          <w:p w14:paraId="4F33E534"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14ECCD91" w14:textId="77777777" w:rsidR="00144951" w:rsidRPr="00094628" w:rsidRDefault="00144951" w:rsidP="001731C1">
            <w:pPr>
              <w:jc w:val="center"/>
              <w:rPr>
                <w:rFonts w:ascii="Garamond" w:hAnsi="Garamond"/>
              </w:rPr>
            </w:pPr>
            <w:r w:rsidRPr="00094628">
              <w:rPr>
                <w:rFonts w:ascii="Garamond" w:hAnsi="Garamond"/>
              </w:rPr>
              <w:t xml:space="preserve">MEF, MDFL, MMEIA, MAT, MSPC, MEADD, </w:t>
            </w:r>
            <w:proofErr w:type="spellStart"/>
            <w:r w:rsidRPr="00094628">
              <w:rPr>
                <w:rFonts w:ascii="Garamond" w:hAnsi="Garamond"/>
              </w:rPr>
              <w:t>PTFs</w:t>
            </w:r>
            <w:proofErr w:type="spellEnd"/>
          </w:p>
        </w:tc>
        <w:tc>
          <w:tcPr>
            <w:tcW w:w="1134" w:type="dxa"/>
            <w:shd w:val="clear" w:color="auto" w:fill="auto"/>
          </w:tcPr>
          <w:p w14:paraId="5B96E6B3"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32547875" w14:textId="77777777" w:rsidTr="00144951">
        <w:tc>
          <w:tcPr>
            <w:tcW w:w="1588" w:type="dxa"/>
            <w:vMerge/>
            <w:shd w:val="clear" w:color="auto" w:fill="auto"/>
          </w:tcPr>
          <w:p w14:paraId="4B6A5A27"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4A115625" w14:textId="77777777" w:rsidR="00144951" w:rsidRPr="00094628" w:rsidRDefault="00144951" w:rsidP="001731C1">
            <w:pPr>
              <w:rPr>
                <w:rFonts w:ascii="Garamond" w:hAnsi="Garamond"/>
                <w:bCs/>
              </w:rPr>
            </w:pPr>
          </w:p>
        </w:tc>
        <w:tc>
          <w:tcPr>
            <w:tcW w:w="1134" w:type="dxa"/>
          </w:tcPr>
          <w:p w14:paraId="1622AA54" w14:textId="77777777" w:rsidR="00144951" w:rsidRPr="00094628" w:rsidRDefault="00144951" w:rsidP="001731C1">
            <w:pPr>
              <w:rPr>
                <w:rFonts w:ascii="Garamond" w:hAnsi="Garamond"/>
              </w:rPr>
            </w:pPr>
            <w:r w:rsidRPr="00094628">
              <w:rPr>
                <w:rFonts w:ascii="Garamond" w:hAnsi="Garamond"/>
              </w:rPr>
              <w:t xml:space="preserve">Prévention des conflits </w:t>
            </w:r>
          </w:p>
        </w:tc>
        <w:tc>
          <w:tcPr>
            <w:tcW w:w="1418" w:type="dxa"/>
            <w:vMerge/>
            <w:shd w:val="clear" w:color="auto" w:fill="auto"/>
            <w:vAlign w:val="center"/>
          </w:tcPr>
          <w:p w14:paraId="4AED06AC" w14:textId="77777777" w:rsidR="00144951" w:rsidRPr="00094628" w:rsidRDefault="00144951" w:rsidP="001731C1">
            <w:pPr>
              <w:spacing w:before="60" w:after="60"/>
              <w:ind w:right="-108"/>
              <w:rPr>
                <w:rFonts w:ascii="Garamond" w:hAnsi="Garamond"/>
              </w:rPr>
            </w:pPr>
          </w:p>
        </w:tc>
        <w:tc>
          <w:tcPr>
            <w:tcW w:w="1417" w:type="dxa"/>
            <w:shd w:val="clear" w:color="auto" w:fill="auto"/>
            <w:vAlign w:val="center"/>
          </w:tcPr>
          <w:p w14:paraId="0225CA22" w14:textId="77777777" w:rsidR="00144951" w:rsidRPr="00094628" w:rsidRDefault="00144951" w:rsidP="001731C1">
            <w:pPr>
              <w:spacing w:before="60" w:after="60"/>
              <w:ind w:right="-108"/>
              <w:rPr>
                <w:rFonts w:ascii="Garamond" w:hAnsi="Garamond"/>
              </w:rPr>
            </w:pPr>
            <w:r w:rsidRPr="00094628">
              <w:rPr>
                <w:rFonts w:ascii="Garamond" w:hAnsi="Garamond"/>
              </w:rPr>
              <w:t>% de diminution des conflits sur les permis</w:t>
            </w:r>
          </w:p>
        </w:tc>
        <w:tc>
          <w:tcPr>
            <w:tcW w:w="993" w:type="dxa"/>
            <w:shd w:val="clear" w:color="auto" w:fill="auto"/>
          </w:tcPr>
          <w:p w14:paraId="7EC81F10" w14:textId="77777777" w:rsidR="00144951" w:rsidRPr="00094628" w:rsidRDefault="00144951" w:rsidP="001731C1">
            <w:pPr>
              <w:rPr>
                <w:rFonts w:ascii="Garamond" w:hAnsi="Garamond"/>
              </w:rPr>
            </w:pPr>
            <w:r w:rsidRPr="00094628">
              <w:rPr>
                <w:rFonts w:ascii="Garamond" w:hAnsi="Garamond"/>
              </w:rPr>
              <w:t>Rapport d’activité de la DNGM, de la Chambre des Mines</w:t>
            </w:r>
          </w:p>
        </w:tc>
        <w:tc>
          <w:tcPr>
            <w:tcW w:w="567" w:type="dxa"/>
            <w:shd w:val="clear" w:color="auto" w:fill="auto"/>
          </w:tcPr>
          <w:p w14:paraId="5E5CA92A"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23D2A6DF"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63588117"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55D4584"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7640C3F3"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2DAA29CE" w14:textId="77777777" w:rsidR="00144951" w:rsidRPr="00094628" w:rsidRDefault="00144951" w:rsidP="001731C1">
            <w:pPr>
              <w:jc w:val="center"/>
              <w:rPr>
                <w:rFonts w:ascii="Garamond" w:hAnsi="Garamond"/>
              </w:rPr>
            </w:pPr>
          </w:p>
        </w:tc>
        <w:tc>
          <w:tcPr>
            <w:tcW w:w="709" w:type="dxa"/>
            <w:shd w:val="clear" w:color="auto" w:fill="auto"/>
          </w:tcPr>
          <w:p w14:paraId="7412864B"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05B6EFE0" w14:textId="77777777" w:rsidR="00144951" w:rsidRPr="00094628" w:rsidRDefault="00144951" w:rsidP="001731C1">
            <w:pPr>
              <w:jc w:val="center"/>
              <w:rPr>
                <w:rFonts w:ascii="Garamond" w:hAnsi="Garamond"/>
              </w:rPr>
            </w:pPr>
            <w:r w:rsidRPr="00094628">
              <w:rPr>
                <w:rFonts w:ascii="Garamond" w:hAnsi="Garamond"/>
              </w:rPr>
              <w:t xml:space="preserve">MEF, MDFL, MMEIA, MAT, MSPC, MEADD, </w:t>
            </w:r>
            <w:proofErr w:type="spellStart"/>
            <w:r w:rsidRPr="00094628">
              <w:rPr>
                <w:rFonts w:ascii="Garamond" w:hAnsi="Garamond"/>
              </w:rPr>
              <w:t>PTFs</w:t>
            </w:r>
            <w:proofErr w:type="spellEnd"/>
          </w:p>
        </w:tc>
        <w:tc>
          <w:tcPr>
            <w:tcW w:w="1134" w:type="dxa"/>
            <w:shd w:val="clear" w:color="auto" w:fill="auto"/>
          </w:tcPr>
          <w:p w14:paraId="561D04F8"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41F25598" w14:textId="77777777" w:rsidTr="00144951">
        <w:tc>
          <w:tcPr>
            <w:tcW w:w="1588" w:type="dxa"/>
            <w:vMerge/>
            <w:shd w:val="clear" w:color="auto" w:fill="auto"/>
          </w:tcPr>
          <w:p w14:paraId="6D9DFC97"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60F00FC2" w14:textId="77777777" w:rsidR="00144951" w:rsidRPr="00094628" w:rsidRDefault="00144951" w:rsidP="001731C1">
            <w:pPr>
              <w:rPr>
                <w:rFonts w:ascii="Garamond" w:hAnsi="Garamond"/>
                <w:bCs/>
              </w:rPr>
            </w:pPr>
          </w:p>
        </w:tc>
        <w:tc>
          <w:tcPr>
            <w:tcW w:w="1134" w:type="dxa"/>
          </w:tcPr>
          <w:p w14:paraId="74997CAF" w14:textId="77777777" w:rsidR="00144951" w:rsidRPr="00094628" w:rsidRDefault="00144951" w:rsidP="001731C1">
            <w:pPr>
              <w:rPr>
                <w:rFonts w:ascii="Garamond" w:hAnsi="Garamond"/>
              </w:rPr>
            </w:pPr>
            <w:proofErr w:type="gramStart"/>
            <w:r w:rsidRPr="00094628">
              <w:rPr>
                <w:rFonts w:ascii="Garamond" w:hAnsi="Garamond"/>
              </w:rPr>
              <w:t>les</w:t>
            </w:r>
            <w:proofErr w:type="gramEnd"/>
            <w:r w:rsidRPr="00094628">
              <w:rPr>
                <w:rFonts w:ascii="Garamond" w:hAnsi="Garamond"/>
              </w:rPr>
              <w:t xml:space="preserve"> pratiques  d’exploitation durables et respectueuses de l’environnement dans l’orpaillage sont adoptées</w:t>
            </w:r>
          </w:p>
        </w:tc>
        <w:tc>
          <w:tcPr>
            <w:tcW w:w="1418" w:type="dxa"/>
            <w:vMerge w:val="restart"/>
            <w:shd w:val="clear" w:color="auto" w:fill="auto"/>
            <w:vAlign w:val="center"/>
          </w:tcPr>
          <w:p w14:paraId="3F514567" w14:textId="77777777" w:rsidR="00144951" w:rsidRPr="00094628" w:rsidRDefault="00144951" w:rsidP="001731C1">
            <w:pPr>
              <w:spacing w:before="60" w:after="60"/>
              <w:ind w:right="-108"/>
              <w:rPr>
                <w:rFonts w:ascii="Garamond" w:hAnsi="Garamond"/>
              </w:rPr>
            </w:pPr>
            <w:r w:rsidRPr="00094628">
              <w:rPr>
                <w:rFonts w:ascii="Garamond" w:hAnsi="Garamond"/>
              </w:rPr>
              <w:t>Promouvoir l’adoption des pratiques d’exploitation durable et respectueuse de l’environnement dans l’orpaillage</w:t>
            </w:r>
          </w:p>
        </w:tc>
        <w:tc>
          <w:tcPr>
            <w:tcW w:w="1417" w:type="dxa"/>
            <w:shd w:val="clear" w:color="auto" w:fill="auto"/>
            <w:vAlign w:val="center"/>
          </w:tcPr>
          <w:p w14:paraId="2BE055C3" w14:textId="77777777" w:rsidR="00144951" w:rsidRPr="00094628" w:rsidRDefault="00144951" w:rsidP="001731C1">
            <w:pPr>
              <w:spacing w:before="60" w:after="60"/>
              <w:ind w:right="-108"/>
              <w:rPr>
                <w:rFonts w:ascii="Garamond" w:hAnsi="Garamond"/>
              </w:rPr>
            </w:pPr>
            <w:r w:rsidRPr="00094628">
              <w:rPr>
                <w:rFonts w:ascii="Garamond" w:hAnsi="Garamond"/>
              </w:rPr>
              <w:t>Nombre de sites ayant bénéficié de séances d’IEC</w:t>
            </w:r>
          </w:p>
        </w:tc>
        <w:tc>
          <w:tcPr>
            <w:tcW w:w="993" w:type="dxa"/>
            <w:shd w:val="clear" w:color="auto" w:fill="auto"/>
          </w:tcPr>
          <w:p w14:paraId="5846EF68" w14:textId="77777777" w:rsidR="00144951" w:rsidRPr="00094628" w:rsidRDefault="00144951" w:rsidP="001731C1">
            <w:pPr>
              <w:rPr>
                <w:rFonts w:ascii="Garamond" w:hAnsi="Garamond"/>
              </w:rPr>
            </w:pPr>
            <w:r w:rsidRPr="00094628">
              <w:rPr>
                <w:rFonts w:ascii="Garamond" w:hAnsi="Garamond"/>
              </w:rPr>
              <w:t>Rapport d’activité de la DNGM, de la Chambre des Mines</w:t>
            </w:r>
          </w:p>
        </w:tc>
        <w:tc>
          <w:tcPr>
            <w:tcW w:w="567" w:type="dxa"/>
            <w:shd w:val="clear" w:color="auto" w:fill="auto"/>
          </w:tcPr>
          <w:p w14:paraId="345B5341"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2E95C2B9"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25C1271"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613C4DB8"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617E6F6C"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4A856B6F" w14:textId="77777777" w:rsidR="00144951" w:rsidRPr="00094628" w:rsidRDefault="00144951" w:rsidP="001731C1">
            <w:pPr>
              <w:jc w:val="center"/>
              <w:rPr>
                <w:rFonts w:ascii="Garamond" w:hAnsi="Garamond"/>
              </w:rPr>
            </w:pPr>
          </w:p>
        </w:tc>
        <w:tc>
          <w:tcPr>
            <w:tcW w:w="709" w:type="dxa"/>
            <w:shd w:val="clear" w:color="auto" w:fill="auto"/>
          </w:tcPr>
          <w:p w14:paraId="7B775C0F"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2D13AA61" w14:textId="77777777" w:rsidR="00144951" w:rsidRPr="00094628" w:rsidRDefault="00144951" w:rsidP="001731C1">
            <w:pPr>
              <w:jc w:val="center"/>
              <w:rPr>
                <w:rFonts w:ascii="Garamond" w:hAnsi="Garamond"/>
              </w:rPr>
            </w:pPr>
            <w:r w:rsidRPr="00094628">
              <w:rPr>
                <w:rFonts w:ascii="Garamond" w:hAnsi="Garamond"/>
              </w:rPr>
              <w:t xml:space="preserve">MEF, MDFL, MMEIA, MAT, MSPC, MEADD, </w:t>
            </w:r>
            <w:proofErr w:type="spellStart"/>
            <w:r w:rsidRPr="00094628">
              <w:rPr>
                <w:rFonts w:ascii="Garamond" w:hAnsi="Garamond"/>
              </w:rPr>
              <w:t>PTFs</w:t>
            </w:r>
            <w:proofErr w:type="spellEnd"/>
          </w:p>
        </w:tc>
        <w:tc>
          <w:tcPr>
            <w:tcW w:w="1134" w:type="dxa"/>
            <w:shd w:val="clear" w:color="auto" w:fill="auto"/>
          </w:tcPr>
          <w:p w14:paraId="667C19B0"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519F9B96" w14:textId="77777777" w:rsidTr="00144951">
        <w:tc>
          <w:tcPr>
            <w:tcW w:w="1588" w:type="dxa"/>
            <w:vMerge/>
            <w:shd w:val="clear" w:color="auto" w:fill="auto"/>
          </w:tcPr>
          <w:p w14:paraId="08CA8E33"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5DBDF62B" w14:textId="77777777" w:rsidR="00144951" w:rsidRPr="00094628" w:rsidRDefault="00144951" w:rsidP="001731C1">
            <w:pPr>
              <w:rPr>
                <w:rFonts w:ascii="Garamond" w:hAnsi="Garamond"/>
                <w:bCs/>
              </w:rPr>
            </w:pPr>
          </w:p>
        </w:tc>
        <w:tc>
          <w:tcPr>
            <w:tcW w:w="1134" w:type="dxa"/>
            <w:vAlign w:val="center"/>
          </w:tcPr>
          <w:p w14:paraId="5B99BFF0" w14:textId="77777777" w:rsidR="00144951" w:rsidRPr="00094628" w:rsidRDefault="00144951" w:rsidP="001731C1">
            <w:pPr>
              <w:spacing w:before="120" w:after="120"/>
              <w:rPr>
                <w:rFonts w:ascii="Garamond" w:hAnsi="Garamond"/>
              </w:rPr>
            </w:pPr>
          </w:p>
        </w:tc>
        <w:tc>
          <w:tcPr>
            <w:tcW w:w="1418" w:type="dxa"/>
            <w:vMerge/>
            <w:shd w:val="clear" w:color="auto" w:fill="auto"/>
            <w:vAlign w:val="center"/>
          </w:tcPr>
          <w:p w14:paraId="34653EBE" w14:textId="77777777" w:rsidR="00144951" w:rsidRPr="00094628" w:rsidRDefault="00144951" w:rsidP="001731C1">
            <w:pPr>
              <w:spacing w:before="60" w:after="60"/>
              <w:ind w:right="-108"/>
              <w:rPr>
                <w:rFonts w:ascii="Garamond" w:hAnsi="Garamond"/>
              </w:rPr>
            </w:pPr>
          </w:p>
        </w:tc>
        <w:tc>
          <w:tcPr>
            <w:tcW w:w="1417" w:type="dxa"/>
            <w:shd w:val="clear" w:color="auto" w:fill="auto"/>
            <w:vAlign w:val="center"/>
          </w:tcPr>
          <w:p w14:paraId="2B24CFB9" w14:textId="77777777" w:rsidR="00144951" w:rsidRPr="00094628" w:rsidRDefault="00144951" w:rsidP="001731C1">
            <w:pPr>
              <w:spacing w:before="60" w:after="60"/>
              <w:ind w:right="-108"/>
              <w:rPr>
                <w:rFonts w:ascii="Garamond" w:hAnsi="Garamond"/>
              </w:rPr>
            </w:pPr>
            <w:r w:rsidRPr="00094628">
              <w:rPr>
                <w:rFonts w:ascii="Garamond" w:hAnsi="Garamond"/>
              </w:rPr>
              <w:t xml:space="preserve">Nombre de sites d’orpaillage dans lesquels les nouveaux </w:t>
            </w:r>
            <w:r w:rsidRPr="00094628">
              <w:rPr>
                <w:rFonts w:ascii="Garamond" w:hAnsi="Garamond"/>
              </w:rPr>
              <w:lastRenderedPageBreak/>
              <w:t>« process » sont appliqués</w:t>
            </w:r>
          </w:p>
        </w:tc>
        <w:tc>
          <w:tcPr>
            <w:tcW w:w="993" w:type="dxa"/>
            <w:shd w:val="clear" w:color="auto" w:fill="auto"/>
          </w:tcPr>
          <w:p w14:paraId="3E41B7BC" w14:textId="77777777" w:rsidR="00144951" w:rsidRPr="00094628" w:rsidRDefault="00144951" w:rsidP="001731C1">
            <w:pPr>
              <w:rPr>
                <w:rFonts w:ascii="Garamond" w:hAnsi="Garamond"/>
              </w:rPr>
            </w:pPr>
            <w:r w:rsidRPr="00094628">
              <w:rPr>
                <w:rFonts w:ascii="Garamond" w:hAnsi="Garamond"/>
              </w:rPr>
              <w:lastRenderedPageBreak/>
              <w:t xml:space="preserve">Rapport d’activité de la DNGM, de la </w:t>
            </w:r>
            <w:r w:rsidRPr="00094628">
              <w:rPr>
                <w:rFonts w:ascii="Garamond" w:hAnsi="Garamond"/>
              </w:rPr>
              <w:lastRenderedPageBreak/>
              <w:t>Chambre des Mines</w:t>
            </w:r>
          </w:p>
        </w:tc>
        <w:tc>
          <w:tcPr>
            <w:tcW w:w="567" w:type="dxa"/>
            <w:shd w:val="clear" w:color="auto" w:fill="auto"/>
          </w:tcPr>
          <w:p w14:paraId="7A3284BB" w14:textId="77777777" w:rsidR="00144951" w:rsidRPr="00094628" w:rsidRDefault="00144951" w:rsidP="001731C1">
            <w:pPr>
              <w:jc w:val="center"/>
              <w:rPr>
                <w:rFonts w:ascii="Garamond" w:hAnsi="Garamond"/>
              </w:rPr>
            </w:pPr>
            <w:r w:rsidRPr="00094628">
              <w:rPr>
                <w:rFonts w:ascii="Garamond" w:hAnsi="Garamond"/>
              </w:rPr>
              <w:lastRenderedPageBreak/>
              <w:t>X</w:t>
            </w:r>
          </w:p>
        </w:tc>
        <w:tc>
          <w:tcPr>
            <w:tcW w:w="567" w:type="dxa"/>
            <w:shd w:val="clear" w:color="auto" w:fill="auto"/>
          </w:tcPr>
          <w:p w14:paraId="7F1AE72D"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623A342"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603AE2D5"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4E1CE6A3"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45C8CC36" w14:textId="77777777" w:rsidR="00144951" w:rsidRPr="00094628" w:rsidRDefault="00144951" w:rsidP="001731C1">
            <w:pPr>
              <w:jc w:val="center"/>
              <w:rPr>
                <w:rFonts w:ascii="Garamond" w:hAnsi="Garamond"/>
              </w:rPr>
            </w:pPr>
          </w:p>
        </w:tc>
        <w:tc>
          <w:tcPr>
            <w:tcW w:w="709" w:type="dxa"/>
            <w:shd w:val="clear" w:color="auto" w:fill="auto"/>
          </w:tcPr>
          <w:p w14:paraId="434F1B05"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4CCC5BC4" w14:textId="77777777" w:rsidR="00144951" w:rsidRPr="00094628" w:rsidRDefault="00144951" w:rsidP="001731C1">
            <w:pPr>
              <w:jc w:val="center"/>
              <w:rPr>
                <w:rFonts w:ascii="Garamond" w:hAnsi="Garamond"/>
              </w:rPr>
            </w:pPr>
            <w:r w:rsidRPr="00094628">
              <w:rPr>
                <w:rFonts w:ascii="Garamond" w:hAnsi="Garamond"/>
              </w:rPr>
              <w:t xml:space="preserve">MEF, MDFL, MMEIA, MAT, MSPC, </w:t>
            </w:r>
            <w:r w:rsidRPr="00094628">
              <w:rPr>
                <w:rFonts w:ascii="Garamond" w:hAnsi="Garamond"/>
              </w:rPr>
              <w:lastRenderedPageBreak/>
              <w:t xml:space="preserve">MEADD, </w:t>
            </w:r>
            <w:proofErr w:type="spellStart"/>
            <w:r w:rsidRPr="00094628">
              <w:rPr>
                <w:rFonts w:ascii="Garamond" w:hAnsi="Garamond"/>
              </w:rPr>
              <w:t>PTFs</w:t>
            </w:r>
            <w:proofErr w:type="spellEnd"/>
          </w:p>
        </w:tc>
        <w:tc>
          <w:tcPr>
            <w:tcW w:w="1134" w:type="dxa"/>
            <w:shd w:val="clear" w:color="auto" w:fill="auto"/>
          </w:tcPr>
          <w:p w14:paraId="56E95CF2" w14:textId="77777777" w:rsidR="00144951" w:rsidRPr="00094628" w:rsidRDefault="00144951" w:rsidP="001731C1">
            <w:pPr>
              <w:rPr>
                <w:rFonts w:ascii="Garamond" w:hAnsi="Garamond"/>
              </w:rPr>
            </w:pPr>
            <w:r w:rsidRPr="00094628">
              <w:rPr>
                <w:rFonts w:ascii="Garamond" w:hAnsi="Garamond"/>
              </w:rPr>
              <w:lastRenderedPageBreak/>
              <w:t>BE</w:t>
            </w:r>
          </w:p>
        </w:tc>
      </w:tr>
      <w:tr w:rsidR="00144951" w:rsidRPr="00094628" w14:paraId="4A1FCDE7" w14:textId="77777777" w:rsidTr="00144951">
        <w:tc>
          <w:tcPr>
            <w:tcW w:w="1588" w:type="dxa"/>
            <w:vMerge/>
            <w:shd w:val="clear" w:color="auto" w:fill="auto"/>
          </w:tcPr>
          <w:p w14:paraId="7320A401"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4640A463" w14:textId="77777777" w:rsidR="00144951" w:rsidRPr="00094628" w:rsidRDefault="00144951" w:rsidP="001731C1">
            <w:pPr>
              <w:rPr>
                <w:rFonts w:ascii="Garamond" w:hAnsi="Garamond"/>
                <w:bCs/>
              </w:rPr>
            </w:pPr>
          </w:p>
        </w:tc>
        <w:tc>
          <w:tcPr>
            <w:tcW w:w="1134" w:type="dxa"/>
          </w:tcPr>
          <w:p w14:paraId="38EF44B4" w14:textId="77777777" w:rsidR="00144951" w:rsidRPr="00094628" w:rsidRDefault="00144951" w:rsidP="001731C1">
            <w:pPr>
              <w:rPr>
                <w:rFonts w:ascii="Garamond" w:hAnsi="Garamond"/>
              </w:rPr>
            </w:pPr>
            <w:proofErr w:type="gramStart"/>
            <w:r w:rsidRPr="00094628">
              <w:rPr>
                <w:rFonts w:ascii="Garamond" w:hAnsi="Garamond"/>
              </w:rPr>
              <w:t>l’orpaillage</w:t>
            </w:r>
            <w:proofErr w:type="gramEnd"/>
            <w:r w:rsidRPr="00094628">
              <w:rPr>
                <w:rFonts w:ascii="Garamond" w:hAnsi="Garamond"/>
              </w:rPr>
              <w:t xml:space="preserve"> est encadré </w:t>
            </w:r>
          </w:p>
          <w:p w14:paraId="4E2B85F5" w14:textId="77777777" w:rsidR="00144951" w:rsidRPr="00094628" w:rsidRDefault="00144951" w:rsidP="001731C1">
            <w:pPr>
              <w:rPr>
                <w:rFonts w:ascii="Garamond" w:hAnsi="Garamond"/>
              </w:rPr>
            </w:pPr>
          </w:p>
        </w:tc>
        <w:tc>
          <w:tcPr>
            <w:tcW w:w="1418" w:type="dxa"/>
            <w:shd w:val="clear" w:color="auto" w:fill="auto"/>
            <w:vAlign w:val="center"/>
          </w:tcPr>
          <w:p w14:paraId="76BED64D" w14:textId="77777777" w:rsidR="00144951" w:rsidRPr="00094628" w:rsidRDefault="00144951" w:rsidP="001731C1">
            <w:pPr>
              <w:spacing w:before="60" w:after="60"/>
              <w:ind w:right="-108"/>
              <w:rPr>
                <w:rFonts w:ascii="Garamond" w:hAnsi="Garamond"/>
              </w:rPr>
            </w:pPr>
            <w:r w:rsidRPr="00094628">
              <w:rPr>
                <w:rFonts w:ascii="Garamond" w:hAnsi="Garamond"/>
              </w:rPr>
              <w:t>Faciliter l’octroi des titres d’exploitation</w:t>
            </w:r>
          </w:p>
          <w:p w14:paraId="1230410F" w14:textId="77777777" w:rsidR="00144951" w:rsidRPr="00094628" w:rsidRDefault="00144951" w:rsidP="001731C1">
            <w:pPr>
              <w:spacing w:before="60" w:after="60"/>
              <w:ind w:right="-108"/>
              <w:rPr>
                <w:rFonts w:ascii="Garamond" w:hAnsi="Garamond"/>
              </w:rPr>
            </w:pPr>
          </w:p>
        </w:tc>
        <w:tc>
          <w:tcPr>
            <w:tcW w:w="1417" w:type="dxa"/>
            <w:shd w:val="clear" w:color="auto" w:fill="auto"/>
            <w:vAlign w:val="center"/>
          </w:tcPr>
          <w:p w14:paraId="603CA44E" w14:textId="77777777" w:rsidR="00144951" w:rsidRPr="00094628" w:rsidRDefault="00144951" w:rsidP="001731C1">
            <w:pPr>
              <w:spacing w:before="60" w:after="60"/>
              <w:ind w:right="-108"/>
              <w:rPr>
                <w:rFonts w:ascii="Garamond" w:hAnsi="Garamond"/>
              </w:rPr>
            </w:pPr>
            <w:r w:rsidRPr="00094628">
              <w:rPr>
                <w:rFonts w:ascii="Garamond" w:hAnsi="Garamond"/>
              </w:rPr>
              <w:t>Nombre de titres attribués</w:t>
            </w:r>
          </w:p>
        </w:tc>
        <w:tc>
          <w:tcPr>
            <w:tcW w:w="993" w:type="dxa"/>
            <w:shd w:val="clear" w:color="auto" w:fill="auto"/>
          </w:tcPr>
          <w:p w14:paraId="11782599" w14:textId="77777777" w:rsidR="00144951" w:rsidRPr="00094628" w:rsidRDefault="00144951" w:rsidP="001731C1">
            <w:pPr>
              <w:rPr>
                <w:rFonts w:ascii="Garamond" w:hAnsi="Garamond"/>
              </w:rPr>
            </w:pPr>
            <w:r w:rsidRPr="00094628">
              <w:rPr>
                <w:rFonts w:ascii="Garamond" w:hAnsi="Garamond"/>
              </w:rPr>
              <w:t>Rapport d’activité de la DNGM, de la Chambre des Mines</w:t>
            </w:r>
          </w:p>
        </w:tc>
        <w:tc>
          <w:tcPr>
            <w:tcW w:w="567" w:type="dxa"/>
            <w:shd w:val="clear" w:color="auto" w:fill="auto"/>
          </w:tcPr>
          <w:p w14:paraId="49470937"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5396A62"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6B2FE8E"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BDC55F7"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2EDAD067"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1B79D9EF" w14:textId="77777777" w:rsidR="00144951" w:rsidRPr="00094628" w:rsidRDefault="00144951" w:rsidP="001731C1">
            <w:pPr>
              <w:jc w:val="center"/>
              <w:rPr>
                <w:rFonts w:ascii="Garamond" w:hAnsi="Garamond"/>
              </w:rPr>
            </w:pPr>
          </w:p>
        </w:tc>
        <w:tc>
          <w:tcPr>
            <w:tcW w:w="709" w:type="dxa"/>
            <w:shd w:val="clear" w:color="auto" w:fill="auto"/>
          </w:tcPr>
          <w:p w14:paraId="2CAA697C"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209D94B6" w14:textId="77777777" w:rsidR="00144951" w:rsidRPr="00094628" w:rsidRDefault="00144951" w:rsidP="001731C1">
            <w:pPr>
              <w:jc w:val="center"/>
              <w:rPr>
                <w:rFonts w:ascii="Garamond" w:hAnsi="Garamond"/>
              </w:rPr>
            </w:pPr>
            <w:r w:rsidRPr="00094628">
              <w:rPr>
                <w:rFonts w:ascii="Garamond" w:hAnsi="Garamond"/>
              </w:rPr>
              <w:t xml:space="preserve">MEF, MDFL, MMEIA, MAT, MSPC, MEADD, </w:t>
            </w:r>
            <w:proofErr w:type="spellStart"/>
            <w:r w:rsidRPr="00094628">
              <w:rPr>
                <w:rFonts w:ascii="Garamond" w:hAnsi="Garamond"/>
              </w:rPr>
              <w:t>PTFs</w:t>
            </w:r>
            <w:proofErr w:type="spellEnd"/>
          </w:p>
        </w:tc>
        <w:tc>
          <w:tcPr>
            <w:tcW w:w="1134" w:type="dxa"/>
            <w:shd w:val="clear" w:color="auto" w:fill="auto"/>
          </w:tcPr>
          <w:p w14:paraId="585EDBB7"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14A0CA86" w14:textId="77777777" w:rsidTr="00144951">
        <w:tc>
          <w:tcPr>
            <w:tcW w:w="1588" w:type="dxa"/>
            <w:vMerge/>
            <w:shd w:val="clear" w:color="auto" w:fill="auto"/>
          </w:tcPr>
          <w:p w14:paraId="412AE944"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2643A115" w14:textId="77777777" w:rsidR="00144951" w:rsidRPr="00094628" w:rsidRDefault="00144951" w:rsidP="001731C1">
            <w:pPr>
              <w:rPr>
                <w:rFonts w:ascii="Garamond" w:hAnsi="Garamond"/>
                <w:bCs/>
              </w:rPr>
            </w:pPr>
          </w:p>
        </w:tc>
        <w:tc>
          <w:tcPr>
            <w:tcW w:w="1134" w:type="dxa"/>
          </w:tcPr>
          <w:p w14:paraId="0B877222" w14:textId="77777777" w:rsidR="00144951" w:rsidRPr="00094628" w:rsidRDefault="00144951" w:rsidP="001731C1">
            <w:pPr>
              <w:rPr>
                <w:rFonts w:ascii="Garamond" w:hAnsi="Garamond"/>
              </w:rPr>
            </w:pPr>
            <w:r w:rsidRPr="00094628">
              <w:rPr>
                <w:rFonts w:ascii="Garamond" w:hAnsi="Garamond"/>
              </w:rPr>
              <w:t xml:space="preserve">Les organisations socioprofessionnelles sont créées </w:t>
            </w:r>
          </w:p>
        </w:tc>
        <w:tc>
          <w:tcPr>
            <w:tcW w:w="1418" w:type="dxa"/>
            <w:shd w:val="clear" w:color="auto" w:fill="auto"/>
            <w:vAlign w:val="center"/>
          </w:tcPr>
          <w:p w14:paraId="66322B1C" w14:textId="77777777" w:rsidR="00144951" w:rsidRPr="00094628" w:rsidRDefault="00144951" w:rsidP="001731C1">
            <w:pPr>
              <w:spacing w:before="60" w:after="60"/>
              <w:ind w:right="-108"/>
              <w:rPr>
                <w:rFonts w:ascii="Garamond" w:hAnsi="Garamond"/>
              </w:rPr>
            </w:pPr>
            <w:r w:rsidRPr="00094628">
              <w:rPr>
                <w:rFonts w:ascii="Garamond" w:hAnsi="Garamond"/>
              </w:rPr>
              <w:t>Mise en place d’organisations professionnelles et/ou coopératives</w:t>
            </w:r>
          </w:p>
          <w:p w14:paraId="2DACCA2F" w14:textId="77777777" w:rsidR="00144951" w:rsidRPr="00094628" w:rsidRDefault="00144951" w:rsidP="001731C1">
            <w:pPr>
              <w:spacing w:before="60" w:after="60"/>
              <w:ind w:right="-108"/>
              <w:rPr>
                <w:rFonts w:ascii="Garamond" w:hAnsi="Garamond"/>
              </w:rPr>
            </w:pPr>
            <w:r w:rsidRPr="00094628">
              <w:rPr>
                <w:rFonts w:ascii="Garamond" w:hAnsi="Garamond"/>
              </w:rPr>
              <w:t xml:space="preserve"> </w:t>
            </w:r>
          </w:p>
        </w:tc>
        <w:tc>
          <w:tcPr>
            <w:tcW w:w="1417" w:type="dxa"/>
            <w:shd w:val="clear" w:color="auto" w:fill="auto"/>
            <w:vAlign w:val="center"/>
          </w:tcPr>
          <w:p w14:paraId="58D52DF6" w14:textId="77777777" w:rsidR="00144951" w:rsidRPr="00094628" w:rsidRDefault="00144951" w:rsidP="001731C1">
            <w:pPr>
              <w:spacing w:before="60" w:after="60"/>
              <w:ind w:right="-108"/>
              <w:rPr>
                <w:rFonts w:ascii="Garamond" w:hAnsi="Garamond"/>
              </w:rPr>
            </w:pPr>
            <w:r w:rsidRPr="00094628">
              <w:rPr>
                <w:rFonts w:ascii="Garamond" w:hAnsi="Garamond"/>
              </w:rPr>
              <w:t xml:space="preserve">Nombre de coopératives et d’organisations professionnelles   crées et fonctionnelles </w:t>
            </w:r>
          </w:p>
        </w:tc>
        <w:tc>
          <w:tcPr>
            <w:tcW w:w="993" w:type="dxa"/>
            <w:shd w:val="clear" w:color="auto" w:fill="auto"/>
          </w:tcPr>
          <w:p w14:paraId="05511BC0" w14:textId="77777777" w:rsidR="00144951" w:rsidRPr="00094628" w:rsidRDefault="00144951" w:rsidP="001731C1">
            <w:pPr>
              <w:rPr>
                <w:rFonts w:ascii="Garamond" w:hAnsi="Garamond"/>
              </w:rPr>
            </w:pPr>
            <w:r w:rsidRPr="00094628">
              <w:rPr>
                <w:rFonts w:ascii="Garamond" w:hAnsi="Garamond"/>
              </w:rPr>
              <w:t>Rapport d’activité de la DNGM, de la Chambre des Mines</w:t>
            </w:r>
          </w:p>
        </w:tc>
        <w:tc>
          <w:tcPr>
            <w:tcW w:w="567" w:type="dxa"/>
            <w:shd w:val="clear" w:color="auto" w:fill="auto"/>
          </w:tcPr>
          <w:p w14:paraId="13A23F03"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52581AA6"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90333DD"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2AE96BCB"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7D921A9"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3FED4535" w14:textId="77777777" w:rsidR="00144951" w:rsidRPr="00094628" w:rsidRDefault="00144951" w:rsidP="001731C1">
            <w:pPr>
              <w:jc w:val="center"/>
              <w:rPr>
                <w:rFonts w:ascii="Garamond" w:hAnsi="Garamond"/>
              </w:rPr>
            </w:pPr>
          </w:p>
        </w:tc>
        <w:tc>
          <w:tcPr>
            <w:tcW w:w="709" w:type="dxa"/>
            <w:shd w:val="clear" w:color="auto" w:fill="auto"/>
          </w:tcPr>
          <w:p w14:paraId="0C84E2EA"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6101EA9F" w14:textId="77777777" w:rsidR="00144951" w:rsidRPr="00094628" w:rsidRDefault="00144951" w:rsidP="001731C1">
            <w:pPr>
              <w:jc w:val="center"/>
              <w:rPr>
                <w:rFonts w:ascii="Garamond" w:hAnsi="Garamond"/>
              </w:rPr>
            </w:pPr>
            <w:r w:rsidRPr="00094628">
              <w:rPr>
                <w:rFonts w:ascii="Garamond" w:hAnsi="Garamond"/>
              </w:rPr>
              <w:t xml:space="preserve">MEF, MDFL, MMEIA, MAT, MSPC, MEADD, </w:t>
            </w:r>
            <w:proofErr w:type="spellStart"/>
            <w:r w:rsidRPr="00094628">
              <w:rPr>
                <w:rFonts w:ascii="Garamond" w:hAnsi="Garamond"/>
              </w:rPr>
              <w:t>PTFs</w:t>
            </w:r>
            <w:proofErr w:type="spellEnd"/>
          </w:p>
        </w:tc>
        <w:tc>
          <w:tcPr>
            <w:tcW w:w="1134" w:type="dxa"/>
            <w:shd w:val="clear" w:color="auto" w:fill="auto"/>
          </w:tcPr>
          <w:p w14:paraId="2192B7C5"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662FDD77" w14:textId="77777777" w:rsidTr="00144951">
        <w:tc>
          <w:tcPr>
            <w:tcW w:w="1588" w:type="dxa"/>
            <w:vMerge/>
            <w:shd w:val="clear" w:color="auto" w:fill="auto"/>
          </w:tcPr>
          <w:p w14:paraId="778634DE"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72A71FB5" w14:textId="77777777" w:rsidR="00144951" w:rsidRPr="00094628" w:rsidRDefault="00144951" w:rsidP="001731C1">
            <w:pPr>
              <w:rPr>
                <w:rFonts w:ascii="Garamond" w:hAnsi="Garamond"/>
                <w:bCs/>
              </w:rPr>
            </w:pPr>
          </w:p>
        </w:tc>
        <w:tc>
          <w:tcPr>
            <w:tcW w:w="1134" w:type="dxa"/>
          </w:tcPr>
          <w:p w14:paraId="107854B9" w14:textId="77777777" w:rsidR="00144951" w:rsidRPr="00094628" w:rsidRDefault="00144951" w:rsidP="001731C1">
            <w:pPr>
              <w:rPr>
                <w:rFonts w:ascii="Garamond" w:hAnsi="Garamond"/>
              </w:rPr>
            </w:pPr>
            <w:proofErr w:type="gramStart"/>
            <w:r w:rsidRPr="00094628">
              <w:rPr>
                <w:rFonts w:ascii="Garamond" w:hAnsi="Garamond"/>
              </w:rPr>
              <w:t>les</w:t>
            </w:r>
            <w:proofErr w:type="gramEnd"/>
            <w:r w:rsidRPr="00094628">
              <w:rPr>
                <w:rFonts w:ascii="Garamond" w:hAnsi="Garamond"/>
              </w:rPr>
              <w:t xml:space="preserve"> acteurs sont impliqués dans les </w:t>
            </w:r>
            <w:r w:rsidRPr="00094628">
              <w:rPr>
                <w:rFonts w:ascii="Garamond" w:hAnsi="Garamond"/>
              </w:rPr>
              <w:lastRenderedPageBreak/>
              <w:t xml:space="preserve">prises de décision </w:t>
            </w:r>
          </w:p>
        </w:tc>
        <w:tc>
          <w:tcPr>
            <w:tcW w:w="1418" w:type="dxa"/>
            <w:shd w:val="clear" w:color="auto" w:fill="auto"/>
            <w:vAlign w:val="center"/>
          </w:tcPr>
          <w:p w14:paraId="7356FB52" w14:textId="77777777" w:rsidR="00144951" w:rsidRPr="00094628" w:rsidRDefault="00144951" w:rsidP="001731C1">
            <w:pPr>
              <w:spacing w:before="60" w:after="60"/>
              <w:ind w:right="-108"/>
              <w:rPr>
                <w:rFonts w:ascii="Garamond" w:hAnsi="Garamond"/>
              </w:rPr>
            </w:pPr>
            <w:r w:rsidRPr="00094628">
              <w:rPr>
                <w:rFonts w:ascii="Garamond" w:hAnsi="Garamond"/>
              </w:rPr>
              <w:lastRenderedPageBreak/>
              <w:t xml:space="preserve">Formaliser les cadres de concertations entre l’administration, les </w:t>
            </w:r>
            <w:r w:rsidRPr="00094628">
              <w:rPr>
                <w:rFonts w:ascii="Garamond" w:hAnsi="Garamond"/>
              </w:rPr>
              <w:lastRenderedPageBreak/>
              <w:t xml:space="preserve">collectivités et les groupements des orpailleurs </w:t>
            </w:r>
          </w:p>
        </w:tc>
        <w:tc>
          <w:tcPr>
            <w:tcW w:w="1417" w:type="dxa"/>
            <w:shd w:val="clear" w:color="auto" w:fill="auto"/>
            <w:vAlign w:val="center"/>
          </w:tcPr>
          <w:p w14:paraId="6AF468E1" w14:textId="77777777" w:rsidR="00144951" w:rsidRPr="00094628" w:rsidRDefault="00144951" w:rsidP="001731C1">
            <w:pPr>
              <w:spacing w:before="60" w:after="60"/>
              <w:ind w:right="-108"/>
              <w:rPr>
                <w:rFonts w:ascii="Garamond" w:hAnsi="Garamond"/>
              </w:rPr>
            </w:pPr>
            <w:r w:rsidRPr="00094628">
              <w:rPr>
                <w:rFonts w:ascii="Garamond" w:hAnsi="Garamond"/>
              </w:rPr>
              <w:lastRenderedPageBreak/>
              <w:t>Nombre de cadre crée et fonctionnel</w:t>
            </w:r>
          </w:p>
        </w:tc>
        <w:tc>
          <w:tcPr>
            <w:tcW w:w="993" w:type="dxa"/>
            <w:shd w:val="clear" w:color="auto" w:fill="auto"/>
          </w:tcPr>
          <w:p w14:paraId="3D6875C0" w14:textId="77777777" w:rsidR="00144951" w:rsidRPr="00094628" w:rsidRDefault="00144951" w:rsidP="001731C1">
            <w:pPr>
              <w:rPr>
                <w:rFonts w:ascii="Garamond" w:hAnsi="Garamond"/>
              </w:rPr>
            </w:pPr>
            <w:r w:rsidRPr="00094628">
              <w:rPr>
                <w:rFonts w:ascii="Garamond" w:hAnsi="Garamond"/>
              </w:rPr>
              <w:t>Rapport d’activité de la DNGM, de la Chambr</w:t>
            </w:r>
            <w:r w:rsidRPr="00094628">
              <w:rPr>
                <w:rFonts w:ascii="Garamond" w:hAnsi="Garamond"/>
              </w:rPr>
              <w:lastRenderedPageBreak/>
              <w:t>e des Mines</w:t>
            </w:r>
          </w:p>
        </w:tc>
        <w:tc>
          <w:tcPr>
            <w:tcW w:w="567" w:type="dxa"/>
            <w:shd w:val="clear" w:color="auto" w:fill="auto"/>
          </w:tcPr>
          <w:p w14:paraId="6B7A23E2" w14:textId="77777777" w:rsidR="00144951" w:rsidRPr="00094628" w:rsidRDefault="00144951" w:rsidP="001731C1">
            <w:pPr>
              <w:jc w:val="center"/>
              <w:rPr>
                <w:rFonts w:ascii="Garamond" w:hAnsi="Garamond"/>
              </w:rPr>
            </w:pPr>
            <w:r w:rsidRPr="00094628">
              <w:rPr>
                <w:rFonts w:ascii="Garamond" w:hAnsi="Garamond"/>
              </w:rPr>
              <w:lastRenderedPageBreak/>
              <w:t>X</w:t>
            </w:r>
          </w:p>
        </w:tc>
        <w:tc>
          <w:tcPr>
            <w:tcW w:w="567" w:type="dxa"/>
            <w:shd w:val="clear" w:color="auto" w:fill="auto"/>
          </w:tcPr>
          <w:p w14:paraId="47BF8CD6"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A8AD1C6"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A9E5F36"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08B782FF"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03292517" w14:textId="77777777" w:rsidR="00144951" w:rsidRPr="00094628" w:rsidRDefault="00144951" w:rsidP="001731C1">
            <w:pPr>
              <w:jc w:val="center"/>
              <w:rPr>
                <w:rFonts w:ascii="Garamond" w:hAnsi="Garamond"/>
              </w:rPr>
            </w:pPr>
          </w:p>
        </w:tc>
        <w:tc>
          <w:tcPr>
            <w:tcW w:w="709" w:type="dxa"/>
            <w:shd w:val="clear" w:color="auto" w:fill="auto"/>
          </w:tcPr>
          <w:p w14:paraId="5C809C86"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4D01B139" w14:textId="77777777" w:rsidR="00144951" w:rsidRPr="00094628" w:rsidRDefault="00144951" w:rsidP="001731C1">
            <w:pPr>
              <w:jc w:val="center"/>
              <w:rPr>
                <w:rFonts w:ascii="Garamond" w:hAnsi="Garamond"/>
              </w:rPr>
            </w:pPr>
            <w:r w:rsidRPr="00094628">
              <w:rPr>
                <w:rFonts w:ascii="Garamond" w:hAnsi="Garamond"/>
              </w:rPr>
              <w:t xml:space="preserve">MEF, MDFL, MMEIA, MAT, MSPC, </w:t>
            </w:r>
            <w:r w:rsidRPr="00094628">
              <w:rPr>
                <w:rFonts w:ascii="Garamond" w:hAnsi="Garamond"/>
              </w:rPr>
              <w:lastRenderedPageBreak/>
              <w:t xml:space="preserve">MEADD, </w:t>
            </w:r>
            <w:proofErr w:type="spellStart"/>
            <w:r w:rsidRPr="00094628">
              <w:rPr>
                <w:rFonts w:ascii="Garamond" w:hAnsi="Garamond"/>
              </w:rPr>
              <w:t>PTFs</w:t>
            </w:r>
            <w:proofErr w:type="spellEnd"/>
          </w:p>
        </w:tc>
        <w:tc>
          <w:tcPr>
            <w:tcW w:w="1134" w:type="dxa"/>
            <w:shd w:val="clear" w:color="auto" w:fill="auto"/>
          </w:tcPr>
          <w:p w14:paraId="54F8C1CE" w14:textId="77777777" w:rsidR="00144951" w:rsidRPr="00094628" w:rsidRDefault="00144951" w:rsidP="001731C1">
            <w:pPr>
              <w:rPr>
                <w:rFonts w:ascii="Garamond" w:hAnsi="Garamond"/>
              </w:rPr>
            </w:pPr>
            <w:r w:rsidRPr="00094628">
              <w:rPr>
                <w:rFonts w:ascii="Garamond" w:hAnsi="Garamond"/>
              </w:rPr>
              <w:lastRenderedPageBreak/>
              <w:t>BE</w:t>
            </w:r>
          </w:p>
        </w:tc>
      </w:tr>
      <w:tr w:rsidR="00144951" w:rsidRPr="00094628" w14:paraId="3D505AE6" w14:textId="77777777" w:rsidTr="00144951">
        <w:tc>
          <w:tcPr>
            <w:tcW w:w="1588" w:type="dxa"/>
            <w:vMerge/>
            <w:shd w:val="clear" w:color="auto" w:fill="auto"/>
          </w:tcPr>
          <w:p w14:paraId="55501212" w14:textId="77777777" w:rsidR="00144951" w:rsidRPr="00094628" w:rsidRDefault="00144951" w:rsidP="001731C1">
            <w:pPr>
              <w:jc w:val="center"/>
              <w:rPr>
                <w:rFonts w:ascii="Garamond" w:hAnsi="Garamond"/>
              </w:rPr>
            </w:pPr>
          </w:p>
        </w:tc>
        <w:tc>
          <w:tcPr>
            <w:tcW w:w="1701" w:type="dxa"/>
            <w:vMerge w:val="restart"/>
            <w:shd w:val="clear" w:color="auto" w:fill="auto"/>
          </w:tcPr>
          <w:p w14:paraId="7BD20F55" w14:textId="77777777" w:rsidR="00144951" w:rsidRPr="00094628" w:rsidRDefault="00144951" w:rsidP="001731C1">
            <w:pPr>
              <w:rPr>
                <w:rFonts w:ascii="Garamond" w:hAnsi="Garamond"/>
              </w:rPr>
            </w:pPr>
          </w:p>
        </w:tc>
        <w:tc>
          <w:tcPr>
            <w:tcW w:w="1134" w:type="dxa"/>
          </w:tcPr>
          <w:p w14:paraId="44A32511" w14:textId="77777777" w:rsidR="00144951" w:rsidRPr="00094628" w:rsidRDefault="00144951" w:rsidP="001731C1">
            <w:pPr>
              <w:rPr>
                <w:rFonts w:ascii="Garamond" w:hAnsi="Garamond"/>
              </w:rPr>
            </w:pPr>
            <w:proofErr w:type="gramStart"/>
            <w:r w:rsidRPr="00094628">
              <w:rPr>
                <w:rFonts w:ascii="Garamond" w:hAnsi="Garamond"/>
              </w:rPr>
              <w:t>les</w:t>
            </w:r>
            <w:proofErr w:type="gramEnd"/>
            <w:r w:rsidRPr="00094628">
              <w:rPr>
                <w:rFonts w:ascii="Garamond" w:hAnsi="Garamond"/>
              </w:rPr>
              <w:t xml:space="preserve"> capacités d’attribution, de suivi des sites d’orpaillage sont renforcées </w:t>
            </w:r>
          </w:p>
        </w:tc>
        <w:tc>
          <w:tcPr>
            <w:tcW w:w="1418" w:type="dxa"/>
            <w:vMerge w:val="restart"/>
            <w:shd w:val="clear" w:color="auto" w:fill="auto"/>
            <w:vAlign w:val="center"/>
          </w:tcPr>
          <w:p w14:paraId="41D1DA50" w14:textId="77777777" w:rsidR="00144951" w:rsidRPr="00094628" w:rsidRDefault="00144951" w:rsidP="001731C1">
            <w:pPr>
              <w:spacing w:before="60" w:after="60"/>
              <w:ind w:right="-108"/>
              <w:rPr>
                <w:rFonts w:ascii="Garamond" w:hAnsi="Garamond"/>
              </w:rPr>
            </w:pPr>
            <w:r w:rsidRPr="00094628">
              <w:rPr>
                <w:rFonts w:ascii="Garamond" w:hAnsi="Garamond"/>
              </w:rPr>
              <w:t>Mettre en place un mécanisme d’appui et de renforcement de capacité des collectivités locales en matière de suivi et de contrôle des activités d’orpaillage</w:t>
            </w:r>
          </w:p>
        </w:tc>
        <w:tc>
          <w:tcPr>
            <w:tcW w:w="1417" w:type="dxa"/>
            <w:shd w:val="clear" w:color="auto" w:fill="auto"/>
            <w:vAlign w:val="center"/>
          </w:tcPr>
          <w:p w14:paraId="2AB10070" w14:textId="77777777" w:rsidR="00144951" w:rsidRPr="00094628" w:rsidRDefault="00144951" w:rsidP="001731C1">
            <w:pPr>
              <w:spacing w:before="60" w:after="60"/>
              <w:ind w:right="-108"/>
              <w:rPr>
                <w:rFonts w:ascii="Garamond" w:hAnsi="Garamond"/>
              </w:rPr>
            </w:pPr>
            <w:r w:rsidRPr="00094628">
              <w:rPr>
                <w:rFonts w:ascii="Garamond" w:hAnsi="Garamond"/>
              </w:rPr>
              <w:t xml:space="preserve">Nombre de collectivités et ou de leaders communautaires formés </w:t>
            </w:r>
          </w:p>
        </w:tc>
        <w:tc>
          <w:tcPr>
            <w:tcW w:w="993" w:type="dxa"/>
            <w:shd w:val="clear" w:color="auto" w:fill="auto"/>
          </w:tcPr>
          <w:p w14:paraId="636A8634" w14:textId="77777777" w:rsidR="00144951" w:rsidRPr="00094628" w:rsidRDefault="00144951" w:rsidP="001731C1">
            <w:pPr>
              <w:rPr>
                <w:rFonts w:ascii="Garamond" w:hAnsi="Garamond"/>
              </w:rPr>
            </w:pPr>
            <w:r w:rsidRPr="00094628">
              <w:rPr>
                <w:rFonts w:ascii="Garamond" w:hAnsi="Garamond"/>
              </w:rPr>
              <w:t xml:space="preserve">Rapport de mise en œuvre du programme de renforcement </w:t>
            </w:r>
          </w:p>
        </w:tc>
        <w:tc>
          <w:tcPr>
            <w:tcW w:w="567" w:type="dxa"/>
            <w:shd w:val="clear" w:color="auto" w:fill="auto"/>
          </w:tcPr>
          <w:p w14:paraId="08AB579B"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304C7933"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00D27398"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24A94E6F"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0E32C55B"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4CC9E88C" w14:textId="77777777" w:rsidR="00144951" w:rsidRPr="00094628" w:rsidRDefault="00144951" w:rsidP="001731C1">
            <w:pPr>
              <w:jc w:val="center"/>
              <w:rPr>
                <w:rFonts w:ascii="Garamond" w:hAnsi="Garamond"/>
              </w:rPr>
            </w:pPr>
          </w:p>
        </w:tc>
        <w:tc>
          <w:tcPr>
            <w:tcW w:w="709" w:type="dxa"/>
            <w:shd w:val="clear" w:color="auto" w:fill="auto"/>
          </w:tcPr>
          <w:p w14:paraId="78EB12B1"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6D3911ED" w14:textId="77777777" w:rsidR="00144951" w:rsidRPr="00094628" w:rsidRDefault="00144951" w:rsidP="001731C1">
            <w:pPr>
              <w:jc w:val="center"/>
              <w:rPr>
                <w:rFonts w:ascii="Garamond" w:hAnsi="Garamond"/>
              </w:rPr>
            </w:pPr>
            <w:r w:rsidRPr="00094628">
              <w:rPr>
                <w:rFonts w:ascii="Garamond" w:hAnsi="Garamond"/>
              </w:rPr>
              <w:t xml:space="preserve">MEF, MDFL, MMEIA, MAT, MSPC, MEADD, </w:t>
            </w:r>
            <w:proofErr w:type="spellStart"/>
            <w:r w:rsidRPr="00094628">
              <w:rPr>
                <w:rFonts w:ascii="Garamond" w:hAnsi="Garamond"/>
              </w:rPr>
              <w:t>PTFs</w:t>
            </w:r>
            <w:proofErr w:type="spellEnd"/>
          </w:p>
        </w:tc>
        <w:tc>
          <w:tcPr>
            <w:tcW w:w="1134" w:type="dxa"/>
            <w:shd w:val="clear" w:color="auto" w:fill="auto"/>
          </w:tcPr>
          <w:p w14:paraId="4171943A"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7DBEA8D3" w14:textId="77777777" w:rsidTr="00144951">
        <w:tc>
          <w:tcPr>
            <w:tcW w:w="1588" w:type="dxa"/>
            <w:vMerge/>
            <w:shd w:val="clear" w:color="auto" w:fill="auto"/>
          </w:tcPr>
          <w:p w14:paraId="4EBBFDA0"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1CFDB553" w14:textId="77777777" w:rsidR="00144951" w:rsidRPr="00094628" w:rsidRDefault="00144951" w:rsidP="001731C1">
            <w:pPr>
              <w:rPr>
                <w:rFonts w:ascii="Garamond" w:hAnsi="Garamond"/>
                <w:bCs/>
              </w:rPr>
            </w:pPr>
          </w:p>
        </w:tc>
        <w:tc>
          <w:tcPr>
            <w:tcW w:w="1134" w:type="dxa"/>
          </w:tcPr>
          <w:p w14:paraId="4C21EE98" w14:textId="77777777" w:rsidR="00144951" w:rsidRPr="00094628" w:rsidRDefault="00144951" w:rsidP="001731C1">
            <w:pPr>
              <w:rPr>
                <w:rFonts w:ascii="Garamond" w:hAnsi="Garamond"/>
              </w:rPr>
            </w:pPr>
            <w:proofErr w:type="gramStart"/>
            <w:r w:rsidRPr="00094628">
              <w:rPr>
                <w:rFonts w:ascii="Garamond" w:hAnsi="Garamond"/>
              </w:rPr>
              <w:t>les</w:t>
            </w:r>
            <w:proofErr w:type="gramEnd"/>
            <w:r w:rsidRPr="00094628">
              <w:rPr>
                <w:rFonts w:ascii="Garamond" w:hAnsi="Garamond"/>
              </w:rPr>
              <w:t xml:space="preserve"> revenus des collectivités sont améliorés</w:t>
            </w:r>
          </w:p>
        </w:tc>
        <w:tc>
          <w:tcPr>
            <w:tcW w:w="1418" w:type="dxa"/>
            <w:vMerge/>
            <w:shd w:val="clear" w:color="auto" w:fill="auto"/>
            <w:vAlign w:val="center"/>
          </w:tcPr>
          <w:p w14:paraId="4CCB14F6" w14:textId="77777777" w:rsidR="00144951" w:rsidRPr="00094628" w:rsidRDefault="00144951" w:rsidP="001731C1">
            <w:pPr>
              <w:spacing w:before="60" w:after="60"/>
              <w:ind w:right="-108"/>
              <w:rPr>
                <w:rFonts w:ascii="Garamond" w:hAnsi="Garamond"/>
              </w:rPr>
            </w:pPr>
          </w:p>
        </w:tc>
        <w:tc>
          <w:tcPr>
            <w:tcW w:w="1417" w:type="dxa"/>
            <w:shd w:val="clear" w:color="auto" w:fill="auto"/>
            <w:vAlign w:val="center"/>
          </w:tcPr>
          <w:p w14:paraId="25EFEFBE" w14:textId="77777777" w:rsidR="00144951" w:rsidRPr="00094628" w:rsidRDefault="00144951" w:rsidP="001731C1">
            <w:pPr>
              <w:spacing w:before="120" w:after="120"/>
              <w:rPr>
                <w:rFonts w:ascii="Garamond" w:hAnsi="Garamond"/>
                <w:bCs/>
              </w:rPr>
            </w:pPr>
            <w:r w:rsidRPr="00094628">
              <w:rPr>
                <w:rFonts w:ascii="Garamond" w:hAnsi="Garamond"/>
                <w:bCs/>
              </w:rPr>
              <w:t xml:space="preserve">Niveau d’amélioration des revenus des collectivités </w:t>
            </w:r>
          </w:p>
          <w:p w14:paraId="00CD25B7" w14:textId="77777777" w:rsidR="00144951" w:rsidRPr="00094628" w:rsidRDefault="00144951" w:rsidP="001731C1">
            <w:pPr>
              <w:spacing w:before="120" w:after="120"/>
              <w:rPr>
                <w:rFonts w:ascii="Garamond" w:hAnsi="Garamond"/>
                <w:bCs/>
              </w:rPr>
            </w:pPr>
          </w:p>
          <w:p w14:paraId="592CA137" w14:textId="77777777" w:rsidR="00144951" w:rsidRPr="00094628" w:rsidRDefault="00144951" w:rsidP="001731C1">
            <w:pPr>
              <w:spacing w:before="120" w:after="120"/>
              <w:rPr>
                <w:rFonts w:ascii="Garamond" w:hAnsi="Garamond"/>
                <w:bCs/>
              </w:rPr>
            </w:pPr>
          </w:p>
        </w:tc>
        <w:tc>
          <w:tcPr>
            <w:tcW w:w="993" w:type="dxa"/>
            <w:shd w:val="clear" w:color="auto" w:fill="auto"/>
          </w:tcPr>
          <w:p w14:paraId="20319C9E" w14:textId="77777777" w:rsidR="00144951" w:rsidRPr="00094628" w:rsidRDefault="00144951" w:rsidP="001731C1">
            <w:pPr>
              <w:rPr>
                <w:rFonts w:ascii="Garamond" w:hAnsi="Garamond"/>
              </w:rPr>
            </w:pPr>
          </w:p>
        </w:tc>
        <w:tc>
          <w:tcPr>
            <w:tcW w:w="567" w:type="dxa"/>
            <w:shd w:val="clear" w:color="auto" w:fill="auto"/>
          </w:tcPr>
          <w:p w14:paraId="2A520BFA"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28A2409A"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7395120F"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38E2B98B"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6CF4D924"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083B3D82" w14:textId="77777777" w:rsidR="00144951" w:rsidRPr="00094628" w:rsidRDefault="00144951" w:rsidP="001731C1">
            <w:pPr>
              <w:jc w:val="center"/>
              <w:rPr>
                <w:rFonts w:ascii="Garamond" w:hAnsi="Garamond"/>
              </w:rPr>
            </w:pPr>
          </w:p>
        </w:tc>
        <w:tc>
          <w:tcPr>
            <w:tcW w:w="709" w:type="dxa"/>
            <w:shd w:val="clear" w:color="auto" w:fill="auto"/>
          </w:tcPr>
          <w:p w14:paraId="63B3486A" w14:textId="77777777" w:rsidR="00144951" w:rsidRPr="00094628" w:rsidRDefault="00144951" w:rsidP="001731C1">
            <w:pPr>
              <w:jc w:val="center"/>
              <w:rPr>
                <w:rFonts w:ascii="Garamond" w:hAnsi="Garamond"/>
              </w:rPr>
            </w:pPr>
          </w:p>
        </w:tc>
        <w:tc>
          <w:tcPr>
            <w:tcW w:w="1275" w:type="dxa"/>
            <w:shd w:val="clear" w:color="auto" w:fill="auto"/>
          </w:tcPr>
          <w:p w14:paraId="6FEE0071" w14:textId="77777777" w:rsidR="00144951" w:rsidRPr="00094628" w:rsidRDefault="00144951" w:rsidP="001731C1">
            <w:pPr>
              <w:jc w:val="center"/>
              <w:rPr>
                <w:rFonts w:ascii="Garamond" w:hAnsi="Garamond"/>
              </w:rPr>
            </w:pPr>
          </w:p>
        </w:tc>
        <w:tc>
          <w:tcPr>
            <w:tcW w:w="1134" w:type="dxa"/>
            <w:shd w:val="clear" w:color="auto" w:fill="auto"/>
          </w:tcPr>
          <w:p w14:paraId="1893EB82"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4A82A95C" w14:textId="77777777" w:rsidTr="00144951">
        <w:tc>
          <w:tcPr>
            <w:tcW w:w="1588" w:type="dxa"/>
            <w:vMerge/>
            <w:shd w:val="clear" w:color="auto" w:fill="auto"/>
          </w:tcPr>
          <w:p w14:paraId="165F9540"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6BED6F9F" w14:textId="77777777" w:rsidR="00144951" w:rsidRPr="00094628" w:rsidRDefault="00144951" w:rsidP="001731C1">
            <w:pPr>
              <w:rPr>
                <w:rFonts w:ascii="Garamond" w:hAnsi="Garamond"/>
                <w:bCs/>
              </w:rPr>
            </w:pPr>
          </w:p>
        </w:tc>
        <w:tc>
          <w:tcPr>
            <w:tcW w:w="1134" w:type="dxa"/>
          </w:tcPr>
          <w:p w14:paraId="0EE00985" w14:textId="77777777" w:rsidR="00144951" w:rsidRPr="00094628" w:rsidRDefault="00144951" w:rsidP="001731C1">
            <w:pPr>
              <w:rPr>
                <w:rFonts w:ascii="Garamond" w:hAnsi="Garamond"/>
              </w:rPr>
            </w:pPr>
            <w:r w:rsidRPr="00094628">
              <w:rPr>
                <w:rFonts w:ascii="Garamond" w:hAnsi="Garamond"/>
              </w:rPr>
              <w:t>Les petites mines sont promues</w:t>
            </w:r>
          </w:p>
        </w:tc>
        <w:tc>
          <w:tcPr>
            <w:tcW w:w="1418" w:type="dxa"/>
            <w:shd w:val="clear" w:color="auto" w:fill="auto"/>
            <w:vAlign w:val="center"/>
          </w:tcPr>
          <w:p w14:paraId="43D9F661" w14:textId="77777777" w:rsidR="00144951" w:rsidRPr="00094628" w:rsidRDefault="00144951" w:rsidP="001731C1">
            <w:pPr>
              <w:pStyle w:val="Paragraphedeliste"/>
              <w:ind w:left="0"/>
              <w:jc w:val="both"/>
              <w:rPr>
                <w:rFonts w:ascii="Garamond" w:eastAsia="Calibri" w:hAnsi="Garamond"/>
                <w:lang w:eastAsia="en-US"/>
              </w:rPr>
            </w:pPr>
            <w:r w:rsidRPr="00094628">
              <w:rPr>
                <w:rFonts w:ascii="Garamond" w:eastAsia="Calibri" w:hAnsi="Garamond"/>
                <w:lang w:eastAsia="en-US"/>
              </w:rPr>
              <w:t xml:space="preserve">Faciliter la transition de l’activité d’orpaillage vers la petite mine </w:t>
            </w:r>
          </w:p>
          <w:p w14:paraId="1BCDB085" w14:textId="77777777" w:rsidR="00144951" w:rsidRPr="00094628" w:rsidRDefault="00144951" w:rsidP="001731C1">
            <w:pPr>
              <w:pStyle w:val="Paragraphedeliste"/>
              <w:ind w:left="0"/>
              <w:jc w:val="both"/>
              <w:rPr>
                <w:rFonts w:ascii="Garamond" w:eastAsia="Calibri" w:hAnsi="Garamond"/>
                <w:lang w:eastAsia="en-US"/>
              </w:rPr>
            </w:pPr>
          </w:p>
          <w:p w14:paraId="3CF9AA85" w14:textId="77777777" w:rsidR="00144951" w:rsidRPr="00094628" w:rsidRDefault="00144951" w:rsidP="001731C1">
            <w:pPr>
              <w:pStyle w:val="Paragraphedeliste"/>
              <w:ind w:left="0"/>
              <w:jc w:val="both"/>
              <w:rPr>
                <w:rFonts w:ascii="Garamond" w:eastAsia="Calibri" w:hAnsi="Garamond"/>
                <w:lang w:eastAsia="en-US"/>
              </w:rPr>
            </w:pPr>
          </w:p>
        </w:tc>
        <w:tc>
          <w:tcPr>
            <w:tcW w:w="1417" w:type="dxa"/>
            <w:shd w:val="clear" w:color="auto" w:fill="auto"/>
            <w:vAlign w:val="center"/>
          </w:tcPr>
          <w:p w14:paraId="510F7FBD" w14:textId="77777777" w:rsidR="00144951" w:rsidRPr="00094628" w:rsidRDefault="00144951" w:rsidP="001731C1">
            <w:pPr>
              <w:spacing w:before="60" w:after="60"/>
              <w:ind w:right="-108"/>
              <w:rPr>
                <w:rFonts w:ascii="Garamond" w:hAnsi="Garamond"/>
              </w:rPr>
            </w:pPr>
            <w:r w:rsidRPr="00094628">
              <w:rPr>
                <w:rFonts w:ascii="Garamond" w:hAnsi="Garamond"/>
              </w:rPr>
              <w:t xml:space="preserve">Nombre de petites mines créées </w:t>
            </w:r>
          </w:p>
        </w:tc>
        <w:tc>
          <w:tcPr>
            <w:tcW w:w="993" w:type="dxa"/>
            <w:shd w:val="clear" w:color="auto" w:fill="auto"/>
          </w:tcPr>
          <w:p w14:paraId="5AA4642E" w14:textId="77777777" w:rsidR="00144951" w:rsidRPr="00094628" w:rsidRDefault="00144951" w:rsidP="001731C1">
            <w:pPr>
              <w:rPr>
                <w:rFonts w:ascii="Garamond" w:hAnsi="Garamond"/>
              </w:rPr>
            </w:pPr>
          </w:p>
        </w:tc>
        <w:tc>
          <w:tcPr>
            <w:tcW w:w="567" w:type="dxa"/>
            <w:shd w:val="clear" w:color="auto" w:fill="auto"/>
          </w:tcPr>
          <w:p w14:paraId="6FA40F7A"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03F2A233"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0E454124"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11E0C7EA"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77621A92"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09A24695" w14:textId="77777777" w:rsidR="00144951" w:rsidRPr="00094628" w:rsidRDefault="00144951" w:rsidP="001731C1">
            <w:pPr>
              <w:jc w:val="center"/>
              <w:rPr>
                <w:rFonts w:ascii="Garamond" w:hAnsi="Garamond"/>
              </w:rPr>
            </w:pPr>
          </w:p>
        </w:tc>
        <w:tc>
          <w:tcPr>
            <w:tcW w:w="709" w:type="dxa"/>
            <w:shd w:val="clear" w:color="auto" w:fill="auto"/>
          </w:tcPr>
          <w:p w14:paraId="317A7934" w14:textId="77777777" w:rsidR="00144951" w:rsidRPr="00094628" w:rsidRDefault="00144951" w:rsidP="001731C1">
            <w:pPr>
              <w:jc w:val="center"/>
              <w:rPr>
                <w:rFonts w:ascii="Garamond" w:hAnsi="Garamond"/>
              </w:rPr>
            </w:pPr>
          </w:p>
        </w:tc>
        <w:tc>
          <w:tcPr>
            <w:tcW w:w="1275" w:type="dxa"/>
            <w:shd w:val="clear" w:color="auto" w:fill="auto"/>
          </w:tcPr>
          <w:p w14:paraId="428886C6" w14:textId="77777777" w:rsidR="00144951" w:rsidRPr="00094628" w:rsidRDefault="00144951" w:rsidP="001731C1">
            <w:pPr>
              <w:jc w:val="center"/>
              <w:rPr>
                <w:rFonts w:ascii="Garamond" w:hAnsi="Garamond"/>
              </w:rPr>
            </w:pPr>
          </w:p>
        </w:tc>
        <w:tc>
          <w:tcPr>
            <w:tcW w:w="1134" w:type="dxa"/>
            <w:shd w:val="clear" w:color="auto" w:fill="auto"/>
          </w:tcPr>
          <w:p w14:paraId="0AA72D54"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3E73AF21" w14:textId="77777777" w:rsidTr="00144951">
        <w:tc>
          <w:tcPr>
            <w:tcW w:w="1588" w:type="dxa"/>
            <w:vMerge/>
            <w:shd w:val="clear" w:color="auto" w:fill="auto"/>
          </w:tcPr>
          <w:p w14:paraId="11A810F5"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779F3502" w14:textId="77777777" w:rsidR="00144951" w:rsidRPr="00094628" w:rsidRDefault="00144951" w:rsidP="001731C1">
            <w:pPr>
              <w:rPr>
                <w:rFonts w:ascii="Garamond" w:hAnsi="Garamond"/>
                <w:bCs/>
              </w:rPr>
            </w:pPr>
          </w:p>
        </w:tc>
        <w:tc>
          <w:tcPr>
            <w:tcW w:w="1134" w:type="dxa"/>
          </w:tcPr>
          <w:p w14:paraId="31C17BCC" w14:textId="77777777" w:rsidR="00144951" w:rsidRPr="00094628" w:rsidRDefault="00144951" w:rsidP="001731C1">
            <w:pPr>
              <w:rPr>
                <w:rFonts w:ascii="Garamond" w:hAnsi="Garamond"/>
              </w:rPr>
            </w:pPr>
            <w:r w:rsidRPr="00094628">
              <w:rPr>
                <w:rFonts w:ascii="Garamond" w:hAnsi="Garamond"/>
              </w:rPr>
              <w:t xml:space="preserve">La traçabilité de la </w:t>
            </w:r>
            <w:proofErr w:type="gramStart"/>
            <w:r w:rsidRPr="00094628">
              <w:rPr>
                <w:rFonts w:ascii="Garamond" w:hAnsi="Garamond"/>
              </w:rPr>
              <w:t>production  est</w:t>
            </w:r>
            <w:proofErr w:type="gramEnd"/>
            <w:r w:rsidRPr="00094628">
              <w:rPr>
                <w:rFonts w:ascii="Garamond" w:hAnsi="Garamond"/>
              </w:rPr>
              <w:t xml:space="preserve"> assurée </w:t>
            </w:r>
          </w:p>
          <w:p w14:paraId="66B71481" w14:textId="77777777" w:rsidR="00144951" w:rsidRPr="00094628" w:rsidRDefault="00144951" w:rsidP="001731C1">
            <w:pPr>
              <w:rPr>
                <w:rFonts w:ascii="Garamond" w:hAnsi="Garamond"/>
              </w:rPr>
            </w:pPr>
          </w:p>
        </w:tc>
        <w:tc>
          <w:tcPr>
            <w:tcW w:w="1418" w:type="dxa"/>
            <w:shd w:val="clear" w:color="auto" w:fill="auto"/>
            <w:vAlign w:val="center"/>
          </w:tcPr>
          <w:p w14:paraId="189A7913" w14:textId="77777777" w:rsidR="00144951" w:rsidRPr="00094628" w:rsidRDefault="00144951" w:rsidP="001731C1">
            <w:pPr>
              <w:pStyle w:val="Paragraphedeliste"/>
              <w:ind w:left="0"/>
              <w:jc w:val="both"/>
              <w:rPr>
                <w:rFonts w:ascii="Garamond" w:eastAsia="Calibri" w:hAnsi="Garamond"/>
                <w:lang w:eastAsia="en-US"/>
              </w:rPr>
            </w:pPr>
            <w:r w:rsidRPr="00094628">
              <w:rPr>
                <w:rFonts w:ascii="Garamond" w:eastAsia="Calibri" w:hAnsi="Garamond"/>
                <w:lang w:eastAsia="en-US"/>
              </w:rPr>
              <w:t>Favoriser l’installation des centrales d’achats sur les sites d’orpaillage</w:t>
            </w:r>
          </w:p>
          <w:p w14:paraId="79238A11" w14:textId="77777777" w:rsidR="00144951" w:rsidRPr="00094628" w:rsidRDefault="00144951" w:rsidP="001731C1">
            <w:pPr>
              <w:pStyle w:val="Paragraphedeliste"/>
              <w:ind w:left="0"/>
              <w:jc w:val="both"/>
              <w:rPr>
                <w:rFonts w:ascii="Garamond" w:eastAsia="Calibri" w:hAnsi="Garamond"/>
                <w:lang w:eastAsia="en-US"/>
              </w:rPr>
            </w:pPr>
          </w:p>
        </w:tc>
        <w:tc>
          <w:tcPr>
            <w:tcW w:w="1417" w:type="dxa"/>
            <w:shd w:val="clear" w:color="auto" w:fill="auto"/>
            <w:vAlign w:val="center"/>
          </w:tcPr>
          <w:p w14:paraId="6374A8E8" w14:textId="77777777" w:rsidR="00144951" w:rsidRPr="00094628" w:rsidRDefault="00144951" w:rsidP="001731C1">
            <w:pPr>
              <w:spacing w:before="60" w:after="60"/>
              <w:ind w:right="-108"/>
              <w:rPr>
                <w:rFonts w:ascii="Garamond" w:hAnsi="Garamond"/>
              </w:rPr>
            </w:pPr>
            <w:r w:rsidRPr="00094628">
              <w:rPr>
                <w:rFonts w:ascii="Garamond" w:hAnsi="Garamond"/>
              </w:rPr>
              <w:t>Comptoirs crées et fonctionnels sur les sites d’orpaillage</w:t>
            </w:r>
          </w:p>
        </w:tc>
        <w:tc>
          <w:tcPr>
            <w:tcW w:w="993" w:type="dxa"/>
            <w:shd w:val="clear" w:color="auto" w:fill="auto"/>
          </w:tcPr>
          <w:p w14:paraId="0D80BA81" w14:textId="77777777" w:rsidR="00144951" w:rsidRPr="00094628" w:rsidRDefault="00144951" w:rsidP="001731C1">
            <w:pPr>
              <w:rPr>
                <w:rFonts w:ascii="Garamond" w:hAnsi="Garamond"/>
              </w:rPr>
            </w:pPr>
          </w:p>
        </w:tc>
        <w:tc>
          <w:tcPr>
            <w:tcW w:w="567" w:type="dxa"/>
            <w:shd w:val="clear" w:color="auto" w:fill="auto"/>
          </w:tcPr>
          <w:p w14:paraId="1E7FA1C2"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216D607A"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7C1AE95B"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2F773B60"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0C2D9A56"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4C867B28" w14:textId="77777777" w:rsidR="00144951" w:rsidRPr="00094628" w:rsidRDefault="00144951" w:rsidP="001731C1">
            <w:pPr>
              <w:jc w:val="center"/>
              <w:rPr>
                <w:rFonts w:ascii="Garamond" w:hAnsi="Garamond"/>
              </w:rPr>
            </w:pPr>
          </w:p>
        </w:tc>
        <w:tc>
          <w:tcPr>
            <w:tcW w:w="709" w:type="dxa"/>
            <w:shd w:val="clear" w:color="auto" w:fill="auto"/>
          </w:tcPr>
          <w:p w14:paraId="5E2F83EC" w14:textId="77777777" w:rsidR="00144951" w:rsidRPr="00094628" w:rsidRDefault="00144951" w:rsidP="001731C1">
            <w:pPr>
              <w:jc w:val="center"/>
              <w:rPr>
                <w:rFonts w:ascii="Garamond" w:hAnsi="Garamond"/>
              </w:rPr>
            </w:pPr>
          </w:p>
        </w:tc>
        <w:tc>
          <w:tcPr>
            <w:tcW w:w="1275" w:type="dxa"/>
            <w:shd w:val="clear" w:color="auto" w:fill="auto"/>
          </w:tcPr>
          <w:p w14:paraId="5FE4DF22" w14:textId="77777777" w:rsidR="00144951" w:rsidRPr="00094628" w:rsidRDefault="00144951" w:rsidP="001731C1">
            <w:pPr>
              <w:jc w:val="center"/>
              <w:rPr>
                <w:rFonts w:ascii="Garamond" w:hAnsi="Garamond"/>
              </w:rPr>
            </w:pPr>
          </w:p>
        </w:tc>
        <w:tc>
          <w:tcPr>
            <w:tcW w:w="1134" w:type="dxa"/>
            <w:shd w:val="clear" w:color="auto" w:fill="auto"/>
          </w:tcPr>
          <w:p w14:paraId="6A50F27E"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00347739" w14:textId="77777777" w:rsidTr="00144951">
        <w:tc>
          <w:tcPr>
            <w:tcW w:w="1588" w:type="dxa"/>
            <w:vMerge w:val="restart"/>
            <w:shd w:val="clear" w:color="auto" w:fill="auto"/>
          </w:tcPr>
          <w:p w14:paraId="77125948" w14:textId="77777777" w:rsidR="00144951" w:rsidRPr="00094628" w:rsidRDefault="00144951" w:rsidP="001731C1">
            <w:pPr>
              <w:rPr>
                <w:rFonts w:ascii="Garamond" w:hAnsi="Garamond"/>
              </w:rPr>
            </w:pPr>
            <w:r w:rsidRPr="00094628">
              <w:rPr>
                <w:rFonts w:ascii="Garamond" w:hAnsi="Garamond"/>
                <w:bCs/>
              </w:rPr>
              <w:t>Objectifs spécifiques</w:t>
            </w:r>
            <w:r w:rsidRPr="00094628">
              <w:rPr>
                <w:rFonts w:ascii="Garamond" w:hAnsi="Garamond"/>
              </w:rPr>
              <w:t xml:space="preserve"> 5. </w:t>
            </w:r>
            <w:proofErr w:type="gramStart"/>
            <w:r w:rsidRPr="00094628">
              <w:rPr>
                <w:rFonts w:ascii="Garamond" w:hAnsi="Garamond"/>
              </w:rPr>
              <w:t>d’améliorer</w:t>
            </w:r>
            <w:proofErr w:type="gramEnd"/>
            <w:r w:rsidRPr="00094628">
              <w:rPr>
                <w:rFonts w:ascii="Garamond" w:hAnsi="Garamond"/>
              </w:rPr>
              <w:t xml:space="preserve"> la qualité des ressources humaines </w:t>
            </w:r>
          </w:p>
        </w:tc>
        <w:tc>
          <w:tcPr>
            <w:tcW w:w="1701" w:type="dxa"/>
            <w:vMerge w:val="restart"/>
            <w:shd w:val="clear" w:color="auto" w:fill="auto"/>
          </w:tcPr>
          <w:p w14:paraId="15F80643" w14:textId="77777777" w:rsidR="00144951" w:rsidRPr="00094628" w:rsidRDefault="00144951" w:rsidP="001731C1">
            <w:pPr>
              <w:rPr>
                <w:rFonts w:ascii="Garamond" w:hAnsi="Garamond"/>
              </w:rPr>
            </w:pPr>
            <w:r w:rsidRPr="00094628">
              <w:rPr>
                <w:rFonts w:ascii="Garamond" w:hAnsi="Garamond"/>
              </w:rPr>
              <w:t>Axe stratégique 5 : la mise à niveau, qualitativement et quantitativement, des besoins de l’Etat en ressources humaines.</w:t>
            </w:r>
          </w:p>
        </w:tc>
        <w:tc>
          <w:tcPr>
            <w:tcW w:w="1134" w:type="dxa"/>
          </w:tcPr>
          <w:p w14:paraId="6714E96A" w14:textId="77777777" w:rsidR="00144951" w:rsidRPr="00094628" w:rsidRDefault="00144951" w:rsidP="001731C1">
            <w:pPr>
              <w:rPr>
                <w:rFonts w:ascii="Garamond" w:hAnsi="Garamond"/>
              </w:rPr>
            </w:pPr>
            <w:r w:rsidRPr="00094628">
              <w:rPr>
                <w:rFonts w:ascii="Garamond" w:hAnsi="Garamond"/>
              </w:rPr>
              <w:t xml:space="preserve">Mise à disposition de ressources humaines de qualité et de quantité </w:t>
            </w:r>
          </w:p>
        </w:tc>
        <w:tc>
          <w:tcPr>
            <w:tcW w:w="1418" w:type="dxa"/>
            <w:shd w:val="clear" w:color="auto" w:fill="auto"/>
            <w:vAlign w:val="center"/>
          </w:tcPr>
          <w:p w14:paraId="284B86BD" w14:textId="77777777" w:rsidR="00144951" w:rsidRPr="00094628" w:rsidRDefault="00144951" w:rsidP="001731C1">
            <w:pPr>
              <w:pStyle w:val="Paragraphedeliste"/>
              <w:ind w:left="0"/>
              <w:rPr>
                <w:rFonts w:ascii="Garamond" w:hAnsi="Garamond"/>
              </w:rPr>
            </w:pPr>
            <w:r w:rsidRPr="00094628">
              <w:rPr>
                <w:rFonts w:ascii="Garamond" w:hAnsi="Garamond"/>
              </w:rPr>
              <w:t xml:space="preserve">Faire une évaluation détaillée des besoins du secteur minier et pétrolier malien, en ressources humaines en volume, en qualité et </w:t>
            </w:r>
            <w:r w:rsidRPr="00094628">
              <w:rPr>
                <w:rFonts w:ascii="Garamond" w:hAnsi="Garamond"/>
              </w:rPr>
              <w:lastRenderedPageBreak/>
              <w:t>dans son évolution en fonction de la politique et des stratégies adoptées pour son développement</w:t>
            </w:r>
          </w:p>
          <w:p w14:paraId="747CC478" w14:textId="77777777" w:rsidR="00144951" w:rsidRPr="00094628" w:rsidRDefault="00144951" w:rsidP="001731C1">
            <w:pPr>
              <w:pStyle w:val="Paragraphedeliste"/>
              <w:ind w:left="0"/>
              <w:rPr>
                <w:rFonts w:ascii="Garamond" w:eastAsia="Calibri" w:hAnsi="Garamond"/>
                <w:lang w:eastAsia="en-US"/>
              </w:rPr>
            </w:pPr>
          </w:p>
        </w:tc>
        <w:tc>
          <w:tcPr>
            <w:tcW w:w="1417" w:type="dxa"/>
            <w:shd w:val="clear" w:color="auto" w:fill="auto"/>
            <w:vAlign w:val="center"/>
          </w:tcPr>
          <w:p w14:paraId="718A1831" w14:textId="77777777" w:rsidR="00144951" w:rsidRPr="00094628" w:rsidRDefault="00144951" w:rsidP="001731C1">
            <w:pPr>
              <w:spacing w:before="60" w:after="60"/>
              <w:ind w:right="-108"/>
              <w:rPr>
                <w:rFonts w:ascii="Garamond" w:hAnsi="Garamond"/>
              </w:rPr>
            </w:pPr>
            <w:r w:rsidRPr="00094628">
              <w:rPr>
                <w:rFonts w:ascii="Garamond" w:hAnsi="Garamond"/>
              </w:rPr>
              <w:lastRenderedPageBreak/>
              <w:t>Nombre de cadres formés dans les métiers des mines</w:t>
            </w:r>
          </w:p>
        </w:tc>
        <w:tc>
          <w:tcPr>
            <w:tcW w:w="993" w:type="dxa"/>
            <w:shd w:val="clear" w:color="auto" w:fill="auto"/>
          </w:tcPr>
          <w:p w14:paraId="59CEFF85" w14:textId="77777777" w:rsidR="00144951" w:rsidRPr="00094628" w:rsidRDefault="00144951" w:rsidP="001731C1">
            <w:pPr>
              <w:rPr>
                <w:rFonts w:ascii="Garamond" w:hAnsi="Garamond"/>
              </w:rPr>
            </w:pPr>
          </w:p>
        </w:tc>
        <w:tc>
          <w:tcPr>
            <w:tcW w:w="567" w:type="dxa"/>
            <w:shd w:val="clear" w:color="auto" w:fill="auto"/>
          </w:tcPr>
          <w:p w14:paraId="752D648F"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6977BA95"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313DD10E"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2B89C148"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EC8ADAA"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53BB29AC" w14:textId="77777777" w:rsidR="00144951" w:rsidRPr="00094628" w:rsidRDefault="00144951" w:rsidP="001731C1">
            <w:pPr>
              <w:jc w:val="center"/>
              <w:rPr>
                <w:rFonts w:ascii="Garamond" w:hAnsi="Garamond"/>
              </w:rPr>
            </w:pPr>
            <w:r w:rsidRPr="00094628">
              <w:rPr>
                <w:rFonts w:ascii="Garamond" w:hAnsi="Garamond"/>
              </w:rPr>
              <w:t>2</w:t>
            </w:r>
            <w:r>
              <w:rPr>
                <w:rFonts w:ascii="Garamond" w:hAnsi="Garamond"/>
              </w:rPr>
              <w:t>0</w:t>
            </w:r>
            <w:r w:rsidRPr="00094628">
              <w:rPr>
                <w:rFonts w:ascii="Garamond" w:hAnsi="Garamond"/>
              </w:rPr>
              <w:t>.000</w:t>
            </w:r>
          </w:p>
        </w:tc>
        <w:tc>
          <w:tcPr>
            <w:tcW w:w="709" w:type="dxa"/>
            <w:shd w:val="clear" w:color="auto" w:fill="auto"/>
          </w:tcPr>
          <w:p w14:paraId="4E3AA04C"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3A246444" w14:textId="77777777" w:rsidR="00144951" w:rsidRPr="00094628" w:rsidRDefault="00144951" w:rsidP="001731C1">
            <w:pPr>
              <w:jc w:val="center"/>
              <w:rPr>
                <w:rFonts w:ascii="Garamond" w:hAnsi="Garamond"/>
              </w:rPr>
            </w:pPr>
            <w:r w:rsidRPr="00094628">
              <w:rPr>
                <w:rFonts w:ascii="Garamond" w:hAnsi="Garamond"/>
              </w:rPr>
              <w:t>MEN</w:t>
            </w:r>
          </w:p>
        </w:tc>
        <w:tc>
          <w:tcPr>
            <w:tcW w:w="1134" w:type="dxa"/>
            <w:shd w:val="clear" w:color="auto" w:fill="auto"/>
          </w:tcPr>
          <w:p w14:paraId="21276AAF" w14:textId="77777777" w:rsidR="00144951" w:rsidRPr="00094628" w:rsidRDefault="00144951" w:rsidP="001731C1">
            <w:pPr>
              <w:jc w:val="center"/>
              <w:rPr>
                <w:rFonts w:ascii="Garamond" w:hAnsi="Garamond"/>
              </w:rPr>
            </w:pPr>
            <w:r w:rsidRPr="00094628">
              <w:rPr>
                <w:rFonts w:ascii="Garamond" w:hAnsi="Garamond"/>
              </w:rPr>
              <w:t>BE</w:t>
            </w:r>
          </w:p>
        </w:tc>
      </w:tr>
      <w:tr w:rsidR="00144951" w:rsidRPr="00094628" w14:paraId="2E277FC4" w14:textId="77777777" w:rsidTr="00144951">
        <w:tc>
          <w:tcPr>
            <w:tcW w:w="1588" w:type="dxa"/>
            <w:vMerge/>
            <w:shd w:val="clear" w:color="auto" w:fill="auto"/>
          </w:tcPr>
          <w:p w14:paraId="77CE694B"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44AA6D2A" w14:textId="77777777" w:rsidR="00144951" w:rsidRPr="00094628" w:rsidRDefault="00144951" w:rsidP="001731C1">
            <w:pPr>
              <w:rPr>
                <w:rFonts w:ascii="Garamond" w:hAnsi="Garamond"/>
                <w:bCs/>
              </w:rPr>
            </w:pPr>
          </w:p>
        </w:tc>
        <w:tc>
          <w:tcPr>
            <w:tcW w:w="1134" w:type="dxa"/>
          </w:tcPr>
          <w:p w14:paraId="592AC357" w14:textId="77777777" w:rsidR="00144951" w:rsidRPr="00094628" w:rsidRDefault="00144951" w:rsidP="001731C1">
            <w:pPr>
              <w:rPr>
                <w:rFonts w:ascii="Garamond" w:hAnsi="Garamond"/>
              </w:rPr>
            </w:pPr>
            <w:r w:rsidRPr="00094628">
              <w:rPr>
                <w:rFonts w:ascii="Garamond" w:hAnsi="Garamond"/>
              </w:rPr>
              <w:t xml:space="preserve">Les contrats, accords et avantages de développement communautaire améliorés </w:t>
            </w:r>
          </w:p>
        </w:tc>
        <w:tc>
          <w:tcPr>
            <w:tcW w:w="1418" w:type="dxa"/>
            <w:shd w:val="clear" w:color="auto" w:fill="auto"/>
          </w:tcPr>
          <w:p w14:paraId="5894CDB3" w14:textId="77777777" w:rsidR="00144951" w:rsidRPr="00094628" w:rsidRDefault="00144951" w:rsidP="001731C1">
            <w:pPr>
              <w:rPr>
                <w:rFonts w:ascii="Garamond" w:hAnsi="Garamond"/>
              </w:rPr>
            </w:pPr>
            <w:r w:rsidRPr="00094628">
              <w:rPr>
                <w:rFonts w:ascii="Garamond" w:hAnsi="Garamond"/>
              </w:rPr>
              <w:t>Renforcer les acteurs nationaux en termes de capacité de négociation de contrats, accords et avantages de développement communautaire</w:t>
            </w:r>
          </w:p>
        </w:tc>
        <w:tc>
          <w:tcPr>
            <w:tcW w:w="1417" w:type="dxa"/>
            <w:shd w:val="clear" w:color="auto" w:fill="auto"/>
            <w:vAlign w:val="center"/>
          </w:tcPr>
          <w:p w14:paraId="5FA437D9" w14:textId="77777777" w:rsidR="00144951" w:rsidRPr="00094628" w:rsidRDefault="00144951" w:rsidP="001731C1">
            <w:pPr>
              <w:spacing w:before="60" w:after="60"/>
              <w:ind w:right="-108"/>
              <w:rPr>
                <w:rFonts w:ascii="Garamond" w:hAnsi="Garamond"/>
              </w:rPr>
            </w:pPr>
            <w:r w:rsidRPr="00094628">
              <w:rPr>
                <w:rFonts w:ascii="Garamond" w:hAnsi="Garamond"/>
              </w:rPr>
              <w:t xml:space="preserve">Nombre de contrat et convention relus </w:t>
            </w:r>
          </w:p>
        </w:tc>
        <w:tc>
          <w:tcPr>
            <w:tcW w:w="993" w:type="dxa"/>
            <w:shd w:val="clear" w:color="auto" w:fill="auto"/>
          </w:tcPr>
          <w:p w14:paraId="39FF6848" w14:textId="77777777" w:rsidR="00144951" w:rsidRPr="00094628" w:rsidRDefault="00144951" w:rsidP="001731C1">
            <w:pPr>
              <w:rPr>
                <w:rFonts w:ascii="Garamond" w:hAnsi="Garamond"/>
              </w:rPr>
            </w:pPr>
          </w:p>
        </w:tc>
        <w:tc>
          <w:tcPr>
            <w:tcW w:w="567" w:type="dxa"/>
            <w:shd w:val="clear" w:color="auto" w:fill="auto"/>
          </w:tcPr>
          <w:p w14:paraId="165073F1" w14:textId="77777777" w:rsidR="00144951" w:rsidRPr="00094628" w:rsidRDefault="00144951" w:rsidP="001731C1">
            <w:pPr>
              <w:jc w:val="center"/>
              <w:rPr>
                <w:rFonts w:ascii="Garamond" w:hAnsi="Garamond"/>
              </w:rPr>
            </w:pPr>
          </w:p>
        </w:tc>
        <w:tc>
          <w:tcPr>
            <w:tcW w:w="567" w:type="dxa"/>
            <w:shd w:val="clear" w:color="auto" w:fill="auto"/>
          </w:tcPr>
          <w:p w14:paraId="277C999A" w14:textId="77777777" w:rsidR="00144951" w:rsidRPr="00094628" w:rsidRDefault="00144951" w:rsidP="001731C1">
            <w:pPr>
              <w:jc w:val="center"/>
              <w:rPr>
                <w:rFonts w:ascii="Garamond" w:hAnsi="Garamond"/>
              </w:rPr>
            </w:pPr>
          </w:p>
        </w:tc>
        <w:tc>
          <w:tcPr>
            <w:tcW w:w="567" w:type="dxa"/>
            <w:shd w:val="clear" w:color="auto" w:fill="auto"/>
          </w:tcPr>
          <w:p w14:paraId="721D737F" w14:textId="77777777" w:rsidR="00144951" w:rsidRPr="00094628" w:rsidRDefault="00144951" w:rsidP="001731C1">
            <w:pPr>
              <w:jc w:val="center"/>
              <w:rPr>
                <w:rFonts w:ascii="Garamond" w:hAnsi="Garamond"/>
              </w:rPr>
            </w:pPr>
          </w:p>
        </w:tc>
        <w:tc>
          <w:tcPr>
            <w:tcW w:w="425" w:type="dxa"/>
            <w:shd w:val="clear" w:color="auto" w:fill="auto"/>
          </w:tcPr>
          <w:p w14:paraId="6EE4C512" w14:textId="77777777" w:rsidR="00144951" w:rsidRPr="00094628" w:rsidRDefault="00144951" w:rsidP="001731C1">
            <w:pPr>
              <w:jc w:val="center"/>
              <w:rPr>
                <w:rFonts w:ascii="Garamond" w:hAnsi="Garamond"/>
              </w:rPr>
            </w:pPr>
          </w:p>
        </w:tc>
        <w:tc>
          <w:tcPr>
            <w:tcW w:w="425" w:type="dxa"/>
            <w:shd w:val="clear" w:color="auto" w:fill="auto"/>
          </w:tcPr>
          <w:p w14:paraId="59694025" w14:textId="77777777" w:rsidR="00144951" w:rsidRPr="00094628" w:rsidRDefault="00144951" w:rsidP="001731C1">
            <w:pPr>
              <w:jc w:val="center"/>
              <w:rPr>
                <w:rFonts w:ascii="Garamond" w:hAnsi="Garamond"/>
              </w:rPr>
            </w:pPr>
          </w:p>
        </w:tc>
        <w:tc>
          <w:tcPr>
            <w:tcW w:w="1276" w:type="dxa"/>
            <w:shd w:val="clear" w:color="auto" w:fill="auto"/>
          </w:tcPr>
          <w:p w14:paraId="35CEA7FB" w14:textId="77777777" w:rsidR="00144951" w:rsidRPr="00094628" w:rsidRDefault="00144951" w:rsidP="001731C1">
            <w:pPr>
              <w:jc w:val="center"/>
              <w:rPr>
                <w:rFonts w:ascii="Garamond" w:hAnsi="Garamond"/>
              </w:rPr>
            </w:pPr>
          </w:p>
        </w:tc>
        <w:tc>
          <w:tcPr>
            <w:tcW w:w="709" w:type="dxa"/>
            <w:shd w:val="clear" w:color="auto" w:fill="auto"/>
          </w:tcPr>
          <w:p w14:paraId="540F082C"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5FB95E78" w14:textId="77777777" w:rsidR="00144951" w:rsidRPr="00094628" w:rsidRDefault="00144951" w:rsidP="001731C1">
            <w:pPr>
              <w:jc w:val="center"/>
              <w:rPr>
                <w:rFonts w:ascii="Garamond" w:hAnsi="Garamond"/>
              </w:rPr>
            </w:pPr>
            <w:proofErr w:type="gramStart"/>
            <w:r w:rsidRPr="00094628">
              <w:rPr>
                <w:rFonts w:ascii="Garamond" w:hAnsi="Garamond"/>
              </w:rPr>
              <w:t>Sociétés  minières</w:t>
            </w:r>
            <w:proofErr w:type="gramEnd"/>
            <w:r w:rsidRPr="00094628">
              <w:rPr>
                <w:rFonts w:ascii="Garamond" w:hAnsi="Garamond"/>
              </w:rPr>
              <w:t>, Collectivité locales</w:t>
            </w:r>
          </w:p>
        </w:tc>
        <w:tc>
          <w:tcPr>
            <w:tcW w:w="1134" w:type="dxa"/>
            <w:shd w:val="clear" w:color="auto" w:fill="auto"/>
          </w:tcPr>
          <w:p w14:paraId="6569FD4E" w14:textId="77777777" w:rsidR="00144951" w:rsidRPr="00094628" w:rsidRDefault="00144951" w:rsidP="001731C1">
            <w:pPr>
              <w:jc w:val="center"/>
              <w:rPr>
                <w:rFonts w:ascii="Garamond" w:hAnsi="Garamond"/>
              </w:rPr>
            </w:pPr>
            <w:r w:rsidRPr="00094628">
              <w:rPr>
                <w:rFonts w:ascii="Garamond" w:hAnsi="Garamond"/>
              </w:rPr>
              <w:t>BE</w:t>
            </w:r>
          </w:p>
        </w:tc>
      </w:tr>
      <w:tr w:rsidR="00144951" w:rsidRPr="00094628" w14:paraId="64CF3628" w14:textId="77777777" w:rsidTr="00144951">
        <w:tc>
          <w:tcPr>
            <w:tcW w:w="1588" w:type="dxa"/>
            <w:vMerge/>
            <w:shd w:val="clear" w:color="auto" w:fill="auto"/>
          </w:tcPr>
          <w:p w14:paraId="3C5D414B"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609EB1D6" w14:textId="77777777" w:rsidR="00144951" w:rsidRPr="00094628" w:rsidRDefault="00144951" w:rsidP="001731C1">
            <w:pPr>
              <w:rPr>
                <w:rFonts w:ascii="Garamond" w:hAnsi="Garamond"/>
                <w:bCs/>
              </w:rPr>
            </w:pPr>
          </w:p>
        </w:tc>
        <w:tc>
          <w:tcPr>
            <w:tcW w:w="1134" w:type="dxa"/>
          </w:tcPr>
          <w:p w14:paraId="4319458B" w14:textId="77777777" w:rsidR="00144951" w:rsidRPr="00094628" w:rsidRDefault="00144951" w:rsidP="001731C1">
            <w:pPr>
              <w:rPr>
                <w:rFonts w:ascii="Garamond" w:hAnsi="Garamond"/>
              </w:rPr>
            </w:pPr>
            <w:r w:rsidRPr="00094628">
              <w:rPr>
                <w:rFonts w:ascii="Garamond" w:hAnsi="Garamond"/>
              </w:rPr>
              <w:t xml:space="preserve">Ressources humaines </w:t>
            </w:r>
            <w:r w:rsidRPr="00094628">
              <w:rPr>
                <w:rFonts w:ascii="Garamond" w:hAnsi="Garamond"/>
              </w:rPr>
              <w:lastRenderedPageBreak/>
              <w:t xml:space="preserve">disponibles dans les spécialités du secteur des mines </w:t>
            </w:r>
          </w:p>
        </w:tc>
        <w:tc>
          <w:tcPr>
            <w:tcW w:w="1418" w:type="dxa"/>
            <w:shd w:val="clear" w:color="auto" w:fill="auto"/>
          </w:tcPr>
          <w:p w14:paraId="3B8DC76E" w14:textId="77777777" w:rsidR="00144951" w:rsidRPr="00094628" w:rsidRDefault="00144951" w:rsidP="001731C1">
            <w:pPr>
              <w:rPr>
                <w:rFonts w:ascii="Garamond" w:hAnsi="Garamond"/>
              </w:rPr>
            </w:pPr>
            <w:r w:rsidRPr="00094628">
              <w:rPr>
                <w:rFonts w:ascii="Garamond" w:hAnsi="Garamond"/>
              </w:rPr>
              <w:lastRenderedPageBreak/>
              <w:t xml:space="preserve">Créer une Ecole des Mines </w:t>
            </w:r>
          </w:p>
        </w:tc>
        <w:tc>
          <w:tcPr>
            <w:tcW w:w="1417" w:type="dxa"/>
            <w:shd w:val="clear" w:color="auto" w:fill="auto"/>
            <w:vAlign w:val="center"/>
          </w:tcPr>
          <w:p w14:paraId="492889F2" w14:textId="77777777" w:rsidR="00144951" w:rsidRPr="00094628" w:rsidRDefault="00144951" w:rsidP="001731C1">
            <w:pPr>
              <w:spacing w:before="60" w:after="60"/>
              <w:ind w:right="-108"/>
              <w:rPr>
                <w:rFonts w:ascii="Garamond" w:hAnsi="Garamond"/>
              </w:rPr>
            </w:pPr>
            <w:r w:rsidRPr="00094628">
              <w:rPr>
                <w:rFonts w:ascii="Garamond" w:hAnsi="Garamond"/>
              </w:rPr>
              <w:t xml:space="preserve">Nombre de spécialistes formés dans </w:t>
            </w:r>
            <w:r w:rsidRPr="00094628">
              <w:rPr>
                <w:rFonts w:ascii="Garamond" w:hAnsi="Garamond"/>
              </w:rPr>
              <w:lastRenderedPageBreak/>
              <w:t xml:space="preserve">le secteur des mines </w:t>
            </w:r>
          </w:p>
        </w:tc>
        <w:tc>
          <w:tcPr>
            <w:tcW w:w="993" w:type="dxa"/>
            <w:shd w:val="clear" w:color="auto" w:fill="auto"/>
          </w:tcPr>
          <w:p w14:paraId="3340F197" w14:textId="77777777" w:rsidR="00144951" w:rsidRPr="00094628" w:rsidRDefault="00144951" w:rsidP="001731C1">
            <w:pPr>
              <w:rPr>
                <w:rFonts w:ascii="Garamond" w:hAnsi="Garamond"/>
              </w:rPr>
            </w:pPr>
            <w:r w:rsidRPr="00094628">
              <w:rPr>
                <w:rFonts w:ascii="Garamond" w:hAnsi="Garamond"/>
              </w:rPr>
              <w:lastRenderedPageBreak/>
              <w:t xml:space="preserve">Rapport d’activités de </w:t>
            </w:r>
            <w:r w:rsidRPr="00094628">
              <w:rPr>
                <w:rFonts w:ascii="Garamond" w:hAnsi="Garamond"/>
              </w:rPr>
              <w:lastRenderedPageBreak/>
              <w:t xml:space="preserve">l’école africaine des mines </w:t>
            </w:r>
          </w:p>
        </w:tc>
        <w:tc>
          <w:tcPr>
            <w:tcW w:w="567" w:type="dxa"/>
            <w:shd w:val="clear" w:color="auto" w:fill="auto"/>
          </w:tcPr>
          <w:p w14:paraId="5D80FE2D" w14:textId="77777777" w:rsidR="00144951" w:rsidRPr="00094628" w:rsidRDefault="00144951" w:rsidP="001731C1">
            <w:pPr>
              <w:jc w:val="center"/>
              <w:rPr>
                <w:rFonts w:ascii="Garamond" w:hAnsi="Garamond"/>
              </w:rPr>
            </w:pPr>
            <w:r w:rsidRPr="00094628">
              <w:rPr>
                <w:rFonts w:ascii="Garamond" w:hAnsi="Garamond"/>
              </w:rPr>
              <w:lastRenderedPageBreak/>
              <w:t>X</w:t>
            </w:r>
          </w:p>
        </w:tc>
        <w:tc>
          <w:tcPr>
            <w:tcW w:w="567" w:type="dxa"/>
            <w:shd w:val="clear" w:color="auto" w:fill="auto"/>
          </w:tcPr>
          <w:p w14:paraId="38A3F9C3"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05B17985" w14:textId="77777777" w:rsidR="00144951" w:rsidRPr="00094628" w:rsidRDefault="00144951" w:rsidP="001731C1">
            <w:pPr>
              <w:jc w:val="center"/>
              <w:rPr>
                <w:rFonts w:ascii="Garamond" w:hAnsi="Garamond"/>
              </w:rPr>
            </w:pPr>
          </w:p>
        </w:tc>
        <w:tc>
          <w:tcPr>
            <w:tcW w:w="425" w:type="dxa"/>
            <w:shd w:val="clear" w:color="auto" w:fill="auto"/>
          </w:tcPr>
          <w:p w14:paraId="048FA854" w14:textId="77777777" w:rsidR="00144951" w:rsidRPr="00094628" w:rsidRDefault="00144951" w:rsidP="001731C1">
            <w:pPr>
              <w:jc w:val="center"/>
              <w:rPr>
                <w:rFonts w:ascii="Garamond" w:hAnsi="Garamond"/>
              </w:rPr>
            </w:pPr>
          </w:p>
        </w:tc>
        <w:tc>
          <w:tcPr>
            <w:tcW w:w="425" w:type="dxa"/>
            <w:shd w:val="clear" w:color="auto" w:fill="auto"/>
          </w:tcPr>
          <w:p w14:paraId="16395D29" w14:textId="77777777" w:rsidR="00144951" w:rsidRPr="00094628" w:rsidRDefault="00144951" w:rsidP="001731C1">
            <w:pPr>
              <w:jc w:val="center"/>
              <w:rPr>
                <w:rFonts w:ascii="Garamond" w:hAnsi="Garamond"/>
              </w:rPr>
            </w:pPr>
          </w:p>
        </w:tc>
        <w:tc>
          <w:tcPr>
            <w:tcW w:w="1276" w:type="dxa"/>
            <w:shd w:val="clear" w:color="auto" w:fill="auto"/>
          </w:tcPr>
          <w:p w14:paraId="31B79BAD" w14:textId="77777777" w:rsidR="00144951" w:rsidRPr="00094628" w:rsidRDefault="00144951" w:rsidP="001731C1">
            <w:pPr>
              <w:jc w:val="center"/>
              <w:rPr>
                <w:rFonts w:ascii="Garamond" w:hAnsi="Garamond"/>
              </w:rPr>
            </w:pPr>
          </w:p>
        </w:tc>
        <w:tc>
          <w:tcPr>
            <w:tcW w:w="709" w:type="dxa"/>
            <w:shd w:val="clear" w:color="auto" w:fill="auto"/>
          </w:tcPr>
          <w:p w14:paraId="6BDC1503"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751EF3C5" w14:textId="77777777" w:rsidR="00144951" w:rsidRPr="00094628" w:rsidRDefault="00144951" w:rsidP="001731C1">
            <w:pPr>
              <w:jc w:val="center"/>
              <w:rPr>
                <w:rFonts w:ascii="Garamond" w:hAnsi="Garamond"/>
              </w:rPr>
            </w:pPr>
            <w:r w:rsidRPr="00094628">
              <w:rPr>
                <w:rFonts w:ascii="Garamond" w:hAnsi="Garamond"/>
              </w:rPr>
              <w:t>MEN</w:t>
            </w:r>
          </w:p>
        </w:tc>
        <w:tc>
          <w:tcPr>
            <w:tcW w:w="1134" w:type="dxa"/>
            <w:shd w:val="clear" w:color="auto" w:fill="auto"/>
          </w:tcPr>
          <w:p w14:paraId="3F7ACB1F" w14:textId="77777777" w:rsidR="00144951" w:rsidRPr="00094628" w:rsidRDefault="00144951" w:rsidP="001731C1">
            <w:pPr>
              <w:jc w:val="center"/>
              <w:rPr>
                <w:rFonts w:ascii="Garamond" w:hAnsi="Garamond"/>
              </w:rPr>
            </w:pPr>
            <w:r w:rsidRPr="00094628">
              <w:rPr>
                <w:rFonts w:ascii="Garamond" w:hAnsi="Garamond"/>
              </w:rPr>
              <w:t xml:space="preserve">BE, </w:t>
            </w:r>
            <w:proofErr w:type="spellStart"/>
            <w:r w:rsidRPr="00094628">
              <w:rPr>
                <w:rFonts w:ascii="Garamond" w:hAnsi="Garamond"/>
              </w:rPr>
              <w:t>PTFs</w:t>
            </w:r>
            <w:proofErr w:type="spellEnd"/>
          </w:p>
        </w:tc>
      </w:tr>
      <w:tr w:rsidR="00144951" w:rsidRPr="00094628" w14:paraId="07E87A31" w14:textId="77777777" w:rsidTr="00144951">
        <w:tc>
          <w:tcPr>
            <w:tcW w:w="1588" w:type="dxa"/>
            <w:vMerge/>
            <w:shd w:val="clear" w:color="auto" w:fill="auto"/>
          </w:tcPr>
          <w:p w14:paraId="7C5D8AD3" w14:textId="77777777" w:rsidR="00144951" w:rsidRPr="00094628" w:rsidRDefault="00144951" w:rsidP="001731C1">
            <w:pPr>
              <w:jc w:val="center"/>
              <w:rPr>
                <w:rFonts w:ascii="Garamond" w:hAnsi="Garamond"/>
              </w:rPr>
            </w:pPr>
          </w:p>
        </w:tc>
        <w:tc>
          <w:tcPr>
            <w:tcW w:w="1701" w:type="dxa"/>
            <w:vMerge/>
            <w:shd w:val="clear" w:color="auto" w:fill="auto"/>
            <w:vAlign w:val="center"/>
          </w:tcPr>
          <w:p w14:paraId="2BA3A8E1" w14:textId="77777777" w:rsidR="00144951" w:rsidRPr="00094628" w:rsidRDefault="00144951" w:rsidP="001731C1">
            <w:pPr>
              <w:rPr>
                <w:rFonts w:ascii="Garamond" w:hAnsi="Garamond"/>
                <w:bCs/>
              </w:rPr>
            </w:pPr>
          </w:p>
        </w:tc>
        <w:tc>
          <w:tcPr>
            <w:tcW w:w="1134" w:type="dxa"/>
          </w:tcPr>
          <w:p w14:paraId="40928CB1" w14:textId="77777777" w:rsidR="00144951" w:rsidRPr="00094628" w:rsidRDefault="00144951" w:rsidP="001731C1">
            <w:pPr>
              <w:rPr>
                <w:rFonts w:ascii="Garamond" w:hAnsi="Garamond"/>
              </w:rPr>
            </w:pPr>
            <w:r w:rsidRPr="00094628">
              <w:rPr>
                <w:rFonts w:ascii="Garamond" w:hAnsi="Garamond"/>
              </w:rPr>
              <w:t xml:space="preserve">Les établissements d’enseignement supérieur sont dotés et équipés </w:t>
            </w:r>
          </w:p>
        </w:tc>
        <w:tc>
          <w:tcPr>
            <w:tcW w:w="1418" w:type="dxa"/>
            <w:shd w:val="clear" w:color="auto" w:fill="auto"/>
          </w:tcPr>
          <w:p w14:paraId="512C2AAE" w14:textId="77777777" w:rsidR="00144951" w:rsidRPr="00094628" w:rsidRDefault="00144951" w:rsidP="001731C1">
            <w:pPr>
              <w:rPr>
                <w:rFonts w:ascii="Garamond" w:hAnsi="Garamond"/>
              </w:rPr>
            </w:pPr>
            <w:r w:rsidRPr="00094628">
              <w:rPr>
                <w:rFonts w:ascii="Garamond" w:hAnsi="Garamond"/>
              </w:rPr>
              <w:t>Doter les établissements d’enseignement supérieur de filières conformes aux besoins du secteur minier et pétrolier</w:t>
            </w:r>
          </w:p>
        </w:tc>
        <w:tc>
          <w:tcPr>
            <w:tcW w:w="1417" w:type="dxa"/>
            <w:shd w:val="clear" w:color="auto" w:fill="auto"/>
            <w:vAlign w:val="center"/>
          </w:tcPr>
          <w:p w14:paraId="266E40E3" w14:textId="77777777" w:rsidR="00144951" w:rsidRPr="00094628" w:rsidRDefault="00144951" w:rsidP="001731C1">
            <w:pPr>
              <w:spacing w:before="60" w:after="60"/>
              <w:ind w:right="-108"/>
              <w:rPr>
                <w:rFonts w:ascii="Garamond" w:hAnsi="Garamond"/>
              </w:rPr>
            </w:pPr>
            <w:r w:rsidRPr="00094628">
              <w:rPr>
                <w:rFonts w:ascii="Garamond" w:hAnsi="Garamond"/>
              </w:rPr>
              <w:t>Nombre d’établissement d’enseignement supérieur sont dotés et équipés</w:t>
            </w:r>
          </w:p>
        </w:tc>
        <w:tc>
          <w:tcPr>
            <w:tcW w:w="993" w:type="dxa"/>
            <w:shd w:val="clear" w:color="auto" w:fill="auto"/>
          </w:tcPr>
          <w:p w14:paraId="6EBBF89D" w14:textId="77777777" w:rsidR="00144951" w:rsidRPr="00094628" w:rsidRDefault="00144951" w:rsidP="001731C1">
            <w:pPr>
              <w:rPr>
                <w:rFonts w:ascii="Garamond" w:hAnsi="Garamond"/>
              </w:rPr>
            </w:pPr>
          </w:p>
        </w:tc>
        <w:tc>
          <w:tcPr>
            <w:tcW w:w="567" w:type="dxa"/>
            <w:shd w:val="clear" w:color="auto" w:fill="auto"/>
          </w:tcPr>
          <w:p w14:paraId="3C3D890F"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FBFDF31"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EE20D01"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6119ADA9"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3128257B"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6C32A78A" w14:textId="77777777" w:rsidR="00144951" w:rsidRPr="00094628" w:rsidRDefault="00144951" w:rsidP="001731C1">
            <w:pPr>
              <w:jc w:val="center"/>
              <w:rPr>
                <w:rFonts w:ascii="Garamond" w:hAnsi="Garamond"/>
              </w:rPr>
            </w:pPr>
          </w:p>
        </w:tc>
        <w:tc>
          <w:tcPr>
            <w:tcW w:w="709" w:type="dxa"/>
            <w:shd w:val="clear" w:color="auto" w:fill="auto"/>
          </w:tcPr>
          <w:p w14:paraId="6E523A63" w14:textId="77777777" w:rsidR="00144951" w:rsidRPr="00094628" w:rsidRDefault="00144951" w:rsidP="001731C1">
            <w:pPr>
              <w:jc w:val="center"/>
              <w:rPr>
                <w:rFonts w:ascii="Garamond" w:hAnsi="Garamond"/>
              </w:rPr>
            </w:pPr>
          </w:p>
        </w:tc>
        <w:tc>
          <w:tcPr>
            <w:tcW w:w="1275" w:type="dxa"/>
            <w:shd w:val="clear" w:color="auto" w:fill="auto"/>
          </w:tcPr>
          <w:p w14:paraId="6396DF79" w14:textId="77777777" w:rsidR="00144951" w:rsidRPr="00094628" w:rsidRDefault="00144951" w:rsidP="001731C1">
            <w:pPr>
              <w:jc w:val="center"/>
              <w:rPr>
                <w:rFonts w:ascii="Garamond" w:hAnsi="Garamond"/>
              </w:rPr>
            </w:pPr>
          </w:p>
        </w:tc>
        <w:tc>
          <w:tcPr>
            <w:tcW w:w="1134" w:type="dxa"/>
            <w:shd w:val="clear" w:color="auto" w:fill="auto"/>
          </w:tcPr>
          <w:p w14:paraId="2E081A5F"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2902B688" w14:textId="77777777" w:rsidTr="00144951">
        <w:tc>
          <w:tcPr>
            <w:tcW w:w="1588" w:type="dxa"/>
            <w:vMerge/>
            <w:shd w:val="clear" w:color="auto" w:fill="auto"/>
          </w:tcPr>
          <w:p w14:paraId="7CA46ECE" w14:textId="77777777" w:rsidR="00144951" w:rsidRPr="00094628" w:rsidRDefault="00144951" w:rsidP="001731C1">
            <w:pPr>
              <w:jc w:val="center"/>
              <w:rPr>
                <w:rFonts w:ascii="Garamond" w:hAnsi="Garamond"/>
              </w:rPr>
            </w:pPr>
          </w:p>
        </w:tc>
        <w:tc>
          <w:tcPr>
            <w:tcW w:w="1701" w:type="dxa"/>
            <w:shd w:val="clear" w:color="auto" w:fill="auto"/>
          </w:tcPr>
          <w:p w14:paraId="4B3BE034" w14:textId="77777777" w:rsidR="00144951" w:rsidRPr="00094628" w:rsidRDefault="00144951" w:rsidP="001731C1">
            <w:pPr>
              <w:rPr>
                <w:rFonts w:ascii="Garamond" w:hAnsi="Garamond"/>
              </w:rPr>
            </w:pPr>
          </w:p>
        </w:tc>
        <w:tc>
          <w:tcPr>
            <w:tcW w:w="1134" w:type="dxa"/>
          </w:tcPr>
          <w:p w14:paraId="5314FF09" w14:textId="77777777" w:rsidR="00144951" w:rsidRPr="00094628" w:rsidRDefault="00144951" w:rsidP="001731C1">
            <w:pPr>
              <w:rPr>
                <w:rFonts w:ascii="Garamond" w:hAnsi="Garamond"/>
              </w:rPr>
            </w:pPr>
            <w:r w:rsidRPr="00094628">
              <w:rPr>
                <w:rFonts w:ascii="Garamond" w:hAnsi="Garamond"/>
              </w:rPr>
              <w:t>Les diplômés maliens sont recrutés dans les sociétés minières</w:t>
            </w:r>
          </w:p>
        </w:tc>
        <w:tc>
          <w:tcPr>
            <w:tcW w:w="1418" w:type="dxa"/>
            <w:shd w:val="clear" w:color="auto" w:fill="auto"/>
          </w:tcPr>
          <w:p w14:paraId="6788D56F" w14:textId="77777777" w:rsidR="00144951" w:rsidRPr="00094628" w:rsidRDefault="00144951" w:rsidP="001731C1">
            <w:pPr>
              <w:rPr>
                <w:rFonts w:ascii="Garamond" w:hAnsi="Garamond"/>
              </w:rPr>
            </w:pPr>
            <w:r w:rsidRPr="00094628">
              <w:rPr>
                <w:rFonts w:ascii="Garamond" w:hAnsi="Garamond"/>
              </w:rPr>
              <w:t xml:space="preserve">Mettre en place une plateforme pour la promotion des nationaux en matière de </w:t>
            </w:r>
            <w:r w:rsidRPr="00094628">
              <w:rPr>
                <w:rFonts w:ascii="Garamond" w:hAnsi="Garamond"/>
              </w:rPr>
              <w:lastRenderedPageBreak/>
              <w:t>recrutement auprès des sociétés minières et pétrolières</w:t>
            </w:r>
          </w:p>
        </w:tc>
        <w:tc>
          <w:tcPr>
            <w:tcW w:w="1417" w:type="dxa"/>
            <w:shd w:val="clear" w:color="auto" w:fill="auto"/>
          </w:tcPr>
          <w:p w14:paraId="0770E303" w14:textId="77777777" w:rsidR="00144951" w:rsidRPr="00094628" w:rsidRDefault="00144951" w:rsidP="001731C1">
            <w:pPr>
              <w:rPr>
                <w:rFonts w:ascii="Garamond" w:hAnsi="Garamond"/>
              </w:rPr>
            </w:pPr>
            <w:proofErr w:type="gramStart"/>
            <w:r w:rsidRPr="00094628">
              <w:rPr>
                <w:rFonts w:ascii="Garamond" w:hAnsi="Garamond"/>
              </w:rPr>
              <w:lastRenderedPageBreak/>
              <w:t>Nombre  diplômés</w:t>
            </w:r>
            <w:proofErr w:type="gramEnd"/>
            <w:r w:rsidRPr="00094628">
              <w:rPr>
                <w:rFonts w:ascii="Garamond" w:hAnsi="Garamond"/>
              </w:rPr>
              <w:t xml:space="preserve"> maliens sont recrutés dans les sociétés minières</w:t>
            </w:r>
          </w:p>
          <w:p w14:paraId="10C19BD8" w14:textId="77777777" w:rsidR="00144951" w:rsidRPr="00094628" w:rsidRDefault="00144951" w:rsidP="001731C1">
            <w:pPr>
              <w:rPr>
                <w:rFonts w:ascii="Garamond" w:hAnsi="Garamond"/>
              </w:rPr>
            </w:pPr>
            <w:r w:rsidRPr="00094628">
              <w:rPr>
                <w:rFonts w:ascii="Garamond" w:hAnsi="Garamond"/>
              </w:rPr>
              <w:lastRenderedPageBreak/>
              <w:t>Nombre de diplômés malines occupant les postes de responsabilité</w:t>
            </w:r>
          </w:p>
        </w:tc>
        <w:tc>
          <w:tcPr>
            <w:tcW w:w="993" w:type="dxa"/>
            <w:shd w:val="clear" w:color="auto" w:fill="auto"/>
          </w:tcPr>
          <w:p w14:paraId="6E847852" w14:textId="77777777" w:rsidR="00144951" w:rsidRPr="00094628" w:rsidRDefault="00144951" w:rsidP="001731C1">
            <w:pPr>
              <w:rPr>
                <w:rFonts w:ascii="Garamond" w:hAnsi="Garamond"/>
              </w:rPr>
            </w:pPr>
          </w:p>
        </w:tc>
        <w:tc>
          <w:tcPr>
            <w:tcW w:w="567" w:type="dxa"/>
            <w:shd w:val="clear" w:color="auto" w:fill="auto"/>
          </w:tcPr>
          <w:p w14:paraId="6B08CD3C"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BB662EB"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2EFDAF68"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53F010C"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6D180226"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4D174F02" w14:textId="77777777" w:rsidR="00144951" w:rsidRPr="00094628" w:rsidRDefault="00144951" w:rsidP="001731C1">
            <w:pPr>
              <w:jc w:val="center"/>
              <w:rPr>
                <w:rFonts w:ascii="Garamond" w:hAnsi="Garamond"/>
              </w:rPr>
            </w:pPr>
          </w:p>
        </w:tc>
        <w:tc>
          <w:tcPr>
            <w:tcW w:w="709" w:type="dxa"/>
            <w:shd w:val="clear" w:color="auto" w:fill="auto"/>
          </w:tcPr>
          <w:p w14:paraId="123EEC73" w14:textId="77777777" w:rsidR="00144951" w:rsidRPr="00094628" w:rsidRDefault="00144951" w:rsidP="001731C1">
            <w:pPr>
              <w:jc w:val="center"/>
              <w:rPr>
                <w:rFonts w:ascii="Garamond" w:hAnsi="Garamond"/>
              </w:rPr>
            </w:pPr>
          </w:p>
        </w:tc>
        <w:tc>
          <w:tcPr>
            <w:tcW w:w="1275" w:type="dxa"/>
            <w:shd w:val="clear" w:color="auto" w:fill="auto"/>
          </w:tcPr>
          <w:p w14:paraId="1301C0C3" w14:textId="77777777" w:rsidR="00144951" w:rsidRPr="00094628" w:rsidRDefault="00144951" w:rsidP="001731C1">
            <w:pPr>
              <w:jc w:val="center"/>
              <w:rPr>
                <w:rFonts w:ascii="Garamond" w:hAnsi="Garamond"/>
              </w:rPr>
            </w:pPr>
          </w:p>
        </w:tc>
        <w:tc>
          <w:tcPr>
            <w:tcW w:w="1134" w:type="dxa"/>
            <w:shd w:val="clear" w:color="auto" w:fill="auto"/>
          </w:tcPr>
          <w:p w14:paraId="454CA92B"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6E4C92C1" w14:textId="77777777" w:rsidTr="00144951">
        <w:tc>
          <w:tcPr>
            <w:tcW w:w="1588" w:type="dxa"/>
            <w:vMerge w:val="restart"/>
            <w:shd w:val="clear" w:color="auto" w:fill="auto"/>
          </w:tcPr>
          <w:p w14:paraId="68214610" w14:textId="0E3473CD" w:rsidR="00144951" w:rsidRPr="00094628" w:rsidRDefault="00144951" w:rsidP="001731C1">
            <w:pPr>
              <w:rPr>
                <w:rFonts w:ascii="Garamond" w:hAnsi="Garamond"/>
              </w:rPr>
            </w:pPr>
            <w:bookmarkStart w:id="21" w:name="_Toc459574064"/>
            <w:r w:rsidRPr="00094628">
              <w:rPr>
                <w:rFonts w:ascii="Garamond" w:hAnsi="Garamond"/>
                <w:bCs/>
              </w:rPr>
              <w:t>Objectifs spécifiques</w:t>
            </w:r>
            <w:r w:rsidRPr="00094628">
              <w:rPr>
                <w:rFonts w:ascii="Garamond" w:hAnsi="Garamond"/>
              </w:rPr>
              <w:t xml:space="preserve"> 6. </w:t>
            </w:r>
            <w:proofErr w:type="gramStart"/>
            <w:r w:rsidRPr="00094628">
              <w:rPr>
                <w:rFonts w:ascii="Garamond" w:hAnsi="Garamond"/>
              </w:rPr>
              <w:t>Intégrer  le</w:t>
            </w:r>
            <w:proofErr w:type="gramEnd"/>
            <w:r w:rsidRPr="00094628">
              <w:rPr>
                <w:rFonts w:ascii="Garamond" w:hAnsi="Garamond"/>
              </w:rPr>
              <w:t xml:space="preserve"> secteur minier et pétrolier à l’ensemble de l’économie</w:t>
            </w:r>
            <w:bookmarkEnd w:id="21"/>
            <w:r w:rsidRPr="00094628">
              <w:rPr>
                <w:rFonts w:ascii="Garamond" w:hAnsi="Garamond"/>
              </w:rPr>
              <w:t xml:space="preserve"> </w:t>
            </w:r>
          </w:p>
        </w:tc>
        <w:tc>
          <w:tcPr>
            <w:tcW w:w="1701" w:type="dxa"/>
            <w:vMerge w:val="restart"/>
            <w:shd w:val="clear" w:color="auto" w:fill="auto"/>
          </w:tcPr>
          <w:p w14:paraId="5F89B8AA" w14:textId="77777777" w:rsidR="00144951" w:rsidRPr="00094628" w:rsidRDefault="00144951" w:rsidP="001731C1">
            <w:pPr>
              <w:spacing w:before="240"/>
              <w:jc w:val="both"/>
              <w:rPr>
                <w:rFonts w:ascii="Garamond" w:hAnsi="Garamond"/>
              </w:rPr>
            </w:pPr>
            <w:r w:rsidRPr="00094628">
              <w:rPr>
                <w:rFonts w:ascii="Garamond" w:hAnsi="Garamond"/>
                <w:bCs/>
              </w:rPr>
              <w:t>Axe stratégique 6 : le</w:t>
            </w:r>
            <w:r w:rsidRPr="00094628">
              <w:rPr>
                <w:rFonts w:ascii="Garamond" w:hAnsi="Garamond"/>
              </w:rPr>
              <w:t xml:space="preserve"> développement des synergies entre le secteur minier et le reste de l’économie. Il s’agit de :</w:t>
            </w:r>
          </w:p>
          <w:p w14:paraId="417E3E54" w14:textId="77777777" w:rsidR="00144951" w:rsidRPr="00094628" w:rsidRDefault="00144951" w:rsidP="001731C1">
            <w:pPr>
              <w:rPr>
                <w:rFonts w:ascii="Garamond" w:hAnsi="Garamond"/>
              </w:rPr>
            </w:pPr>
          </w:p>
        </w:tc>
        <w:tc>
          <w:tcPr>
            <w:tcW w:w="1134" w:type="dxa"/>
          </w:tcPr>
          <w:p w14:paraId="2329FDED" w14:textId="77777777" w:rsidR="00144951" w:rsidRPr="00094628" w:rsidRDefault="00144951" w:rsidP="001731C1">
            <w:pPr>
              <w:rPr>
                <w:rFonts w:ascii="Garamond" w:hAnsi="Garamond"/>
              </w:rPr>
            </w:pPr>
            <w:proofErr w:type="gramStart"/>
            <w:r w:rsidRPr="00094628">
              <w:rPr>
                <w:rFonts w:ascii="Garamond" w:hAnsi="Garamond"/>
              </w:rPr>
              <w:t>les</w:t>
            </w:r>
            <w:proofErr w:type="gramEnd"/>
            <w:r w:rsidRPr="00094628">
              <w:rPr>
                <w:rFonts w:ascii="Garamond" w:hAnsi="Garamond"/>
              </w:rPr>
              <w:t xml:space="preserve"> chaînes de valeur  dans les filières des mines sont développées </w:t>
            </w:r>
          </w:p>
        </w:tc>
        <w:tc>
          <w:tcPr>
            <w:tcW w:w="1418" w:type="dxa"/>
            <w:vMerge w:val="restart"/>
            <w:shd w:val="clear" w:color="auto" w:fill="auto"/>
          </w:tcPr>
          <w:p w14:paraId="1CFF25AC" w14:textId="77777777" w:rsidR="00144951" w:rsidRPr="00094628" w:rsidRDefault="00144951" w:rsidP="001731C1">
            <w:pPr>
              <w:rPr>
                <w:rFonts w:ascii="Garamond" w:hAnsi="Garamond"/>
              </w:rPr>
            </w:pPr>
            <w:r w:rsidRPr="00094628">
              <w:rPr>
                <w:rFonts w:ascii="Garamond" w:hAnsi="Garamond"/>
              </w:rPr>
              <w:t xml:space="preserve">Promouvoir la sous-traitance </w:t>
            </w:r>
          </w:p>
        </w:tc>
        <w:tc>
          <w:tcPr>
            <w:tcW w:w="1417" w:type="dxa"/>
            <w:shd w:val="clear" w:color="auto" w:fill="auto"/>
            <w:vAlign w:val="center"/>
          </w:tcPr>
          <w:p w14:paraId="0354F049" w14:textId="77777777" w:rsidR="00144951" w:rsidRPr="00094628" w:rsidRDefault="00144951" w:rsidP="001731C1">
            <w:pPr>
              <w:pStyle w:val="Paragraphedeliste"/>
              <w:ind w:left="0"/>
              <w:jc w:val="both"/>
              <w:rPr>
                <w:rFonts w:ascii="Garamond" w:eastAsia="Calibri" w:hAnsi="Garamond"/>
                <w:lang w:eastAsia="en-US"/>
              </w:rPr>
            </w:pPr>
            <w:r w:rsidRPr="00094628">
              <w:rPr>
                <w:rFonts w:ascii="Garamond" w:eastAsia="Calibri" w:hAnsi="Garamond"/>
                <w:lang w:eastAsia="en-US"/>
              </w:rPr>
              <w:t>Nombre de sous-traitants évoluant dans le secteur</w:t>
            </w:r>
          </w:p>
          <w:p w14:paraId="6C92C7DB" w14:textId="77777777" w:rsidR="00144951" w:rsidRPr="00094628" w:rsidRDefault="00144951" w:rsidP="001731C1">
            <w:pPr>
              <w:pStyle w:val="Paragraphedeliste"/>
              <w:ind w:left="0"/>
              <w:jc w:val="both"/>
              <w:rPr>
                <w:rFonts w:ascii="Garamond" w:eastAsia="Calibri" w:hAnsi="Garamond"/>
                <w:lang w:eastAsia="en-US"/>
              </w:rPr>
            </w:pPr>
            <w:r w:rsidRPr="00094628">
              <w:rPr>
                <w:rFonts w:ascii="Garamond" w:eastAsia="Calibri" w:hAnsi="Garamond"/>
                <w:lang w:eastAsia="en-US"/>
              </w:rPr>
              <w:t xml:space="preserve">% de chiffre d’affaire détenus par les nationaux dans la sous-traitance </w:t>
            </w:r>
          </w:p>
        </w:tc>
        <w:tc>
          <w:tcPr>
            <w:tcW w:w="993" w:type="dxa"/>
            <w:shd w:val="clear" w:color="auto" w:fill="auto"/>
          </w:tcPr>
          <w:p w14:paraId="560A0443" w14:textId="77777777" w:rsidR="00144951" w:rsidRPr="00094628" w:rsidRDefault="00144951" w:rsidP="001731C1">
            <w:pPr>
              <w:rPr>
                <w:rFonts w:ascii="Garamond" w:hAnsi="Garamond"/>
              </w:rPr>
            </w:pPr>
          </w:p>
        </w:tc>
        <w:tc>
          <w:tcPr>
            <w:tcW w:w="567" w:type="dxa"/>
            <w:shd w:val="clear" w:color="auto" w:fill="auto"/>
          </w:tcPr>
          <w:p w14:paraId="595257E1"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7022EE6"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39CE176E"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3265A3B0"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004570C8"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030453F8" w14:textId="77777777" w:rsidR="00144951" w:rsidRPr="00094628" w:rsidRDefault="00144951" w:rsidP="001731C1">
            <w:pPr>
              <w:jc w:val="center"/>
              <w:rPr>
                <w:rFonts w:ascii="Garamond" w:hAnsi="Garamond"/>
              </w:rPr>
            </w:pPr>
            <w:r w:rsidRPr="00094628">
              <w:rPr>
                <w:rFonts w:ascii="Garamond" w:hAnsi="Garamond"/>
              </w:rPr>
              <w:t>1</w:t>
            </w:r>
            <w:r>
              <w:rPr>
                <w:rFonts w:ascii="Garamond" w:hAnsi="Garamond"/>
              </w:rPr>
              <w:t>3.500</w:t>
            </w:r>
          </w:p>
        </w:tc>
        <w:tc>
          <w:tcPr>
            <w:tcW w:w="709" w:type="dxa"/>
            <w:shd w:val="clear" w:color="auto" w:fill="auto"/>
          </w:tcPr>
          <w:p w14:paraId="5816041F"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5FA8F5DC" w14:textId="77777777" w:rsidR="00144951" w:rsidRPr="00F01272" w:rsidRDefault="00144951" w:rsidP="001731C1">
            <w:pPr>
              <w:jc w:val="center"/>
              <w:rPr>
                <w:rFonts w:ascii="Garamond" w:hAnsi="Garamond"/>
                <w:lang w:val="en-US"/>
              </w:rPr>
            </w:pPr>
            <w:r w:rsidRPr="00F01272">
              <w:rPr>
                <w:rFonts w:ascii="Garamond" w:hAnsi="Garamond"/>
                <w:lang w:val="en-US"/>
              </w:rPr>
              <w:t>MEF, MC, MIPSP, CNPM, OPI, MDI, APBEF</w:t>
            </w:r>
          </w:p>
        </w:tc>
        <w:tc>
          <w:tcPr>
            <w:tcW w:w="1134" w:type="dxa"/>
            <w:shd w:val="clear" w:color="auto" w:fill="auto"/>
          </w:tcPr>
          <w:p w14:paraId="6FECE651"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4B44499B" w14:textId="77777777" w:rsidTr="00144951">
        <w:tc>
          <w:tcPr>
            <w:tcW w:w="1588" w:type="dxa"/>
            <w:vMerge/>
            <w:shd w:val="clear" w:color="auto" w:fill="auto"/>
          </w:tcPr>
          <w:p w14:paraId="0AA6F485" w14:textId="77777777" w:rsidR="00144951" w:rsidRPr="00094628" w:rsidRDefault="00144951" w:rsidP="001731C1">
            <w:pPr>
              <w:rPr>
                <w:rFonts w:ascii="Garamond" w:hAnsi="Garamond"/>
                <w:bCs/>
              </w:rPr>
            </w:pPr>
          </w:p>
        </w:tc>
        <w:tc>
          <w:tcPr>
            <w:tcW w:w="1701" w:type="dxa"/>
            <w:vMerge/>
            <w:shd w:val="clear" w:color="auto" w:fill="auto"/>
            <w:vAlign w:val="center"/>
          </w:tcPr>
          <w:p w14:paraId="41FF5647" w14:textId="77777777" w:rsidR="00144951" w:rsidRPr="00094628" w:rsidRDefault="00144951" w:rsidP="001731C1">
            <w:pPr>
              <w:rPr>
                <w:rFonts w:ascii="Garamond" w:hAnsi="Garamond"/>
                <w:bCs/>
              </w:rPr>
            </w:pPr>
          </w:p>
        </w:tc>
        <w:tc>
          <w:tcPr>
            <w:tcW w:w="1134" w:type="dxa"/>
          </w:tcPr>
          <w:p w14:paraId="7B9DB1F7" w14:textId="77777777" w:rsidR="00144951" w:rsidRPr="00094628" w:rsidRDefault="00144951" w:rsidP="001731C1">
            <w:pPr>
              <w:rPr>
                <w:rFonts w:ascii="Garamond" w:hAnsi="Garamond"/>
              </w:rPr>
            </w:pPr>
            <w:proofErr w:type="gramStart"/>
            <w:r w:rsidRPr="00094628">
              <w:rPr>
                <w:rFonts w:ascii="Garamond" w:hAnsi="Garamond"/>
              </w:rPr>
              <w:t>l’employabilité</w:t>
            </w:r>
            <w:proofErr w:type="gramEnd"/>
            <w:r w:rsidRPr="00094628">
              <w:rPr>
                <w:rFonts w:ascii="Garamond" w:hAnsi="Garamond"/>
              </w:rPr>
              <w:t xml:space="preserve"> des nationaux est renforcée </w:t>
            </w:r>
          </w:p>
        </w:tc>
        <w:tc>
          <w:tcPr>
            <w:tcW w:w="1418" w:type="dxa"/>
            <w:vMerge/>
            <w:shd w:val="clear" w:color="auto" w:fill="auto"/>
          </w:tcPr>
          <w:p w14:paraId="6BC13834" w14:textId="77777777" w:rsidR="00144951" w:rsidRPr="00094628" w:rsidRDefault="00144951" w:rsidP="001731C1">
            <w:pPr>
              <w:rPr>
                <w:rFonts w:ascii="Garamond" w:hAnsi="Garamond"/>
              </w:rPr>
            </w:pPr>
          </w:p>
        </w:tc>
        <w:tc>
          <w:tcPr>
            <w:tcW w:w="1417" w:type="dxa"/>
            <w:shd w:val="clear" w:color="auto" w:fill="auto"/>
          </w:tcPr>
          <w:p w14:paraId="6E961D3F" w14:textId="77777777" w:rsidR="00144951" w:rsidRPr="00094628" w:rsidRDefault="00144951" w:rsidP="001731C1">
            <w:pPr>
              <w:rPr>
                <w:rFonts w:ascii="Garamond" w:hAnsi="Garamond"/>
              </w:rPr>
            </w:pPr>
            <w:r w:rsidRPr="00094628">
              <w:rPr>
                <w:rFonts w:ascii="Garamond" w:hAnsi="Garamond"/>
              </w:rPr>
              <w:t xml:space="preserve">Nombre d’emplois crées </w:t>
            </w:r>
          </w:p>
        </w:tc>
        <w:tc>
          <w:tcPr>
            <w:tcW w:w="993" w:type="dxa"/>
            <w:shd w:val="clear" w:color="auto" w:fill="auto"/>
          </w:tcPr>
          <w:p w14:paraId="0FECEB8E" w14:textId="77777777" w:rsidR="00144951" w:rsidRPr="00094628" w:rsidRDefault="00144951" w:rsidP="001731C1">
            <w:pPr>
              <w:rPr>
                <w:rFonts w:ascii="Garamond" w:hAnsi="Garamond"/>
              </w:rPr>
            </w:pPr>
          </w:p>
        </w:tc>
        <w:tc>
          <w:tcPr>
            <w:tcW w:w="567" w:type="dxa"/>
            <w:shd w:val="clear" w:color="auto" w:fill="auto"/>
          </w:tcPr>
          <w:p w14:paraId="0F156F32"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4578504"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6C96B89A"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6D34D717"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1F2C83F8"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09CF8941" w14:textId="77777777" w:rsidR="00144951" w:rsidRPr="00094628" w:rsidRDefault="00144951" w:rsidP="001731C1">
            <w:pPr>
              <w:jc w:val="center"/>
              <w:rPr>
                <w:rFonts w:ascii="Garamond" w:hAnsi="Garamond"/>
              </w:rPr>
            </w:pPr>
          </w:p>
        </w:tc>
        <w:tc>
          <w:tcPr>
            <w:tcW w:w="709" w:type="dxa"/>
            <w:shd w:val="clear" w:color="auto" w:fill="auto"/>
          </w:tcPr>
          <w:p w14:paraId="79D13304" w14:textId="77777777" w:rsidR="00144951" w:rsidRPr="00094628" w:rsidRDefault="00144951" w:rsidP="001731C1">
            <w:pPr>
              <w:jc w:val="center"/>
              <w:rPr>
                <w:rFonts w:ascii="Garamond" w:hAnsi="Garamond"/>
              </w:rPr>
            </w:pPr>
          </w:p>
        </w:tc>
        <w:tc>
          <w:tcPr>
            <w:tcW w:w="1275" w:type="dxa"/>
            <w:shd w:val="clear" w:color="auto" w:fill="auto"/>
          </w:tcPr>
          <w:p w14:paraId="699F0754" w14:textId="77777777" w:rsidR="00144951" w:rsidRPr="00094628" w:rsidRDefault="00144951" w:rsidP="001731C1">
            <w:pPr>
              <w:jc w:val="center"/>
              <w:rPr>
                <w:rFonts w:ascii="Garamond" w:hAnsi="Garamond"/>
              </w:rPr>
            </w:pPr>
          </w:p>
        </w:tc>
        <w:tc>
          <w:tcPr>
            <w:tcW w:w="1134" w:type="dxa"/>
            <w:shd w:val="clear" w:color="auto" w:fill="auto"/>
          </w:tcPr>
          <w:p w14:paraId="14E90A7E"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389ACB95" w14:textId="77777777" w:rsidTr="00144951">
        <w:tc>
          <w:tcPr>
            <w:tcW w:w="1588" w:type="dxa"/>
            <w:vMerge/>
            <w:shd w:val="clear" w:color="auto" w:fill="auto"/>
          </w:tcPr>
          <w:p w14:paraId="15C8A43D" w14:textId="77777777" w:rsidR="00144951" w:rsidRPr="00094628" w:rsidRDefault="00144951" w:rsidP="001731C1">
            <w:pPr>
              <w:rPr>
                <w:rFonts w:ascii="Garamond" w:hAnsi="Garamond"/>
                <w:bCs/>
              </w:rPr>
            </w:pPr>
          </w:p>
        </w:tc>
        <w:tc>
          <w:tcPr>
            <w:tcW w:w="1701" w:type="dxa"/>
            <w:vMerge/>
            <w:shd w:val="clear" w:color="auto" w:fill="auto"/>
            <w:vAlign w:val="center"/>
          </w:tcPr>
          <w:p w14:paraId="4D518556" w14:textId="77777777" w:rsidR="00144951" w:rsidRPr="00094628" w:rsidRDefault="00144951" w:rsidP="001731C1">
            <w:pPr>
              <w:rPr>
                <w:rFonts w:ascii="Garamond" w:hAnsi="Garamond"/>
                <w:bCs/>
              </w:rPr>
            </w:pPr>
          </w:p>
        </w:tc>
        <w:tc>
          <w:tcPr>
            <w:tcW w:w="1134" w:type="dxa"/>
          </w:tcPr>
          <w:p w14:paraId="4B751187" w14:textId="77777777" w:rsidR="00144951" w:rsidRPr="00094628" w:rsidRDefault="00144951" w:rsidP="001731C1">
            <w:pPr>
              <w:rPr>
                <w:rFonts w:ascii="Garamond" w:hAnsi="Garamond"/>
              </w:rPr>
            </w:pPr>
            <w:proofErr w:type="gramStart"/>
            <w:r w:rsidRPr="00094628">
              <w:rPr>
                <w:rFonts w:ascii="Garamond" w:hAnsi="Garamond"/>
              </w:rPr>
              <w:t>les</w:t>
            </w:r>
            <w:proofErr w:type="gramEnd"/>
            <w:r w:rsidRPr="00094628">
              <w:rPr>
                <w:rFonts w:ascii="Garamond" w:hAnsi="Garamond"/>
              </w:rPr>
              <w:t xml:space="preserve"> fournisseurs locaux sont promus dans le secteur des mines </w:t>
            </w:r>
          </w:p>
        </w:tc>
        <w:tc>
          <w:tcPr>
            <w:tcW w:w="1418" w:type="dxa"/>
            <w:shd w:val="clear" w:color="auto" w:fill="auto"/>
          </w:tcPr>
          <w:p w14:paraId="652E475A" w14:textId="77777777" w:rsidR="00144951" w:rsidRPr="00094628" w:rsidRDefault="00144951" w:rsidP="001731C1">
            <w:pPr>
              <w:rPr>
                <w:rFonts w:ascii="Garamond" w:hAnsi="Garamond"/>
              </w:rPr>
            </w:pPr>
            <w:proofErr w:type="gramStart"/>
            <w:r w:rsidRPr="00094628">
              <w:rPr>
                <w:rFonts w:ascii="Garamond" w:hAnsi="Garamond"/>
              </w:rPr>
              <w:t>promouvoir</w:t>
            </w:r>
            <w:proofErr w:type="gramEnd"/>
            <w:r w:rsidRPr="00094628">
              <w:rPr>
                <w:rFonts w:ascii="Garamond" w:hAnsi="Garamond"/>
              </w:rPr>
              <w:t xml:space="preserve"> les achats locaux</w:t>
            </w:r>
          </w:p>
        </w:tc>
        <w:tc>
          <w:tcPr>
            <w:tcW w:w="1417" w:type="dxa"/>
            <w:shd w:val="clear" w:color="auto" w:fill="auto"/>
          </w:tcPr>
          <w:p w14:paraId="3B742355" w14:textId="77777777" w:rsidR="00144951" w:rsidRPr="00094628" w:rsidRDefault="00144951" w:rsidP="001731C1">
            <w:pPr>
              <w:rPr>
                <w:rFonts w:ascii="Garamond" w:hAnsi="Garamond"/>
              </w:rPr>
            </w:pPr>
            <w:r w:rsidRPr="00094628">
              <w:rPr>
                <w:rFonts w:ascii="Garamond" w:hAnsi="Garamond"/>
              </w:rPr>
              <w:t>Amélioration des revenus des fournisseurs locaux</w:t>
            </w:r>
          </w:p>
        </w:tc>
        <w:tc>
          <w:tcPr>
            <w:tcW w:w="993" w:type="dxa"/>
            <w:shd w:val="clear" w:color="auto" w:fill="auto"/>
          </w:tcPr>
          <w:p w14:paraId="717C5356" w14:textId="77777777" w:rsidR="00144951" w:rsidRPr="00094628" w:rsidRDefault="00144951" w:rsidP="001731C1">
            <w:pPr>
              <w:rPr>
                <w:rFonts w:ascii="Garamond" w:hAnsi="Garamond"/>
              </w:rPr>
            </w:pPr>
          </w:p>
        </w:tc>
        <w:tc>
          <w:tcPr>
            <w:tcW w:w="567" w:type="dxa"/>
            <w:shd w:val="clear" w:color="auto" w:fill="auto"/>
          </w:tcPr>
          <w:p w14:paraId="4995F3D1"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8B77038"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5058DF45"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7C7A4C7B"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7AD4F288"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56694251" w14:textId="77777777" w:rsidR="00144951" w:rsidRPr="00094628" w:rsidRDefault="00144951" w:rsidP="001731C1">
            <w:pPr>
              <w:jc w:val="center"/>
              <w:rPr>
                <w:rFonts w:ascii="Garamond" w:hAnsi="Garamond"/>
              </w:rPr>
            </w:pPr>
          </w:p>
        </w:tc>
        <w:tc>
          <w:tcPr>
            <w:tcW w:w="709" w:type="dxa"/>
            <w:shd w:val="clear" w:color="auto" w:fill="auto"/>
          </w:tcPr>
          <w:p w14:paraId="1F220175"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769EABC9" w14:textId="77777777" w:rsidR="00144951" w:rsidRPr="00F01272" w:rsidRDefault="00144951" w:rsidP="001731C1">
            <w:pPr>
              <w:jc w:val="center"/>
              <w:rPr>
                <w:rFonts w:ascii="Garamond" w:hAnsi="Garamond"/>
                <w:lang w:val="en-US"/>
              </w:rPr>
            </w:pPr>
            <w:r w:rsidRPr="00F01272">
              <w:rPr>
                <w:rFonts w:ascii="Garamond" w:hAnsi="Garamond"/>
                <w:lang w:val="en-US"/>
              </w:rPr>
              <w:t>MEF, MC, MIPSP, CNPM, OPI, MDI, APBEF</w:t>
            </w:r>
          </w:p>
        </w:tc>
        <w:tc>
          <w:tcPr>
            <w:tcW w:w="1134" w:type="dxa"/>
            <w:shd w:val="clear" w:color="auto" w:fill="auto"/>
          </w:tcPr>
          <w:p w14:paraId="40312665"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218469BC" w14:textId="77777777" w:rsidTr="00144951">
        <w:tc>
          <w:tcPr>
            <w:tcW w:w="1588" w:type="dxa"/>
            <w:vMerge/>
            <w:shd w:val="clear" w:color="auto" w:fill="auto"/>
          </w:tcPr>
          <w:p w14:paraId="2580D345" w14:textId="77777777" w:rsidR="00144951" w:rsidRPr="00094628" w:rsidRDefault="00144951" w:rsidP="001731C1">
            <w:pPr>
              <w:rPr>
                <w:rFonts w:ascii="Garamond" w:hAnsi="Garamond"/>
                <w:bCs/>
              </w:rPr>
            </w:pPr>
          </w:p>
        </w:tc>
        <w:tc>
          <w:tcPr>
            <w:tcW w:w="1701" w:type="dxa"/>
            <w:vMerge/>
            <w:shd w:val="clear" w:color="auto" w:fill="auto"/>
            <w:vAlign w:val="center"/>
          </w:tcPr>
          <w:p w14:paraId="5A35C420" w14:textId="77777777" w:rsidR="00144951" w:rsidRPr="00094628" w:rsidRDefault="00144951" w:rsidP="001731C1">
            <w:pPr>
              <w:rPr>
                <w:rFonts w:ascii="Garamond" w:hAnsi="Garamond"/>
                <w:bCs/>
              </w:rPr>
            </w:pPr>
          </w:p>
        </w:tc>
        <w:tc>
          <w:tcPr>
            <w:tcW w:w="1134" w:type="dxa"/>
          </w:tcPr>
          <w:p w14:paraId="5BB1D318" w14:textId="77777777" w:rsidR="00144951" w:rsidRPr="00094628" w:rsidRDefault="00144951" w:rsidP="001731C1">
            <w:pPr>
              <w:rPr>
                <w:rFonts w:ascii="Garamond" w:hAnsi="Garamond"/>
              </w:rPr>
            </w:pPr>
          </w:p>
        </w:tc>
        <w:tc>
          <w:tcPr>
            <w:tcW w:w="1418" w:type="dxa"/>
            <w:shd w:val="clear" w:color="auto" w:fill="auto"/>
          </w:tcPr>
          <w:p w14:paraId="4FFC26E5" w14:textId="77777777" w:rsidR="00144951" w:rsidRPr="00094628" w:rsidRDefault="00144951" w:rsidP="001731C1">
            <w:pPr>
              <w:rPr>
                <w:rFonts w:ascii="Garamond" w:hAnsi="Garamond"/>
              </w:rPr>
            </w:pPr>
          </w:p>
        </w:tc>
        <w:tc>
          <w:tcPr>
            <w:tcW w:w="1417" w:type="dxa"/>
            <w:shd w:val="clear" w:color="auto" w:fill="auto"/>
          </w:tcPr>
          <w:p w14:paraId="176CFD9B" w14:textId="77777777" w:rsidR="00144951" w:rsidRPr="00094628" w:rsidRDefault="00144951" w:rsidP="001731C1">
            <w:pPr>
              <w:rPr>
                <w:rFonts w:ascii="Garamond" w:hAnsi="Garamond"/>
              </w:rPr>
            </w:pPr>
            <w:r w:rsidRPr="00094628">
              <w:rPr>
                <w:rFonts w:ascii="Garamond" w:hAnsi="Garamond"/>
              </w:rPr>
              <w:t xml:space="preserve">Nombre d’emplois crées </w:t>
            </w:r>
          </w:p>
        </w:tc>
        <w:tc>
          <w:tcPr>
            <w:tcW w:w="993" w:type="dxa"/>
            <w:shd w:val="clear" w:color="auto" w:fill="auto"/>
          </w:tcPr>
          <w:p w14:paraId="4B49D1B0" w14:textId="77777777" w:rsidR="00144951" w:rsidRPr="00094628" w:rsidRDefault="00144951" w:rsidP="001731C1">
            <w:pPr>
              <w:rPr>
                <w:rFonts w:ascii="Garamond" w:hAnsi="Garamond"/>
              </w:rPr>
            </w:pPr>
          </w:p>
        </w:tc>
        <w:tc>
          <w:tcPr>
            <w:tcW w:w="567" w:type="dxa"/>
            <w:shd w:val="clear" w:color="auto" w:fill="auto"/>
          </w:tcPr>
          <w:p w14:paraId="69FE377C"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58A37520"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1D127BE"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1FEE52B5"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14E7A374"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15764760" w14:textId="77777777" w:rsidR="00144951" w:rsidRPr="00094628" w:rsidRDefault="00144951" w:rsidP="001731C1">
            <w:pPr>
              <w:jc w:val="center"/>
              <w:rPr>
                <w:rFonts w:ascii="Garamond" w:hAnsi="Garamond"/>
              </w:rPr>
            </w:pPr>
          </w:p>
        </w:tc>
        <w:tc>
          <w:tcPr>
            <w:tcW w:w="709" w:type="dxa"/>
            <w:shd w:val="clear" w:color="auto" w:fill="auto"/>
          </w:tcPr>
          <w:p w14:paraId="759CE41F" w14:textId="77777777" w:rsidR="00144951" w:rsidRPr="00094628" w:rsidRDefault="00144951" w:rsidP="001731C1">
            <w:pPr>
              <w:jc w:val="center"/>
              <w:rPr>
                <w:rFonts w:ascii="Garamond" w:hAnsi="Garamond"/>
              </w:rPr>
            </w:pPr>
          </w:p>
        </w:tc>
        <w:tc>
          <w:tcPr>
            <w:tcW w:w="1275" w:type="dxa"/>
            <w:shd w:val="clear" w:color="auto" w:fill="auto"/>
          </w:tcPr>
          <w:p w14:paraId="1EE86696" w14:textId="77777777" w:rsidR="00144951" w:rsidRPr="00094628" w:rsidRDefault="00144951" w:rsidP="001731C1">
            <w:pPr>
              <w:jc w:val="center"/>
              <w:rPr>
                <w:rFonts w:ascii="Garamond" w:hAnsi="Garamond"/>
              </w:rPr>
            </w:pPr>
          </w:p>
        </w:tc>
        <w:tc>
          <w:tcPr>
            <w:tcW w:w="1134" w:type="dxa"/>
            <w:shd w:val="clear" w:color="auto" w:fill="auto"/>
          </w:tcPr>
          <w:p w14:paraId="54B43C91"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26204F0E" w14:textId="77777777" w:rsidTr="00144951">
        <w:tc>
          <w:tcPr>
            <w:tcW w:w="1588" w:type="dxa"/>
            <w:vMerge/>
            <w:shd w:val="clear" w:color="auto" w:fill="auto"/>
          </w:tcPr>
          <w:p w14:paraId="6FD909B7" w14:textId="77777777" w:rsidR="00144951" w:rsidRPr="00094628" w:rsidRDefault="00144951" w:rsidP="001731C1">
            <w:pPr>
              <w:rPr>
                <w:rFonts w:ascii="Garamond" w:hAnsi="Garamond"/>
                <w:bCs/>
              </w:rPr>
            </w:pPr>
          </w:p>
        </w:tc>
        <w:tc>
          <w:tcPr>
            <w:tcW w:w="1701" w:type="dxa"/>
            <w:vMerge/>
            <w:shd w:val="clear" w:color="auto" w:fill="auto"/>
            <w:vAlign w:val="center"/>
          </w:tcPr>
          <w:p w14:paraId="7456A910" w14:textId="77777777" w:rsidR="00144951" w:rsidRPr="00094628" w:rsidRDefault="00144951" w:rsidP="001731C1">
            <w:pPr>
              <w:rPr>
                <w:rFonts w:ascii="Garamond" w:hAnsi="Garamond"/>
                <w:bCs/>
              </w:rPr>
            </w:pPr>
          </w:p>
        </w:tc>
        <w:tc>
          <w:tcPr>
            <w:tcW w:w="1134" w:type="dxa"/>
          </w:tcPr>
          <w:p w14:paraId="3BA0C71E" w14:textId="77777777" w:rsidR="00144951" w:rsidRPr="00094628" w:rsidRDefault="00144951" w:rsidP="001731C1">
            <w:pPr>
              <w:rPr>
                <w:rFonts w:ascii="Garamond" w:hAnsi="Garamond"/>
              </w:rPr>
            </w:pPr>
            <w:r w:rsidRPr="00094628">
              <w:rPr>
                <w:rFonts w:ascii="Garamond" w:hAnsi="Garamond"/>
              </w:rPr>
              <w:t>Les opérateurs maliens disposent de leur propre mine</w:t>
            </w:r>
          </w:p>
        </w:tc>
        <w:tc>
          <w:tcPr>
            <w:tcW w:w="1418" w:type="dxa"/>
            <w:vMerge w:val="restart"/>
            <w:shd w:val="clear" w:color="auto" w:fill="auto"/>
          </w:tcPr>
          <w:p w14:paraId="2203B0ED" w14:textId="77777777" w:rsidR="00144951" w:rsidRPr="00094628" w:rsidRDefault="00144951" w:rsidP="001731C1">
            <w:pPr>
              <w:rPr>
                <w:rFonts w:ascii="Garamond" w:hAnsi="Garamond"/>
              </w:rPr>
            </w:pPr>
            <w:r w:rsidRPr="00094628">
              <w:rPr>
                <w:rFonts w:ascii="Garamond" w:hAnsi="Garamond"/>
              </w:rPr>
              <w:t xml:space="preserve">Soutenir l’initiative privée par la création de co-entreprise (joint-venture) avec des sociétés minières africaines ou internationales </w:t>
            </w:r>
          </w:p>
        </w:tc>
        <w:tc>
          <w:tcPr>
            <w:tcW w:w="1417" w:type="dxa"/>
            <w:shd w:val="clear" w:color="auto" w:fill="auto"/>
          </w:tcPr>
          <w:p w14:paraId="02A74493" w14:textId="77777777" w:rsidR="00144951" w:rsidRPr="00094628" w:rsidRDefault="00144951" w:rsidP="001731C1">
            <w:pPr>
              <w:rPr>
                <w:rFonts w:ascii="Garamond" w:hAnsi="Garamond"/>
              </w:rPr>
            </w:pPr>
            <w:proofErr w:type="gramStart"/>
            <w:r w:rsidRPr="00094628">
              <w:rPr>
                <w:rFonts w:ascii="Garamond" w:hAnsi="Garamond"/>
              </w:rPr>
              <w:t>nombre</w:t>
            </w:r>
            <w:proofErr w:type="gramEnd"/>
            <w:r w:rsidRPr="00094628">
              <w:rPr>
                <w:rFonts w:ascii="Garamond" w:hAnsi="Garamond"/>
              </w:rPr>
              <w:t xml:space="preserve"> d’opérateurs nationaux propriétaires de mine</w:t>
            </w:r>
          </w:p>
        </w:tc>
        <w:tc>
          <w:tcPr>
            <w:tcW w:w="993" w:type="dxa"/>
            <w:shd w:val="clear" w:color="auto" w:fill="auto"/>
          </w:tcPr>
          <w:p w14:paraId="65FE7206" w14:textId="77777777" w:rsidR="00144951" w:rsidRPr="00094628" w:rsidRDefault="00144951" w:rsidP="001731C1">
            <w:pPr>
              <w:rPr>
                <w:rFonts w:ascii="Garamond" w:hAnsi="Garamond"/>
              </w:rPr>
            </w:pPr>
          </w:p>
        </w:tc>
        <w:tc>
          <w:tcPr>
            <w:tcW w:w="567" w:type="dxa"/>
            <w:shd w:val="clear" w:color="auto" w:fill="auto"/>
          </w:tcPr>
          <w:p w14:paraId="6D6939FA"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78E22EF1"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82FCEF6"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7D236D22"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31EB347"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5BD0836F" w14:textId="77777777" w:rsidR="00144951" w:rsidRPr="00094628" w:rsidRDefault="00144951" w:rsidP="001731C1">
            <w:pPr>
              <w:jc w:val="center"/>
              <w:rPr>
                <w:rFonts w:ascii="Garamond" w:hAnsi="Garamond"/>
              </w:rPr>
            </w:pPr>
          </w:p>
        </w:tc>
        <w:tc>
          <w:tcPr>
            <w:tcW w:w="709" w:type="dxa"/>
            <w:shd w:val="clear" w:color="auto" w:fill="auto"/>
          </w:tcPr>
          <w:p w14:paraId="694F0E97"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18EFABD2" w14:textId="77777777" w:rsidR="00144951" w:rsidRPr="00F01272" w:rsidRDefault="00144951" w:rsidP="001731C1">
            <w:pPr>
              <w:jc w:val="center"/>
              <w:rPr>
                <w:rFonts w:ascii="Garamond" w:hAnsi="Garamond"/>
                <w:lang w:val="en-US"/>
              </w:rPr>
            </w:pPr>
            <w:r w:rsidRPr="00F01272">
              <w:rPr>
                <w:rFonts w:ascii="Garamond" w:hAnsi="Garamond"/>
                <w:lang w:val="en-US"/>
              </w:rPr>
              <w:t>MEF, MC, MIPSP, CNPM, OPI, MDI, APBEF</w:t>
            </w:r>
          </w:p>
        </w:tc>
        <w:tc>
          <w:tcPr>
            <w:tcW w:w="1134" w:type="dxa"/>
            <w:shd w:val="clear" w:color="auto" w:fill="auto"/>
          </w:tcPr>
          <w:p w14:paraId="3D9F5F85"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3E5BB4B6" w14:textId="77777777" w:rsidTr="00144951">
        <w:tc>
          <w:tcPr>
            <w:tcW w:w="1588" w:type="dxa"/>
            <w:vMerge/>
            <w:shd w:val="clear" w:color="auto" w:fill="auto"/>
          </w:tcPr>
          <w:p w14:paraId="4085887A" w14:textId="77777777" w:rsidR="00144951" w:rsidRPr="00094628" w:rsidRDefault="00144951" w:rsidP="001731C1">
            <w:pPr>
              <w:rPr>
                <w:rFonts w:ascii="Garamond" w:hAnsi="Garamond"/>
                <w:bCs/>
              </w:rPr>
            </w:pPr>
          </w:p>
        </w:tc>
        <w:tc>
          <w:tcPr>
            <w:tcW w:w="1701" w:type="dxa"/>
            <w:vMerge/>
            <w:shd w:val="clear" w:color="auto" w:fill="auto"/>
            <w:vAlign w:val="center"/>
          </w:tcPr>
          <w:p w14:paraId="5DD19998" w14:textId="77777777" w:rsidR="00144951" w:rsidRPr="00094628" w:rsidRDefault="00144951" w:rsidP="001731C1">
            <w:pPr>
              <w:rPr>
                <w:rFonts w:ascii="Garamond" w:hAnsi="Garamond"/>
                <w:bCs/>
              </w:rPr>
            </w:pPr>
          </w:p>
        </w:tc>
        <w:tc>
          <w:tcPr>
            <w:tcW w:w="1134" w:type="dxa"/>
          </w:tcPr>
          <w:p w14:paraId="4CFE3DED" w14:textId="77777777" w:rsidR="00144951" w:rsidRPr="00094628" w:rsidRDefault="00144951" w:rsidP="001731C1">
            <w:pPr>
              <w:rPr>
                <w:rFonts w:ascii="Garamond" w:hAnsi="Garamond"/>
              </w:rPr>
            </w:pPr>
            <w:r w:rsidRPr="00094628">
              <w:rPr>
                <w:rFonts w:ascii="Garamond" w:hAnsi="Garamond"/>
              </w:rPr>
              <w:t xml:space="preserve">La participation des opérateurs dans le capital des sociétés </w:t>
            </w:r>
            <w:r w:rsidRPr="00094628">
              <w:rPr>
                <w:rFonts w:ascii="Garamond" w:hAnsi="Garamond"/>
              </w:rPr>
              <w:lastRenderedPageBreak/>
              <w:t xml:space="preserve">est améliorée </w:t>
            </w:r>
          </w:p>
        </w:tc>
        <w:tc>
          <w:tcPr>
            <w:tcW w:w="1418" w:type="dxa"/>
            <w:vMerge/>
            <w:shd w:val="clear" w:color="auto" w:fill="auto"/>
          </w:tcPr>
          <w:p w14:paraId="509A818B" w14:textId="77777777" w:rsidR="00144951" w:rsidRPr="00094628" w:rsidRDefault="00144951" w:rsidP="001731C1">
            <w:pPr>
              <w:rPr>
                <w:rFonts w:ascii="Garamond" w:hAnsi="Garamond"/>
              </w:rPr>
            </w:pPr>
          </w:p>
        </w:tc>
        <w:tc>
          <w:tcPr>
            <w:tcW w:w="1417" w:type="dxa"/>
            <w:shd w:val="clear" w:color="auto" w:fill="auto"/>
          </w:tcPr>
          <w:p w14:paraId="5268802C" w14:textId="77777777" w:rsidR="00144951" w:rsidRPr="00094628" w:rsidRDefault="00144951" w:rsidP="001731C1">
            <w:pPr>
              <w:rPr>
                <w:rFonts w:ascii="Garamond" w:hAnsi="Garamond"/>
              </w:rPr>
            </w:pPr>
            <w:r w:rsidRPr="00094628">
              <w:rPr>
                <w:rFonts w:ascii="Garamond" w:hAnsi="Garamond"/>
              </w:rPr>
              <w:t xml:space="preserve">% des capitaux appartenant aux opérateurs maliens </w:t>
            </w:r>
          </w:p>
        </w:tc>
        <w:tc>
          <w:tcPr>
            <w:tcW w:w="993" w:type="dxa"/>
            <w:shd w:val="clear" w:color="auto" w:fill="auto"/>
          </w:tcPr>
          <w:p w14:paraId="0E09E730" w14:textId="77777777" w:rsidR="00144951" w:rsidRPr="00094628" w:rsidRDefault="00144951" w:rsidP="001731C1">
            <w:pPr>
              <w:rPr>
                <w:rFonts w:ascii="Garamond" w:hAnsi="Garamond"/>
              </w:rPr>
            </w:pPr>
          </w:p>
        </w:tc>
        <w:tc>
          <w:tcPr>
            <w:tcW w:w="567" w:type="dxa"/>
            <w:shd w:val="clear" w:color="auto" w:fill="auto"/>
          </w:tcPr>
          <w:p w14:paraId="2CF6CFB1"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38A7612"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1E04FEE"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5672A90"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71D8ACA1"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20637FEC" w14:textId="77777777" w:rsidR="00144951" w:rsidRPr="00094628" w:rsidRDefault="00144951" w:rsidP="001731C1">
            <w:pPr>
              <w:jc w:val="center"/>
              <w:rPr>
                <w:rFonts w:ascii="Garamond" w:hAnsi="Garamond"/>
              </w:rPr>
            </w:pPr>
          </w:p>
        </w:tc>
        <w:tc>
          <w:tcPr>
            <w:tcW w:w="709" w:type="dxa"/>
            <w:shd w:val="clear" w:color="auto" w:fill="auto"/>
          </w:tcPr>
          <w:p w14:paraId="242F35B6"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422C4AB4" w14:textId="77777777" w:rsidR="00144951" w:rsidRPr="00F01272" w:rsidRDefault="00144951" w:rsidP="001731C1">
            <w:pPr>
              <w:jc w:val="center"/>
              <w:rPr>
                <w:rFonts w:ascii="Garamond" w:hAnsi="Garamond"/>
                <w:lang w:val="en-US"/>
              </w:rPr>
            </w:pPr>
            <w:r w:rsidRPr="00F01272">
              <w:rPr>
                <w:rFonts w:ascii="Garamond" w:hAnsi="Garamond"/>
                <w:lang w:val="en-US"/>
              </w:rPr>
              <w:t>MEF, MC, MIPSP, CNPM, OPI, MDI, APBEF</w:t>
            </w:r>
          </w:p>
        </w:tc>
        <w:tc>
          <w:tcPr>
            <w:tcW w:w="1134" w:type="dxa"/>
            <w:shd w:val="clear" w:color="auto" w:fill="auto"/>
          </w:tcPr>
          <w:p w14:paraId="383AAF16"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1A68048F" w14:textId="77777777" w:rsidTr="00144951">
        <w:tc>
          <w:tcPr>
            <w:tcW w:w="1588" w:type="dxa"/>
            <w:vMerge/>
            <w:shd w:val="clear" w:color="auto" w:fill="auto"/>
          </w:tcPr>
          <w:p w14:paraId="5F307C29" w14:textId="77777777" w:rsidR="00144951" w:rsidRPr="00094628" w:rsidRDefault="00144951" w:rsidP="001731C1">
            <w:pPr>
              <w:rPr>
                <w:rFonts w:ascii="Garamond" w:hAnsi="Garamond"/>
                <w:bCs/>
              </w:rPr>
            </w:pPr>
          </w:p>
        </w:tc>
        <w:tc>
          <w:tcPr>
            <w:tcW w:w="1701" w:type="dxa"/>
            <w:vMerge/>
            <w:shd w:val="clear" w:color="auto" w:fill="auto"/>
            <w:vAlign w:val="center"/>
          </w:tcPr>
          <w:p w14:paraId="62182D20" w14:textId="77777777" w:rsidR="00144951" w:rsidRPr="00094628" w:rsidRDefault="00144951" w:rsidP="001731C1">
            <w:pPr>
              <w:rPr>
                <w:rFonts w:ascii="Garamond" w:hAnsi="Garamond"/>
                <w:bCs/>
              </w:rPr>
            </w:pPr>
          </w:p>
        </w:tc>
        <w:tc>
          <w:tcPr>
            <w:tcW w:w="1134" w:type="dxa"/>
          </w:tcPr>
          <w:p w14:paraId="5488049B" w14:textId="77777777" w:rsidR="00144951" w:rsidRPr="00094628" w:rsidRDefault="00144951" w:rsidP="001731C1">
            <w:pPr>
              <w:rPr>
                <w:rFonts w:ascii="Garamond" w:hAnsi="Garamond"/>
              </w:rPr>
            </w:pPr>
            <w:proofErr w:type="gramStart"/>
            <w:r w:rsidRPr="00094628">
              <w:rPr>
                <w:rFonts w:ascii="Garamond" w:hAnsi="Garamond"/>
              </w:rPr>
              <w:t>le</w:t>
            </w:r>
            <w:proofErr w:type="gramEnd"/>
            <w:r w:rsidRPr="00094628">
              <w:rPr>
                <w:rFonts w:ascii="Garamond" w:hAnsi="Garamond"/>
              </w:rPr>
              <w:t xml:space="preserve"> financement des projets miniers est assuré </w:t>
            </w:r>
          </w:p>
        </w:tc>
        <w:tc>
          <w:tcPr>
            <w:tcW w:w="1418" w:type="dxa"/>
            <w:shd w:val="clear" w:color="auto" w:fill="auto"/>
          </w:tcPr>
          <w:p w14:paraId="0125A24D" w14:textId="77777777" w:rsidR="00144951" w:rsidRPr="00094628" w:rsidRDefault="00144951" w:rsidP="001731C1">
            <w:pPr>
              <w:rPr>
                <w:rFonts w:ascii="Garamond" w:hAnsi="Garamond"/>
              </w:rPr>
            </w:pPr>
            <w:r w:rsidRPr="00094628">
              <w:rPr>
                <w:rFonts w:ascii="Garamond" w:hAnsi="Garamond"/>
              </w:rPr>
              <w:t xml:space="preserve">Aider à développer un partenariat entre les sociétés minières et les banques et autres établissements financiers  </w:t>
            </w:r>
          </w:p>
        </w:tc>
        <w:tc>
          <w:tcPr>
            <w:tcW w:w="1417" w:type="dxa"/>
            <w:shd w:val="clear" w:color="auto" w:fill="auto"/>
          </w:tcPr>
          <w:p w14:paraId="1BD01E58" w14:textId="77777777" w:rsidR="00144951" w:rsidRPr="00094628" w:rsidRDefault="00144951" w:rsidP="001731C1">
            <w:pPr>
              <w:rPr>
                <w:rFonts w:ascii="Garamond" w:hAnsi="Garamond"/>
              </w:rPr>
            </w:pPr>
            <w:proofErr w:type="gramStart"/>
            <w:r w:rsidRPr="00094628">
              <w:rPr>
                <w:rFonts w:ascii="Garamond" w:hAnsi="Garamond"/>
              </w:rPr>
              <w:t>projet</w:t>
            </w:r>
            <w:proofErr w:type="gramEnd"/>
            <w:r w:rsidRPr="00094628">
              <w:rPr>
                <w:rFonts w:ascii="Garamond" w:hAnsi="Garamond"/>
              </w:rPr>
              <w:t xml:space="preserve"> financé par les banques maliennes</w:t>
            </w:r>
          </w:p>
          <w:p w14:paraId="1A28DC8E" w14:textId="77777777" w:rsidR="00144951" w:rsidRPr="00094628" w:rsidRDefault="00144951" w:rsidP="00144951">
            <w:pPr>
              <w:numPr>
                <w:ilvl w:val="0"/>
                <w:numId w:val="21"/>
              </w:numPr>
              <w:rPr>
                <w:rFonts w:ascii="Garamond" w:hAnsi="Garamond"/>
              </w:rPr>
            </w:pPr>
            <w:proofErr w:type="gramStart"/>
            <w:r w:rsidRPr="00094628">
              <w:rPr>
                <w:rFonts w:ascii="Garamond" w:hAnsi="Garamond"/>
              </w:rPr>
              <w:t>nombre</w:t>
            </w:r>
            <w:proofErr w:type="gramEnd"/>
          </w:p>
          <w:p w14:paraId="2CA1F69C" w14:textId="77777777" w:rsidR="00144951" w:rsidRPr="00094628" w:rsidRDefault="00144951" w:rsidP="00144951">
            <w:pPr>
              <w:numPr>
                <w:ilvl w:val="0"/>
                <w:numId w:val="21"/>
              </w:numPr>
              <w:rPr>
                <w:rFonts w:ascii="Garamond" w:hAnsi="Garamond"/>
              </w:rPr>
            </w:pPr>
            <w:proofErr w:type="gramStart"/>
            <w:r w:rsidRPr="00094628">
              <w:rPr>
                <w:rFonts w:ascii="Garamond" w:hAnsi="Garamond"/>
              </w:rPr>
              <w:t>volume</w:t>
            </w:r>
            <w:proofErr w:type="gramEnd"/>
            <w:r w:rsidRPr="00094628">
              <w:rPr>
                <w:rFonts w:ascii="Garamond" w:hAnsi="Garamond"/>
              </w:rPr>
              <w:t xml:space="preserve"> </w:t>
            </w:r>
          </w:p>
        </w:tc>
        <w:tc>
          <w:tcPr>
            <w:tcW w:w="993" w:type="dxa"/>
            <w:shd w:val="clear" w:color="auto" w:fill="auto"/>
          </w:tcPr>
          <w:p w14:paraId="5C7E97A6" w14:textId="77777777" w:rsidR="00144951" w:rsidRPr="00094628" w:rsidRDefault="00144951" w:rsidP="001731C1">
            <w:pPr>
              <w:rPr>
                <w:rFonts w:ascii="Garamond" w:hAnsi="Garamond"/>
              </w:rPr>
            </w:pPr>
          </w:p>
        </w:tc>
        <w:tc>
          <w:tcPr>
            <w:tcW w:w="567" w:type="dxa"/>
            <w:shd w:val="clear" w:color="auto" w:fill="auto"/>
          </w:tcPr>
          <w:p w14:paraId="7F8C9CBF"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50664106"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7DD963E9"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17DACE98"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403454E4"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32A98718" w14:textId="77777777" w:rsidR="00144951" w:rsidRPr="00094628" w:rsidRDefault="00144951" w:rsidP="001731C1">
            <w:pPr>
              <w:jc w:val="center"/>
              <w:rPr>
                <w:rFonts w:ascii="Garamond" w:hAnsi="Garamond"/>
              </w:rPr>
            </w:pPr>
          </w:p>
        </w:tc>
        <w:tc>
          <w:tcPr>
            <w:tcW w:w="709" w:type="dxa"/>
            <w:shd w:val="clear" w:color="auto" w:fill="auto"/>
          </w:tcPr>
          <w:p w14:paraId="2CB07C83"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09A56A6F" w14:textId="77777777" w:rsidR="00144951" w:rsidRPr="00F01272" w:rsidRDefault="00144951" w:rsidP="001731C1">
            <w:pPr>
              <w:jc w:val="center"/>
              <w:rPr>
                <w:rFonts w:ascii="Garamond" w:hAnsi="Garamond"/>
                <w:lang w:val="en-US"/>
              </w:rPr>
            </w:pPr>
            <w:r w:rsidRPr="00F01272">
              <w:rPr>
                <w:rFonts w:ascii="Garamond" w:hAnsi="Garamond"/>
                <w:lang w:val="en-US"/>
              </w:rPr>
              <w:t>MEF, MC, MIPSP, CNPM, OPI, MDI, APBEF</w:t>
            </w:r>
          </w:p>
        </w:tc>
        <w:tc>
          <w:tcPr>
            <w:tcW w:w="1134" w:type="dxa"/>
            <w:shd w:val="clear" w:color="auto" w:fill="auto"/>
          </w:tcPr>
          <w:p w14:paraId="29F0EAAF"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631AC793" w14:textId="77777777" w:rsidTr="00144951">
        <w:tc>
          <w:tcPr>
            <w:tcW w:w="1588" w:type="dxa"/>
            <w:vMerge/>
            <w:shd w:val="clear" w:color="auto" w:fill="auto"/>
          </w:tcPr>
          <w:p w14:paraId="23839248" w14:textId="77777777" w:rsidR="00144951" w:rsidRPr="00094628" w:rsidRDefault="00144951" w:rsidP="001731C1">
            <w:pPr>
              <w:rPr>
                <w:rFonts w:ascii="Garamond" w:hAnsi="Garamond"/>
                <w:bCs/>
              </w:rPr>
            </w:pPr>
          </w:p>
        </w:tc>
        <w:tc>
          <w:tcPr>
            <w:tcW w:w="1701" w:type="dxa"/>
            <w:vMerge/>
            <w:shd w:val="clear" w:color="auto" w:fill="auto"/>
            <w:vAlign w:val="center"/>
          </w:tcPr>
          <w:p w14:paraId="098F8DB4" w14:textId="77777777" w:rsidR="00144951" w:rsidRPr="00094628" w:rsidRDefault="00144951" w:rsidP="001731C1">
            <w:pPr>
              <w:rPr>
                <w:rFonts w:ascii="Garamond" w:hAnsi="Garamond"/>
                <w:bCs/>
              </w:rPr>
            </w:pPr>
          </w:p>
        </w:tc>
        <w:tc>
          <w:tcPr>
            <w:tcW w:w="1134" w:type="dxa"/>
          </w:tcPr>
          <w:p w14:paraId="633BF90C" w14:textId="77777777" w:rsidR="00144951" w:rsidRPr="00094628" w:rsidRDefault="00144951" w:rsidP="001731C1">
            <w:pPr>
              <w:rPr>
                <w:rFonts w:ascii="Garamond" w:hAnsi="Garamond"/>
              </w:rPr>
            </w:pPr>
            <w:r w:rsidRPr="00094628">
              <w:rPr>
                <w:rFonts w:ascii="Garamond" w:hAnsi="Garamond"/>
              </w:rPr>
              <w:t xml:space="preserve">Un embryon industriel est mis en place dans les métiers des mines </w:t>
            </w:r>
          </w:p>
        </w:tc>
        <w:tc>
          <w:tcPr>
            <w:tcW w:w="1418" w:type="dxa"/>
            <w:shd w:val="clear" w:color="auto" w:fill="auto"/>
          </w:tcPr>
          <w:p w14:paraId="0ECE2637" w14:textId="77777777" w:rsidR="00144951" w:rsidRPr="00094628" w:rsidRDefault="00144951" w:rsidP="001731C1">
            <w:pPr>
              <w:rPr>
                <w:rFonts w:ascii="Garamond" w:hAnsi="Garamond"/>
              </w:rPr>
            </w:pPr>
            <w:r w:rsidRPr="00094628">
              <w:rPr>
                <w:rFonts w:ascii="Garamond" w:hAnsi="Garamond"/>
              </w:rPr>
              <w:t>Création d’un fonds souverain pour soutenir le développement d’industrie de diverses natures</w:t>
            </w:r>
          </w:p>
        </w:tc>
        <w:tc>
          <w:tcPr>
            <w:tcW w:w="1417" w:type="dxa"/>
            <w:shd w:val="clear" w:color="auto" w:fill="auto"/>
          </w:tcPr>
          <w:p w14:paraId="159CD231" w14:textId="77777777" w:rsidR="00144951" w:rsidRPr="00094628" w:rsidRDefault="00144951" w:rsidP="001731C1">
            <w:pPr>
              <w:rPr>
                <w:rFonts w:ascii="Garamond" w:hAnsi="Garamond"/>
              </w:rPr>
            </w:pPr>
            <w:r w:rsidRPr="00094628">
              <w:rPr>
                <w:rFonts w:ascii="Garamond" w:hAnsi="Garamond"/>
              </w:rPr>
              <w:t xml:space="preserve">Opérateurs privés fournisseurs des mines </w:t>
            </w:r>
          </w:p>
        </w:tc>
        <w:tc>
          <w:tcPr>
            <w:tcW w:w="993" w:type="dxa"/>
            <w:shd w:val="clear" w:color="auto" w:fill="auto"/>
          </w:tcPr>
          <w:p w14:paraId="3C385CD8" w14:textId="77777777" w:rsidR="00144951" w:rsidRPr="00094628" w:rsidRDefault="00144951" w:rsidP="001731C1">
            <w:pPr>
              <w:rPr>
                <w:rFonts w:ascii="Garamond" w:hAnsi="Garamond"/>
              </w:rPr>
            </w:pPr>
          </w:p>
        </w:tc>
        <w:tc>
          <w:tcPr>
            <w:tcW w:w="567" w:type="dxa"/>
            <w:shd w:val="clear" w:color="auto" w:fill="auto"/>
          </w:tcPr>
          <w:p w14:paraId="594EA967"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39C5B394"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70870277"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067676EF"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09BD714A"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43AFDBC8" w14:textId="77777777" w:rsidR="00144951" w:rsidRPr="00094628" w:rsidRDefault="00144951" w:rsidP="001731C1">
            <w:pPr>
              <w:jc w:val="center"/>
              <w:rPr>
                <w:rFonts w:ascii="Garamond" w:hAnsi="Garamond"/>
              </w:rPr>
            </w:pPr>
          </w:p>
        </w:tc>
        <w:tc>
          <w:tcPr>
            <w:tcW w:w="709" w:type="dxa"/>
            <w:shd w:val="clear" w:color="auto" w:fill="auto"/>
          </w:tcPr>
          <w:p w14:paraId="4C8F4E77"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30C1F7A9" w14:textId="77777777" w:rsidR="00144951" w:rsidRPr="00F01272" w:rsidRDefault="00144951" w:rsidP="001731C1">
            <w:pPr>
              <w:jc w:val="center"/>
              <w:rPr>
                <w:rFonts w:ascii="Garamond" w:hAnsi="Garamond"/>
                <w:lang w:val="en-US"/>
              </w:rPr>
            </w:pPr>
            <w:r w:rsidRPr="00F01272">
              <w:rPr>
                <w:rFonts w:ascii="Garamond" w:hAnsi="Garamond"/>
                <w:lang w:val="en-US"/>
              </w:rPr>
              <w:t>MEF, MC, MIPSP, CNPM, OPI, MDI, APBEF</w:t>
            </w:r>
          </w:p>
        </w:tc>
        <w:tc>
          <w:tcPr>
            <w:tcW w:w="1134" w:type="dxa"/>
            <w:shd w:val="clear" w:color="auto" w:fill="auto"/>
          </w:tcPr>
          <w:p w14:paraId="1C46CC5D"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4010B415" w14:textId="77777777" w:rsidTr="00144951">
        <w:tc>
          <w:tcPr>
            <w:tcW w:w="1588" w:type="dxa"/>
            <w:vMerge w:val="restart"/>
            <w:shd w:val="clear" w:color="auto" w:fill="auto"/>
          </w:tcPr>
          <w:p w14:paraId="156750A9" w14:textId="6E156D1C" w:rsidR="00144951" w:rsidRPr="00094628" w:rsidRDefault="00144951" w:rsidP="001731C1">
            <w:pPr>
              <w:rPr>
                <w:rFonts w:ascii="Garamond" w:hAnsi="Garamond"/>
                <w:bCs/>
              </w:rPr>
            </w:pPr>
            <w:bookmarkStart w:id="22" w:name="_Toc459574065"/>
            <w:r w:rsidRPr="00094628">
              <w:rPr>
                <w:rFonts w:ascii="Garamond" w:hAnsi="Garamond"/>
                <w:bCs/>
              </w:rPr>
              <w:t>Objectifs spécifiques</w:t>
            </w:r>
            <w:r w:rsidRPr="00094628">
              <w:rPr>
                <w:rFonts w:ascii="Garamond" w:hAnsi="Garamond"/>
              </w:rPr>
              <w:t xml:space="preserve"> 7. </w:t>
            </w:r>
            <w:bookmarkEnd w:id="22"/>
            <w:proofErr w:type="gramStart"/>
            <w:r w:rsidRPr="00094628">
              <w:rPr>
                <w:rFonts w:ascii="Garamond" w:hAnsi="Garamond"/>
              </w:rPr>
              <w:t>faire</w:t>
            </w:r>
            <w:proofErr w:type="gramEnd"/>
            <w:r w:rsidRPr="00094628">
              <w:rPr>
                <w:rFonts w:ascii="Garamond" w:hAnsi="Garamond"/>
              </w:rPr>
              <w:t xml:space="preserve"> des mines un </w:t>
            </w:r>
            <w:r w:rsidRPr="00094628">
              <w:rPr>
                <w:rFonts w:ascii="Garamond" w:hAnsi="Garamond"/>
              </w:rPr>
              <w:lastRenderedPageBreak/>
              <w:t>vecteur de développement durable</w:t>
            </w:r>
          </w:p>
        </w:tc>
        <w:tc>
          <w:tcPr>
            <w:tcW w:w="1701" w:type="dxa"/>
            <w:vMerge w:val="restart"/>
            <w:shd w:val="clear" w:color="auto" w:fill="auto"/>
          </w:tcPr>
          <w:p w14:paraId="378E1958" w14:textId="77777777" w:rsidR="00144951" w:rsidRPr="00094628" w:rsidRDefault="00144951" w:rsidP="001731C1">
            <w:pPr>
              <w:pStyle w:val="Titre2"/>
              <w:spacing w:after="120"/>
              <w:rPr>
                <w:rFonts w:ascii="Garamond" w:eastAsia="Calibri" w:hAnsi="Garamond"/>
                <w:b w:val="0"/>
                <w:bCs w:val="0"/>
                <w:color w:val="auto"/>
                <w:sz w:val="24"/>
                <w:szCs w:val="24"/>
                <w:lang w:eastAsia="en-US"/>
              </w:rPr>
            </w:pPr>
            <w:r w:rsidRPr="00094628">
              <w:rPr>
                <w:rFonts w:ascii="Garamond" w:eastAsia="Calibri" w:hAnsi="Garamond"/>
                <w:b w:val="0"/>
                <w:bCs w:val="0"/>
                <w:color w:val="auto"/>
                <w:sz w:val="24"/>
                <w:szCs w:val="24"/>
                <w:lang w:eastAsia="en-US"/>
              </w:rPr>
              <w:lastRenderedPageBreak/>
              <w:t>Axe stratégique 7 : la création de conditions idoines permettant aux populations riveraines de percevoir le secteur minier comme un moyen d’amélioration de leurs conditions de vie</w:t>
            </w:r>
          </w:p>
        </w:tc>
        <w:tc>
          <w:tcPr>
            <w:tcW w:w="1134" w:type="dxa"/>
          </w:tcPr>
          <w:p w14:paraId="616F166A" w14:textId="77777777" w:rsidR="00144951" w:rsidRPr="00094628" w:rsidRDefault="00144951" w:rsidP="001731C1">
            <w:pPr>
              <w:rPr>
                <w:rFonts w:ascii="Garamond" w:hAnsi="Garamond"/>
              </w:rPr>
            </w:pPr>
            <w:proofErr w:type="gramStart"/>
            <w:r w:rsidRPr="00094628">
              <w:rPr>
                <w:rFonts w:ascii="Garamond" w:hAnsi="Garamond"/>
              </w:rPr>
              <w:t>les</w:t>
            </w:r>
            <w:proofErr w:type="gramEnd"/>
            <w:r w:rsidRPr="00094628">
              <w:rPr>
                <w:rFonts w:ascii="Garamond" w:hAnsi="Garamond"/>
              </w:rPr>
              <w:t xml:space="preserve"> projets  miniers et pétroliers </w:t>
            </w:r>
            <w:r w:rsidRPr="00094628">
              <w:rPr>
                <w:rFonts w:ascii="Garamond" w:hAnsi="Garamond"/>
              </w:rPr>
              <w:lastRenderedPageBreak/>
              <w:t>sont pris en compte dans les  PDESC</w:t>
            </w:r>
          </w:p>
        </w:tc>
        <w:tc>
          <w:tcPr>
            <w:tcW w:w="1418" w:type="dxa"/>
            <w:vMerge w:val="restart"/>
            <w:shd w:val="clear" w:color="auto" w:fill="auto"/>
            <w:vAlign w:val="center"/>
          </w:tcPr>
          <w:p w14:paraId="7DBBCB5A" w14:textId="77777777" w:rsidR="00144951" w:rsidRPr="00094628" w:rsidRDefault="00144951" w:rsidP="001731C1">
            <w:pPr>
              <w:spacing w:before="120" w:after="120"/>
              <w:rPr>
                <w:rFonts w:ascii="Garamond" w:hAnsi="Garamond"/>
              </w:rPr>
            </w:pPr>
            <w:r w:rsidRPr="00094628">
              <w:rPr>
                <w:rFonts w:ascii="Garamond" w:hAnsi="Garamond"/>
              </w:rPr>
              <w:lastRenderedPageBreak/>
              <w:t xml:space="preserve">Intégrer les </w:t>
            </w:r>
            <w:proofErr w:type="gramStart"/>
            <w:r w:rsidRPr="00094628">
              <w:rPr>
                <w:rFonts w:ascii="Garamond" w:hAnsi="Garamond"/>
              </w:rPr>
              <w:t>projets  miniers</w:t>
            </w:r>
            <w:proofErr w:type="gramEnd"/>
            <w:r w:rsidRPr="00094628">
              <w:rPr>
                <w:rFonts w:ascii="Garamond" w:hAnsi="Garamond"/>
              </w:rPr>
              <w:t xml:space="preserve"> et </w:t>
            </w:r>
            <w:r w:rsidRPr="00094628">
              <w:rPr>
                <w:rFonts w:ascii="Garamond" w:hAnsi="Garamond"/>
              </w:rPr>
              <w:lastRenderedPageBreak/>
              <w:t xml:space="preserve">pétroliers dans les  PDESC </w:t>
            </w:r>
          </w:p>
        </w:tc>
        <w:tc>
          <w:tcPr>
            <w:tcW w:w="1417" w:type="dxa"/>
            <w:shd w:val="clear" w:color="auto" w:fill="auto"/>
            <w:vAlign w:val="center"/>
          </w:tcPr>
          <w:p w14:paraId="28753CA6" w14:textId="77777777" w:rsidR="00144951" w:rsidRPr="00094628" w:rsidRDefault="00144951" w:rsidP="001731C1">
            <w:pPr>
              <w:spacing w:before="60" w:after="60"/>
              <w:ind w:right="-108"/>
              <w:rPr>
                <w:rFonts w:ascii="Garamond" w:hAnsi="Garamond"/>
              </w:rPr>
            </w:pPr>
          </w:p>
        </w:tc>
        <w:tc>
          <w:tcPr>
            <w:tcW w:w="993" w:type="dxa"/>
            <w:shd w:val="clear" w:color="auto" w:fill="auto"/>
          </w:tcPr>
          <w:p w14:paraId="34A47702" w14:textId="77777777" w:rsidR="00144951" w:rsidRPr="00094628" w:rsidRDefault="00144951" w:rsidP="001731C1">
            <w:pPr>
              <w:rPr>
                <w:rFonts w:ascii="Garamond" w:hAnsi="Garamond"/>
              </w:rPr>
            </w:pPr>
          </w:p>
        </w:tc>
        <w:tc>
          <w:tcPr>
            <w:tcW w:w="567" w:type="dxa"/>
            <w:shd w:val="clear" w:color="auto" w:fill="auto"/>
          </w:tcPr>
          <w:p w14:paraId="2476653D"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6D16A302"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878795E"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60D4C584"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DAA45E6"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68486670" w14:textId="77777777" w:rsidR="00144951" w:rsidRPr="00094628" w:rsidRDefault="00144951" w:rsidP="001731C1">
            <w:pPr>
              <w:jc w:val="center"/>
              <w:rPr>
                <w:rFonts w:ascii="Garamond" w:hAnsi="Garamond"/>
              </w:rPr>
            </w:pPr>
            <w:r>
              <w:rPr>
                <w:rFonts w:ascii="Garamond" w:hAnsi="Garamond"/>
              </w:rPr>
              <w:t>12.900</w:t>
            </w:r>
          </w:p>
        </w:tc>
        <w:tc>
          <w:tcPr>
            <w:tcW w:w="709" w:type="dxa"/>
            <w:shd w:val="clear" w:color="auto" w:fill="auto"/>
          </w:tcPr>
          <w:p w14:paraId="3C8EC761"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4C83B545" w14:textId="77777777" w:rsidR="00144951" w:rsidRPr="00F01272" w:rsidRDefault="00144951" w:rsidP="001731C1">
            <w:pPr>
              <w:jc w:val="center"/>
              <w:rPr>
                <w:rFonts w:ascii="Garamond" w:hAnsi="Garamond"/>
                <w:lang w:val="en-US"/>
              </w:rPr>
            </w:pPr>
            <w:r w:rsidRPr="00F01272">
              <w:rPr>
                <w:rFonts w:ascii="Garamond" w:hAnsi="Garamond"/>
                <w:lang w:val="en-US"/>
              </w:rPr>
              <w:t xml:space="preserve">MEF, MC, MIPSP, CNPM, </w:t>
            </w:r>
            <w:r w:rsidRPr="00F01272">
              <w:rPr>
                <w:rFonts w:ascii="Garamond" w:hAnsi="Garamond"/>
                <w:lang w:val="en-US"/>
              </w:rPr>
              <w:lastRenderedPageBreak/>
              <w:t>OPI, MDI, APBEF</w:t>
            </w:r>
          </w:p>
        </w:tc>
        <w:tc>
          <w:tcPr>
            <w:tcW w:w="1134" w:type="dxa"/>
            <w:shd w:val="clear" w:color="auto" w:fill="auto"/>
          </w:tcPr>
          <w:p w14:paraId="73CDFA85" w14:textId="77777777" w:rsidR="00144951" w:rsidRPr="00094628" w:rsidRDefault="00144951" w:rsidP="001731C1">
            <w:pPr>
              <w:jc w:val="center"/>
              <w:rPr>
                <w:rFonts w:ascii="Garamond" w:hAnsi="Garamond"/>
              </w:rPr>
            </w:pPr>
            <w:r w:rsidRPr="00094628">
              <w:rPr>
                <w:rFonts w:ascii="Garamond" w:hAnsi="Garamond"/>
              </w:rPr>
              <w:lastRenderedPageBreak/>
              <w:t>BE, Collectivités Locales</w:t>
            </w:r>
          </w:p>
        </w:tc>
      </w:tr>
      <w:tr w:rsidR="00144951" w:rsidRPr="00094628" w14:paraId="2D28D5E1" w14:textId="77777777" w:rsidTr="00144951">
        <w:tc>
          <w:tcPr>
            <w:tcW w:w="1588" w:type="dxa"/>
            <w:vMerge/>
            <w:shd w:val="clear" w:color="auto" w:fill="auto"/>
          </w:tcPr>
          <w:p w14:paraId="5BD95588" w14:textId="77777777" w:rsidR="00144951" w:rsidRPr="00094628" w:rsidRDefault="00144951" w:rsidP="001731C1">
            <w:pPr>
              <w:rPr>
                <w:rFonts w:ascii="Garamond" w:hAnsi="Garamond"/>
                <w:bCs/>
              </w:rPr>
            </w:pPr>
          </w:p>
        </w:tc>
        <w:tc>
          <w:tcPr>
            <w:tcW w:w="1701" w:type="dxa"/>
            <w:vMerge/>
            <w:shd w:val="clear" w:color="auto" w:fill="auto"/>
          </w:tcPr>
          <w:p w14:paraId="3BB31C52" w14:textId="77777777" w:rsidR="00144951" w:rsidRPr="00094628" w:rsidRDefault="00144951" w:rsidP="001731C1">
            <w:pPr>
              <w:pStyle w:val="Titre2"/>
              <w:spacing w:after="120"/>
              <w:rPr>
                <w:rFonts w:ascii="Garamond" w:eastAsia="Calibri" w:hAnsi="Garamond"/>
                <w:b w:val="0"/>
                <w:bCs w:val="0"/>
                <w:color w:val="auto"/>
                <w:sz w:val="24"/>
                <w:szCs w:val="24"/>
                <w:lang w:eastAsia="en-US"/>
              </w:rPr>
            </w:pPr>
          </w:p>
        </w:tc>
        <w:tc>
          <w:tcPr>
            <w:tcW w:w="1134" w:type="dxa"/>
          </w:tcPr>
          <w:p w14:paraId="61524E6D" w14:textId="77777777" w:rsidR="00144951" w:rsidRPr="00094628" w:rsidRDefault="00144951" w:rsidP="001731C1">
            <w:pPr>
              <w:rPr>
                <w:rFonts w:ascii="Garamond" w:hAnsi="Garamond"/>
              </w:rPr>
            </w:pPr>
            <w:r w:rsidRPr="00094628">
              <w:rPr>
                <w:rFonts w:ascii="Garamond" w:hAnsi="Garamond"/>
              </w:rPr>
              <w:t>Les contributions volontaires sont insérées dans les PDSEC</w:t>
            </w:r>
          </w:p>
        </w:tc>
        <w:tc>
          <w:tcPr>
            <w:tcW w:w="1418" w:type="dxa"/>
            <w:vMerge/>
            <w:shd w:val="clear" w:color="auto" w:fill="auto"/>
            <w:vAlign w:val="center"/>
          </w:tcPr>
          <w:p w14:paraId="2D97A73B" w14:textId="77777777" w:rsidR="00144951" w:rsidRPr="00094628" w:rsidRDefault="00144951" w:rsidP="001731C1">
            <w:pPr>
              <w:spacing w:before="120" w:after="120"/>
              <w:rPr>
                <w:rFonts w:ascii="Garamond" w:hAnsi="Garamond"/>
                <w:color w:val="FF0000"/>
              </w:rPr>
            </w:pPr>
          </w:p>
        </w:tc>
        <w:tc>
          <w:tcPr>
            <w:tcW w:w="1417" w:type="dxa"/>
            <w:shd w:val="clear" w:color="auto" w:fill="auto"/>
            <w:vAlign w:val="center"/>
          </w:tcPr>
          <w:p w14:paraId="2DF75109" w14:textId="77777777" w:rsidR="00144951" w:rsidRPr="00094628" w:rsidRDefault="00144951" w:rsidP="001731C1">
            <w:pPr>
              <w:spacing w:before="60" w:after="60"/>
              <w:ind w:right="-108"/>
              <w:rPr>
                <w:rFonts w:ascii="Garamond" w:hAnsi="Garamond"/>
              </w:rPr>
            </w:pPr>
          </w:p>
        </w:tc>
        <w:tc>
          <w:tcPr>
            <w:tcW w:w="993" w:type="dxa"/>
            <w:shd w:val="clear" w:color="auto" w:fill="auto"/>
          </w:tcPr>
          <w:p w14:paraId="03EC8E81" w14:textId="77777777" w:rsidR="00144951" w:rsidRPr="00094628" w:rsidRDefault="00144951" w:rsidP="001731C1">
            <w:pPr>
              <w:rPr>
                <w:rFonts w:ascii="Garamond" w:hAnsi="Garamond"/>
              </w:rPr>
            </w:pPr>
          </w:p>
        </w:tc>
        <w:tc>
          <w:tcPr>
            <w:tcW w:w="567" w:type="dxa"/>
            <w:shd w:val="clear" w:color="auto" w:fill="auto"/>
          </w:tcPr>
          <w:p w14:paraId="2523A23D"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6313BA8D"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06E89C80"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24C895D8"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3E2953EA"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528506AF" w14:textId="77777777" w:rsidR="00144951" w:rsidRPr="00094628" w:rsidRDefault="00144951" w:rsidP="001731C1">
            <w:pPr>
              <w:jc w:val="center"/>
              <w:rPr>
                <w:rFonts w:ascii="Garamond" w:hAnsi="Garamond"/>
              </w:rPr>
            </w:pPr>
          </w:p>
        </w:tc>
        <w:tc>
          <w:tcPr>
            <w:tcW w:w="709" w:type="dxa"/>
            <w:shd w:val="clear" w:color="auto" w:fill="auto"/>
          </w:tcPr>
          <w:p w14:paraId="545E36C6"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3D68238B" w14:textId="77777777" w:rsidR="00144951" w:rsidRPr="00F01272" w:rsidRDefault="00144951" w:rsidP="001731C1">
            <w:pPr>
              <w:jc w:val="center"/>
              <w:rPr>
                <w:rFonts w:ascii="Garamond" w:hAnsi="Garamond"/>
                <w:lang w:val="en-US"/>
              </w:rPr>
            </w:pPr>
            <w:r w:rsidRPr="00F01272">
              <w:rPr>
                <w:rFonts w:ascii="Garamond" w:hAnsi="Garamond"/>
                <w:lang w:val="en-US"/>
              </w:rPr>
              <w:t>MEF, MC, MIPSP, CNPM, OPI, MDI, APBEF</w:t>
            </w:r>
          </w:p>
        </w:tc>
        <w:tc>
          <w:tcPr>
            <w:tcW w:w="1134" w:type="dxa"/>
            <w:shd w:val="clear" w:color="auto" w:fill="auto"/>
          </w:tcPr>
          <w:p w14:paraId="5F286EA0"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02077704" w14:textId="77777777" w:rsidTr="00144951">
        <w:tc>
          <w:tcPr>
            <w:tcW w:w="1588" w:type="dxa"/>
            <w:vMerge/>
            <w:shd w:val="clear" w:color="auto" w:fill="auto"/>
          </w:tcPr>
          <w:p w14:paraId="12A1E5D8" w14:textId="77777777" w:rsidR="00144951" w:rsidRPr="00094628" w:rsidRDefault="00144951" w:rsidP="001731C1">
            <w:pPr>
              <w:rPr>
                <w:rFonts w:ascii="Garamond" w:hAnsi="Garamond"/>
                <w:bCs/>
              </w:rPr>
            </w:pPr>
          </w:p>
        </w:tc>
        <w:tc>
          <w:tcPr>
            <w:tcW w:w="1701" w:type="dxa"/>
            <w:vMerge/>
            <w:shd w:val="clear" w:color="auto" w:fill="auto"/>
          </w:tcPr>
          <w:p w14:paraId="67FB3F6C" w14:textId="77777777" w:rsidR="00144951" w:rsidRPr="00094628" w:rsidRDefault="00144951" w:rsidP="001731C1">
            <w:pPr>
              <w:pStyle w:val="Titre2"/>
              <w:spacing w:after="120"/>
              <w:rPr>
                <w:rFonts w:ascii="Garamond" w:eastAsia="Calibri" w:hAnsi="Garamond"/>
                <w:b w:val="0"/>
                <w:bCs w:val="0"/>
                <w:color w:val="auto"/>
                <w:sz w:val="24"/>
                <w:szCs w:val="24"/>
                <w:lang w:eastAsia="en-US"/>
              </w:rPr>
            </w:pPr>
          </w:p>
        </w:tc>
        <w:tc>
          <w:tcPr>
            <w:tcW w:w="1134" w:type="dxa"/>
            <w:vAlign w:val="center"/>
          </w:tcPr>
          <w:p w14:paraId="2CBCF5AA" w14:textId="77777777" w:rsidR="00144951" w:rsidRPr="00094628" w:rsidRDefault="00144951" w:rsidP="001731C1">
            <w:pPr>
              <w:rPr>
                <w:rFonts w:ascii="Garamond" w:hAnsi="Garamond"/>
              </w:rPr>
            </w:pPr>
            <w:r w:rsidRPr="00094628">
              <w:rPr>
                <w:rFonts w:ascii="Garamond" w:hAnsi="Garamond"/>
              </w:rPr>
              <w:t>La RSE est mise en œuvre par les entreprises minières et pétrolière</w:t>
            </w:r>
          </w:p>
        </w:tc>
        <w:tc>
          <w:tcPr>
            <w:tcW w:w="1418" w:type="dxa"/>
            <w:shd w:val="clear" w:color="auto" w:fill="auto"/>
            <w:vAlign w:val="center"/>
          </w:tcPr>
          <w:p w14:paraId="68295605" w14:textId="77777777" w:rsidR="00144951" w:rsidRPr="00094628" w:rsidRDefault="00144951" w:rsidP="001731C1">
            <w:pPr>
              <w:spacing w:before="120" w:after="120"/>
              <w:rPr>
                <w:rFonts w:ascii="Garamond" w:hAnsi="Garamond"/>
              </w:rPr>
            </w:pPr>
            <w:r w:rsidRPr="00094628">
              <w:rPr>
                <w:rFonts w:ascii="Garamond" w:hAnsi="Garamond"/>
              </w:rPr>
              <w:t xml:space="preserve">Promouvoir la RSE des entreprises minières et pétrolières </w:t>
            </w:r>
          </w:p>
          <w:p w14:paraId="14D5E0CD" w14:textId="77777777" w:rsidR="00144951" w:rsidRPr="00094628" w:rsidRDefault="00144951" w:rsidP="001731C1">
            <w:pPr>
              <w:spacing w:before="120" w:after="120"/>
              <w:rPr>
                <w:rFonts w:ascii="Garamond" w:hAnsi="Garamond"/>
              </w:rPr>
            </w:pPr>
          </w:p>
        </w:tc>
        <w:tc>
          <w:tcPr>
            <w:tcW w:w="1417" w:type="dxa"/>
            <w:shd w:val="clear" w:color="auto" w:fill="auto"/>
            <w:vAlign w:val="center"/>
          </w:tcPr>
          <w:p w14:paraId="6C1DC9EC" w14:textId="77777777" w:rsidR="00144951" w:rsidRPr="00094628" w:rsidRDefault="00144951" w:rsidP="001731C1">
            <w:pPr>
              <w:spacing w:before="120" w:after="120"/>
              <w:rPr>
                <w:rFonts w:ascii="Garamond" w:hAnsi="Garamond"/>
              </w:rPr>
            </w:pPr>
            <w:r w:rsidRPr="00094628">
              <w:rPr>
                <w:rFonts w:ascii="Garamond" w:hAnsi="Garamond"/>
              </w:rPr>
              <w:t xml:space="preserve">% des contributions </w:t>
            </w:r>
            <w:proofErr w:type="gramStart"/>
            <w:r w:rsidRPr="00094628">
              <w:rPr>
                <w:rFonts w:ascii="Garamond" w:hAnsi="Garamond"/>
              </w:rPr>
              <w:t>volontaires  inséré</w:t>
            </w:r>
            <w:proofErr w:type="gramEnd"/>
            <w:r w:rsidRPr="00094628">
              <w:rPr>
                <w:rFonts w:ascii="Garamond" w:hAnsi="Garamond"/>
              </w:rPr>
              <w:t xml:space="preserve"> dans les PDESC</w:t>
            </w:r>
          </w:p>
        </w:tc>
        <w:tc>
          <w:tcPr>
            <w:tcW w:w="993" w:type="dxa"/>
            <w:shd w:val="clear" w:color="auto" w:fill="auto"/>
          </w:tcPr>
          <w:p w14:paraId="4DD85E71" w14:textId="77777777" w:rsidR="00144951" w:rsidRPr="00094628" w:rsidRDefault="00144951" w:rsidP="001731C1">
            <w:pPr>
              <w:rPr>
                <w:rFonts w:ascii="Garamond" w:hAnsi="Garamond"/>
              </w:rPr>
            </w:pPr>
          </w:p>
        </w:tc>
        <w:tc>
          <w:tcPr>
            <w:tcW w:w="567" w:type="dxa"/>
            <w:shd w:val="clear" w:color="auto" w:fill="auto"/>
          </w:tcPr>
          <w:p w14:paraId="00ABEAB3"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5E5779BE"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5CE64803"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0965862B"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16D8C264"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14A63499" w14:textId="77777777" w:rsidR="00144951" w:rsidRPr="00094628" w:rsidRDefault="00144951" w:rsidP="001731C1">
            <w:pPr>
              <w:jc w:val="center"/>
              <w:rPr>
                <w:rFonts w:ascii="Garamond" w:hAnsi="Garamond"/>
              </w:rPr>
            </w:pPr>
          </w:p>
        </w:tc>
        <w:tc>
          <w:tcPr>
            <w:tcW w:w="709" w:type="dxa"/>
            <w:shd w:val="clear" w:color="auto" w:fill="auto"/>
          </w:tcPr>
          <w:p w14:paraId="473C82E2"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777605DE" w14:textId="77777777" w:rsidR="00144951" w:rsidRPr="00F01272" w:rsidRDefault="00144951" w:rsidP="001731C1">
            <w:pPr>
              <w:jc w:val="center"/>
              <w:rPr>
                <w:rFonts w:ascii="Garamond" w:hAnsi="Garamond"/>
                <w:lang w:val="en-US"/>
              </w:rPr>
            </w:pPr>
            <w:r w:rsidRPr="00F01272">
              <w:rPr>
                <w:rFonts w:ascii="Garamond" w:hAnsi="Garamond"/>
                <w:lang w:val="en-US"/>
              </w:rPr>
              <w:t>MEF, MC, MIPSP, CNPM, OPI, MDI, APBEF</w:t>
            </w:r>
          </w:p>
        </w:tc>
        <w:tc>
          <w:tcPr>
            <w:tcW w:w="1134" w:type="dxa"/>
            <w:shd w:val="clear" w:color="auto" w:fill="auto"/>
          </w:tcPr>
          <w:p w14:paraId="05CC19D3"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62CD2BB5" w14:textId="77777777" w:rsidTr="00144951">
        <w:tc>
          <w:tcPr>
            <w:tcW w:w="1588" w:type="dxa"/>
            <w:vMerge/>
            <w:shd w:val="clear" w:color="auto" w:fill="auto"/>
          </w:tcPr>
          <w:p w14:paraId="736D933D" w14:textId="77777777" w:rsidR="00144951" w:rsidRPr="00094628" w:rsidRDefault="00144951" w:rsidP="001731C1">
            <w:pPr>
              <w:rPr>
                <w:rFonts w:ascii="Garamond" w:hAnsi="Garamond"/>
                <w:bCs/>
              </w:rPr>
            </w:pPr>
          </w:p>
        </w:tc>
        <w:tc>
          <w:tcPr>
            <w:tcW w:w="1701" w:type="dxa"/>
            <w:vMerge/>
            <w:shd w:val="clear" w:color="auto" w:fill="auto"/>
          </w:tcPr>
          <w:p w14:paraId="4DB6939B" w14:textId="77777777" w:rsidR="00144951" w:rsidRPr="00094628" w:rsidRDefault="00144951" w:rsidP="001731C1">
            <w:pPr>
              <w:pStyle w:val="Titre2"/>
              <w:spacing w:after="120"/>
              <w:rPr>
                <w:rFonts w:ascii="Garamond" w:eastAsia="Calibri" w:hAnsi="Garamond"/>
                <w:b w:val="0"/>
                <w:bCs w:val="0"/>
                <w:color w:val="auto"/>
                <w:sz w:val="24"/>
                <w:szCs w:val="24"/>
                <w:lang w:eastAsia="en-US"/>
              </w:rPr>
            </w:pPr>
          </w:p>
        </w:tc>
        <w:tc>
          <w:tcPr>
            <w:tcW w:w="1134" w:type="dxa"/>
          </w:tcPr>
          <w:p w14:paraId="7049893B" w14:textId="77777777" w:rsidR="00144951" w:rsidRPr="00094628" w:rsidRDefault="00144951" w:rsidP="001731C1">
            <w:pPr>
              <w:rPr>
                <w:rFonts w:ascii="Garamond" w:hAnsi="Garamond"/>
              </w:rPr>
            </w:pPr>
            <w:r w:rsidRPr="00094628">
              <w:rPr>
                <w:rFonts w:ascii="Garamond" w:hAnsi="Garamond"/>
              </w:rPr>
              <w:t>Un contrôle citoyen est instauré</w:t>
            </w:r>
          </w:p>
        </w:tc>
        <w:tc>
          <w:tcPr>
            <w:tcW w:w="1418" w:type="dxa"/>
            <w:shd w:val="clear" w:color="auto" w:fill="auto"/>
            <w:vAlign w:val="center"/>
          </w:tcPr>
          <w:p w14:paraId="50229A2A" w14:textId="77777777" w:rsidR="00144951" w:rsidRPr="00094628" w:rsidRDefault="00144951" w:rsidP="001731C1">
            <w:pPr>
              <w:spacing w:before="120" w:after="120"/>
              <w:ind w:right="72"/>
              <w:textAlignment w:val="baseline"/>
              <w:rPr>
                <w:rFonts w:ascii="Garamond" w:hAnsi="Garamond"/>
              </w:rPr>
            </w:pPr>
            <w:r w:rsidRPr="00094628">
              <w:rPr>
                <w:rFonts w:ascii="Garamond" w:hAnsi="Garamond"/>
              </w:rPr>
              <w:t xml:space="preserve">Renforcer les capacités de suivi et de </w:t>
            </w:r>
            <w:r w:rsidRPr="00094628">
              <w:rPr>
                <w:rFonts w:ascii="Garamond" w:hAnsi="Garamond"/>
              </w:rPr>
              <w:lastRenderedPageBreak/>
              <w:t xml:space="preserve">contrôle des activités minières des populations </w:t>
            </w:r>
          </w:p>
        </w:tc>
        <w:tc>
          <w:tcPr>
            <w:tcW w:w="1417" w:type="dxa"/>
            <w:shd w:val="clear" w:color="auto" w:fill="auto"/>
            <w:vAlign w:val="center"/>
          </w:tcPr>
          <w:p w14:paraId="5A810F4E" w14:textId="77777777" w:rsidR="00144951" w:rsidRPr="00094628" w:rsidRDefault="00144951" w:rsidP="001731C1">
            <w:pPr>
              <w:spacing w:before="120" w:after="120"/>
              <w:ind w:right="72"/>
              <w:textAlignment w:val="baseline"/>
              <w:rPr>
                <w:rFonts w:ascii="Garamond" w:hAnsi="Garamond"/>
              </w:rPr>
            </w:pPr>
          </w:p>
        </w:tc>
        <w:tc>
          <w:tcPr>
            <w:tcW w:w="993" w:type="dxa"/>
            <w:shd w:val="clear" w:color="auto" w:fill="auto"/>
          </w:tcPr>
          <w:p w14:paraId="2434F935" w14:textId="77777777" w:rsidR="00144951" w:rsidRPr="00094628" w:rsidRDefault="00144951" w:rsidP="001731C1">
            <w:pPr>
              <w:rPr>
                <w:rFonts w:ascii="Garamond" w:hAnsi="Garamond"/>
              </w:rPr>
            </w:pPr>
          </w:p>
        </w:tc>
        <w:tc>
          <w:tcPr>
            <w:tcW w:w="567" w:type="dxa"/>
            <w:shd w:val="clear" w:color="auto" w:fill="auto"/>
          </w:tcPr>
          <w:p w14:paraId="1F491FE0"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5358A200"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0A4BBABC"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164784E2"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0C1899F"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2BC98975" w14:textId="77777777" w:rsidR="00144951" w:rsidRPr="00094628" w:rsidRDefault="00144951" w:rsidP="001731C1">
            <w:pPr>
              <w:jc w:val="center"/>
              <w:rPr>
                <w:rFonts w:ascii="Garamond" w:hAnsi="Garamond"/>
              </w:rPr>
            </w:pPr>
          </w:p>
        </w:tc>
        <w:tc>
          <w:tcPr>
            <w:tcW w:w="709" w:type="dxa"/>
            <w:shd w:val="clear" w:color="auto" w:fill="auto"/>
          </w:tcPr>
          <w:p w14:paraId="6DAB082C"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55656270" w14:textId="77777777" w:rsidR="00144951" w:rsidRPr="00F01272" w:rsidRDefault="00144951" w:rsidP="001731C1">
            <w:pPr>
              <w:jc w:val="center"/>
              <w:rPr>
                <w:rFonts w:ascii="Garamond" w:hAnsi="Garamond"/>
                <w:lang w:val="en-US"/>
              </w:rPr>
            </w:pPr>
            <w:r w:rsidRPr="00F01272">
              <w:rPr>
                <w:rFonts w:ascii="Garamond" w:hAnsi="Garamond"/>
                <w:lang w:val="en-US"/>
              </w:rPr>
              <w:t>MEF, MC, MIPSP, CNPM, OPI, MDI, APBEF</w:t>
            </w:r>
          </w:p>
        </w:tc>
        <w:tc>
          <w:tcPr>
            <w:tcW w:w="1134" w:type="dxa"/>
            <w:shd w:val="clear" w:color="auto" w:fill="auto"/>
          </w:tcPr>
          <w:p w14:paraId="2D7E569A"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7F083FE3" w14:textId="77777777" w:rsidTr="00144951">
        <w:tc>
          <w:tcPr>
            <w:tcW w:w="1588" w:type="dxa"/>
            <w:vMerge/>
            <w:shd w:val="clear" w:color="auto" w:fill="auto"/>
          </w:tcPr>
          <w:p w14:paraId="7412AFD1" w14:textId="77777777" w:rsidR="00144951" w:rsidRPr="00094628" w:rsidRDefault="00144951" w:rsidP="001731C1">
            <w:pPr>
              <w:rPr>
                <w:rFonts w:ascii="Garamond" w:hAnsi="Garamond"/>
                <w:bCs/>
              </w:rPr>
            </w:pPr>
          </w:p>
        </w:tc>
        <w:tc>
          <w:tcPr>
            <w:tcW w:w="1701" w:type="dxa"/>
            <w:vMerge/>
            <w:shd w:val="clear" w:color="auto" w:fill="auto"/>
          </w:tcPr>
          <w:p w14:paraId="0BEFE8CE" w14:textId="77777777" w:rsidR="00144951" w:rsidRPr="00094628" w:rsidRDefault="00144951" w:rsidP="001731C1">
            <w:pPr>
              <w:pStyle w:val="Titre2"/>
              <w:spacing w:after="120"/>
              <w:rPr>
                <w:rFonts w:ascii="Garamond" w:eastAsia="Calibri" w:hAnsi="Garamond"/>
                <w:b w:val="0"/>
                <w:bCs w:val="0"/>
                <w:color w:val="auto"/>
                <w:sz w:val="24"/>
                <w:szCs w:val="24"/>
                <w:lang w:eastAsia="en-US"/>
              </w:rPr>
            </w:pPr>
          </w:p>
        </w:tc>
        <w:tc>
          <w:tcPr>
            <w:tcW w:w="1134" w:type="dxa"/>
          </w:tcPr>
          <w:p w14:paraId="0DC2CE54" w14:textId="77777777" w:rsidR="00144951" w:rsidRPr="00094628" w:rsidRDefault="00144951" w:rsidP="001731C1">
            <w:pPr>
              <w:rPr>
                <w:rFonts w:ascii="Garamond" w:hAnsi="Garamond"/>
              </w:rPr>
            </w:pPr>
            <w:proofErr w:type="gramStart"/>
            <w:r w:rsidRPr="00094628">
              <w:rPr>
                <w:rFonts w:ascii="Garamond" w:eastAsia="Tahoma" w:hAnsi="Garamond"/>
              </w:rPr>
              <w:t>la</w:t>
            </w:r>
            <w:proofErr w:type="gramEnd"/>
            <w:r w:rsidRPr="00094628">
              <w:rPr>
                <w:rFonts w:ascii="Garamond" w:eastAsia="Tahoma" w:hAnsi="Garamond"/>
              </w:rPr>
              <w:t xml:space="preserve"> préservation et à la gestion de l’environnement, la réhabilitation des sites d’exploitation et la prise en compte de l’après mine sont assurées </w:t>
            </w:r>
          </w:p>
        </w:tc>
        <w:tc>
          <w:tcPr>
            <w:tcW w:w="1418" w:type="dxa"/>
            <w:vMerge w:val="restart"/>
            <w:shd w:val="clear" w:color="auto" w:fill="auto"/>
            <w:vAlign w:val="center"/>
          </w:tcPr>
          <w:p w14:paraId="0572156E" w14:textId="77777777" w:rsidR="00144951" w:rsidRPr="00094628" w:rsidRDefault="00144951" w:rsidP="001731C1">
            <w:pPr>
              <w:spacing w:before="120" w:after="120"/>
              <w:ind w:right="72"/>
              <w:textAlignment w:val="baseline"/>
              <w:rPr>
                <w:rFonts w:ascii="Garamond" w:eastAsia="Tahoma" w:hAnsi="Garamond"/>
              </w:rPr>
            </w:pPr>
            <w:proofErr w:type="gramStart"/>
            <w:r w:rsidRPr="00094628">
              <w:rPr>
                <w:rFonts w:ascii="Garamond" w:eastAsia="Tahoma" w:hAnsi="Garamond"/>
              </w:rPr>
              <w:t>Assurer  la</w:t>
            </w:r>
            <w:proofErr w:type="gramEnd"/>
            <w:r w:rsidRPr="00094628">
              <w:rPr>
                <w:rFonts w:ascii="Garamond" w:eastAsia="Tahoma" w:hAnsi="Garamond"/>
              </w:rPr>
              <w:t xml:space="preserve"> préservation et la gestion de l’environnement, la réhabilitation des sites d’exploitation et la prise en compte de l’après mine </w:t>
            </w:r>
          </w:p>
        </w:tc>
        <w:tc>
          <w:tcPr>
            <w:tcW w:w="1417" w:type="dxa"/>
            <w:shd w:val="clear" w:color="auto" w:fill="auto"/>
            <w:vAlign w:val="center"/>
          </w:tcPr>
          <w:p w14:paraId="04ACD72F" w14:textId="77777777" w:rsidR="00144951" w:rsidRPr="00094628" w:rsidRDefault="00144951" w:rsidP="001731C1">
            <w:pPr>
              <w:spacing w:before="120" w:after="120"/>
              <w:ind w:right="72"/>
              <w:textAlignment w:val="baseline"/>
              <w:rPr>
                <w:rFonts w:ascii="Garamond" w:eastAsia="Tahoma" w:hAnsi="Garamond"/>
              </w:rPr>
            </w:pPr>
            <w:r w:rsidRPr="00094628">
              <w:rPr>
                <w:rFonts w:ascii="Garamond" w:eastAsia="Tahoma" w:hAnsi="Garamond"/>
              </w:rPr>
              <w:t>Nombre de sites d’exploitation conformes à la législation environnementale</w:t>
            </w:r>
          </w:p>
        </w:tc>
        <w:tc>
          <w:tcPr>
            <w:tcW w:w="993" w:type="dxa"/>
            <w:shd w:val="clear" w:color="auto" w:fill="auto"/>
          </w:tcPr>
          <w:p w14:paraId="75C7DEB8" w14:textId="77777777" w:rsidR="00144951" w:rsidRPr="00094628" w:rsidRDefault="00144951" w:rsidP="001731C1">
            <w:pPr>
              <w:rPr>
                <w:rFonts w:ascii="Garamond" w:hAnsi="Garamond"/>
              </w:rPr>
            </w:pPr>
          </w:p>
        </w:tc>
        <w:tc>
          <w:tcPr>
            <w:tcW w:w="567" w:type="dxa"/>
            <w:shd w:val="clear" w:color="auto" w:fill="auto"/>
          </w:tcPr>
          <w:p w14:paraId="0FB81EF9"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2589001D"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13D62138"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18C51C2A"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CD64149"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2293790B" w14:textId="77777777" w:rsidR="00144951" w:rsidRPr="00094628" w:rsidRDefault="00144951" w:rsidP="001731C1">
            <w:pPr>
              <w:jc w:val="center"/>
              <w:rPr>
                <w:rFonts w:ascii="Garamond" w:hAnsi="Garamond"/>
              </w:rPr>
            </w:pPr>
          </w:p>
        </w:tc>
        <w:tc>
          <w:tcPr>
            <w:tcW w:w="709" w:type="dxa"/>
            <w:shd w:val="clear" w:color="auto" w:fill="auto"/>
          </w:tcPr>
          <w:p w14:paraId="0E976793" w14:textId="77777777" w:rsidR="00144951" w:rsidRPr="00094628" w:rsidRDefault="00144951" w:rsidP="001731C1">
            <w:pPr>
              <w:jc w:val="center"/>
              <w:rPr>
                <w:rFonts w:ascii="Garamond" w:hAnsi="Garamond"/>
              </w:rPr>
            </w:pPr>
            <w:r w:rsidRPr="00094628">
              <w:rPr>
                <w:rFonts w:ascii="Garamond" w:hAnsi="Garamond"/>
              </w:rPr>
              <w:t>MM</w:t>
            </w:r>
          </w:p>
        </w:tc>
        <w:tc>
          <w:tcPr>
            <w:tcW w:w="1275" w:type="dxa"/>
            <w:shd w:val="clear" w:color="auto" w:fill="auto"/>
          </w:tcPr>
          <w:p w14:paraId="616D3E4E" w14:textId="77777777" w:rsidR="00144951" w:rsidRPr="00F01272" w:rsidRDefault="00144951" w:rsidP="001731C1">
            <w:pPr>
              <w:jc w:val="center"/>
              <w:rPr>
                <w:rFonts w:ascii="Garamond" w:hAnsi="Garamond"/>
                <w:lang w:val="en-US"/>
              </w:rPr>
            </w:pPr>
            <w:r w:rsidRPr="00F01272">
              <w:rPr>
                <w:rFonts w:ascii="Garamond" w:hAnsi="Garamond"/>
                <w:lang w:val="en-US"/>
              </w:rPr>
              <w:t>MEF, MC, MIPSP, CNPM, OPI, MDI, APBEF</w:t>
            </w:r>
          </w:p>
        </w:tc>
        <w:tc>
          <w:tcPr>
            <w:tcW w:w="1134" w:type="dxa"/>
            <w:shd w:val="clear" w:color="auto" w:fill="auto"/>
          </w:tcPr>
          <w:p w14:paraId="36FC1040"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5D6A1F3B" w14:textId="77777777" w:rsidTr="00144951">
        <w:tc>
          <w:tcPr>
            <w:tcW w:w="1588" w:type="dxa"/>
            <w:vMerge/>
            <w:shd w:val="clear" w:color="auto" w:fill="auto"/>
          </w:tcPr>
          <w:p w14:paraId="7A87E318" w14:textId="77777777" w:rsidR="00144951" w:rsidRPr="00094628" w:rsidRDefault="00144951" w:rsidP="001731C1">
            <w:pPr>
              <w:rPr>
                <w:rFonts w:ascii="Garamond" w:hAnsi="Garamond"/>
                <w:bCs/>
              </w:rPr>
            </w:pPr>
          </w:p>
        </w:tc>
        <w:tc>
          <w:tcPr>
            <w:tcW w:w="1701" w:type="dxa"/>
            <w:vMerge/>
            <w:shd w:val="clear" w:color="auto" w:fill="auto"/>
          </w:tcPr>
          <w:p w14:paraId="4A2004D5" w14:textId="77777777" w:rsidR="00144951" w:rsidRPr="00094628" w:rsidRDefault="00144951" w:rsidP="001731C1">
            <w:pPr>
              <w:pStyle w:val="Titre2"/>
              <w:spacing w:after="120"/>
              <w:rPr>
                <w:rFonts w:ascii="Garamond" w:eastAsia="Calibri" w:hAnsi="Garamond"/>
                <w:b w:val="0"/>
                <w:bCs w:val="0"/>
                <w:color w:val="auto"/>
                <w:sz w:val="24"/>
                <w:szCs w:val="24"/>
                <w:lang w:eastAsia="en-US"/>
              </w:rPr>
            </w:pPr>
          </w:p>
        </w:tc>
        <w:tc>
          <w:tcPr>
            <w:tcW w:w="1134" w:type="dxa"/>
          </w:tcPr>
          <w:p w14:paraId="4966359F" w14:textId="77777777" w:rsidR="00144951" w:rsidRPr="00094628" w:rsidRDefault="00144951" w:rsidP="001731C1">
            <w:pPr>
              <w:rPr>
                <w:rFonts w:ascii="Garamond" w:hAnsi="Garamond"/>
              </w:rPr>
            </w:pPr>
          </w:p>
        </w:tc>
        <w:tc>
          <w:tcPr>
            <w:tcW w:w="1418" w:type="dxa"/>
            <w:vMerge/>
            <w:shd w:val="clear" w:color="auto" w:fill="auto"/>
            <w:vAlign w:val="center"/>
          </w:tcPr>
          <w:p w14:paraId="7123F138" w14:textId="77777777" w:rsidR="00144951" w:rsidRPr="00094628" w:rsidRDefault="00144951" w:rsidP="001731C1">
            <w:pPr>
              <w:spacing w:before="120" w:after="120"/>
              <w:ind w:right="72"/>
              <w:textAlignment w:val="baseline"/>
              <w:rPr>
                <w:rFonts w:ascii="Garamond" w:eastAsia="Tahoma" w:hAnsi="Garamond"/>
              </w:rPr>
            </w:pPr>
          </w:p>
        </w:tc>
        <w:tc>
          <w:tcPr>
            <w:tcW w:w="1417" w:type="dxa"/>
            <w:shd w:val="clear" w:color="auto" w:fill="auto"/>
            <w:vAlign w:val="center"/>
          </w:tcPr>
          <w:p w14:paraId="0AE9F718" w14:textId="77777777" w:rsidR="00144951" w:rsidRPr="00094628" w:rsidRDefault="00144951" w:rsidP="001731C1">
            <w:pPr>
              <w:spacing w:before="120" w:after="120"/>
              <w:ind w:right="72"/>
              <w:textAlignment w:val="baseline"/>
              <w:rPr>
                <w:rFonts w:ascii="Garamond" w:eastAsia="Tahoma" w:hAnsi="Garamond"/>
              </w:rPr>
            </w:pPr>
            <w:r w:rsidRPr="00094628">
              <w:rPr>
                <w:rFonts w:ascii="Garamond" w:eastAsia="Tahoma" w:hAnsi="Garamond"/>
              </w:rPr>
              <w:t xml:space="preserve">Nombre de </w:t>
            </w:r>
            <w:proofErr w:type="gramStart"/>
            <w:r w:rsidRPr="00094628">
              <w:rPr>
                <w:rFonts w:ascii="Garamond" w:eastAsia="Tahoma" w:hAnsi="Garamond"/>
              </w:rPr>
              <w:t>sites  réhabilités</w:t>
            </w:r>
            <w:proofErr w:type="gramEnd"/>
            <w:r w:rsidRPr="00094628">
              <w:rPr>
                <w:rFonts w:ascii="Garamond" w:eastAsia="Tahoma" w:hAnsi="Garamond"/>
              </w:rPr>
              <w:t xml:space="preserve"> </w:t>
            </w:r>
          </w:p>
        </w:tc>
        <w:tc>
          <w:tcPr>
            <w:tcW w:w="993" w:type="dxa"/>
            <w:shd w:val="clear" w:color="auto" w:fill="auto"/>
          </w:tcPr>
          <w:p w14:paraId="4CB91009" w14:textId="77777777" w:rsidR="00144951" w:rsidRPr="00094628" w:rsidRDefault="00144951" w:rsidP="001731C1">
            <w:pPr>
              <w:rPr>
                <w:rFonts w:ascii="Garamond" w:hAnsi="Garamond"/>
              </w:rPr>
            </w:pPr>
          </w:p>
        </w:tc>
        <w:tc>
          <w:tcPr>
            <w:tcW w:w="567" w:type="dxa"/>
            <w:shd w:val="clear" w:color="auto" w:fill="auto"/>
          </w:tcPr>
          <w:p w14:paraId="72A90B93"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5A2DEC3B"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2ECC6794"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72AE71ED"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29559725"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53943EA2" w14:textId="77777777" w:rsidR="00144951" w:rsidRPr="00094628" w:rsidRDefault="00144951" w:rsidP="001731C1">
            <w:pPr>
              <w:jc w:val="center"/>
              <w:rPr>
                <w:rFonts w:ascii="Garamond" w:hAnsi="Garamond"/>
              </w:rPr>
            </w:pPr>
          </w:p>
        </w:tc>
        <w:tc>
          <w:tcPr>
            <w:tcW w:w="709" w:type="dxa"/>
            <w:shd w:val="clear" w:color="auto" w:fill="auto"/>
          </w:tcPr>
          <w:p w14:paraId="79339EAC" w14:textId="77777777" w:rsidR="00144951" w:rsidRPr="00094628" w:rsidRDefault="00144951" w:rsidP="001731C1">
            <w:pPr>
              <w:jc w:val="center"/>
              <w:rPr>
                <w:rFonts w:ascii="Garamond" w:hAnsi="Garamond"/>
              </w:rPr>
            </w:pPr>
          </w:p>
        </w:tc>
        <w:tc>
          <w:tcPr>
            <w:tcW w:w="1275" w:type="dxa"/>
            <w:shd w:val="clear" w:color="auto" w:fill="auto"/>
          </w:tcPr>
          <w:p w14:paraId="4C5B13CF" w14:textId="77777777" w:rsidR="00144951" w:rsidRPr="00094628" w:rsidRDefault="00144951" w:rsidP="001731C1">
            <w:pPr>
              <w:jc w:val="center"/>
              <w:rPr>
                <w:rFonts w:ascii="Garamond" w:hAnsi="Garamond"/>
              </w:rPr>
            </w:pPr>
          </w:p>
        </w:tc>
        <w:tc>
          <w:tcPr>
            <w:tcW w:w="1134" w:type="dxa"/>
            <w:shd w:val="clear" w:color="auto" w:fill="auto"/>
          </w:tcPr>
          <w:p w14:paraId="5D13D89E"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470188BF" w14:textId="77777777" w:rsidTr="00144951">
        <w:tc>
          <w:tcPr>
            <w:tcW w:w="1588" w:type="dxa"/>
            <w:vMerge/>
            <w:shd w:val="clear" w:color="auto" w:fill="auto"/>
          </w:tcPr>
          <w:p w14:paraId="4B3D019C" w14:textId="77777777" w:rsidR="00144951" w:rsidRPr="00094628" w:rsidRDefault="00144951" w:rsidP="001731C1">
            <w:pPr>
              <w:rPr>
                <w:rFonts w:ascii="Garamond" w:hAnsi="Garamond"/>
                <w:bCs/>
              </w:rPr>
            </w:pPr>
          </w:p>
        </w:tc>
        <w:tc>
          <w:tcPr>
            <w:tcW w:w="1701" w:type="dxa"/>
            <w:vMerge/>
            <w:shd w:val="clear" w:color="auto" w:fill="auto"/>
          </w:tcPr>
          <w:p w14:paraId="7E739C14" w14:textId="77777777" w:rsidR="00144951" w:rsidRPr="00094628" w:rsidRDefault="00144951" w:rsidP="001731C1">
            <w:pPr>
              <w:pStyle w:val="Titre2"/>
              <w:spacing w:after="120"/>
              <w:rPr>
                <w:rFonts w:ascii="Garamond" w:eastAsia="Calibri" w:hAnsi="Garamond"/>
                <w:b w:val="0"/>
                <w:bCs w:val="0"/>
                <w:color w:val="auto"/>
                <w:sz w:val="24"/>
                <w:szCs w:val="24"/>
                <w:lang w:eastAsia="en-US"/>
              </w:rPr>
            </w:pPr>
          </w:p>
        </w:tc>
        <w:tc>
          <w:tcPr>
            <w:tcW w:w="1134" w:type="dxa"/>
          </w:tcPr>
          <w:p w14:paraId="3437A660" w14:textId="77777777" w:rsidR="00144951" w:rsidRPr="00094628" w:rsidRDefault="00144951" w:rsidP="001731C1">
            <w:pPr>
              <w:rPr>
                <w:rFonts w:ascii="Garamond" w:hAnsi="Garamond"/>
              </w:rPr>
            </w:pPr>
          </w:p>
        </w:tc>
        <w:tc>
          <w:tcPr>
            <w:tcW w:w="1418" w:type="dxa"/>
            <w:vMerge/>
            <w:shd w:val="clear" w:color="auto" w:fill="auto"/>
            <w:vAlign w:val="center"/>
          </w:tcPr>
          <w:p w14:paraId="55F67522" w14:textId="77777777" w:rsidR="00144951" w:rsidRPr="00094628" w:rsidRDefault="00144951" w:rsidP="001731C1">
            <w:pPr>
              <w:spacing w:before="120" w:after="120"/>
              <w:ind w:right="72"/>
              <w:textAlignment w:val="baseline"/>
              <w:rPr>
                <w:rFonts w:ascii="Garamond" w:eastAsia="Tahoma" w:hAnsi="Garamond"/>
              </w:rPr>
            </w:pPr>
          </w:p>
        </w:tc>
        <w:tc>
          <w:tcPr>
            <w:tcW w:w="1417" w:type="dxa"/>
            <w:shd w:val="clear" w:color="auto" w:fill="auto"/>
            <w:vAlign w:val="center"/>
          </w:tcPr>
          <w:p w14:paraId="6AF88565" w14:textId="77777777" w:rsidR="00144951" w:rsidRPr="00094628" w:rsidRDefault="00144951" w:rsidP="001731C1">
            <w:pPr>
              <w:spacing w:before="120" w:after="120"/>
              <w:ind w:right="72"/>
              <w:textAlignment w:val="baseline"/>
              <w:rPr>
                <w:rFonts w:ascii="Garamond" w:hAnsi="Garamond"/>
              </w:rPr>
            </w:pPr>
            <w:proofErr w:type="gramStart"/>
            <w:r w:rsidRPr="00094628">
              <w:rPr>
                <w:rFonts w:ascii="Garamond" w:eastAsia="Tahoma" w:hAnsi="Garamond"/>
              </w:rPr>
              <w:t>Nombre  de</w:t>
            </w:r>
            <w:proofErr w:type="gramEnd"/>
            <w:r w:rsidRPr="00094628">
              <w:rPr>
                <w:rFonts w:ascii="Garamond" w:eastAsia="Tahoma" w:hAnsi="Garamond"/>
              </w:rPr>
              <w:t xml:space="preserve"> </w:t>
            </w:r>
            <w:r w:rsidRPr="00094628">
              <w:rPr>
                <w:rFonts w:ascii="Garamond" w:hAnsi="Garamond"/>
              </w:rPr>
              <w:t xml:space="preserve"> plans de fermeture de sites exécutés dans les normes</w:t>
            </w:r>
          </w:p>
        </w:tc>
        <w:tc>
          <w:tcPr>
            <w:tcW w:w="993" w:type="dxa"/>
            <w:shd w:val="clear" w:color="auto" w:fill="auto"/>
          </w:tcPr>
          <w:p w14:paraId="5B22710C" w14:textId="77777777" w:rsidR="00144951" w:rsidRPr="00094628" w:rsidRDefault="00144951" w:rsidP="001731C1">
            <w:pPr>
              <w:rPr>
                <w:rFonts w:ascii="Garamond" w:hAnsi="Garamond"/>
              </w:rPr>
            </w:pPr>
          </w:p>
        </w:tc>
        <w:tc>
          <w:tcPr>
            <w:tcW w:w="567" w:type="dxa"/>
            <w:shd w:val="clear" w:color="auto" w:fill="auto"/>
          </w:tcPr>
          <w:p w14:paraId="5357AEDA"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65DBC4B3"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3B15E942"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2A267D6"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3B7654EF"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45A526A5" w14:textId="77777777" w:rsidR="00144951" w:rsidRPr="00094628" w:rsidRDefault="00144951" w:rsidP="001731C1">
            <w:pPr>
              <w:jc w:val="center"/>
              <w:rPr>
                <w:rFonts w:ascii="Garamond" w:hAnsi="Garamond"/>
              </w:rPr>
            </w:pPr>
          </w:p>
        </w:tc>
        <w:tc>
          <w:tcPr>
            <w:tcW w:w="709" w:type="dxa"/>
            <w:shd w:val="clear" w:color="auto" w:fill="auto"/>
          </w:tcPr>
          <w:p w14:paraId="6BC86F44" w14:textId="77777777" w:rsidR="00144951" w:rsidRPr="00094628" w:rsidRDefault="00144951" w:rsidP="001731C1">
            <w:pPr>
              <w:jc w:val="center"/>
              <w:rPr>
                <w:rFonts w:ascii="Garamond" w:hAnsi="Garamond"/>
              </w:rPr>
            </w:pPr>
          </w:p>
        </w:tc>
        <w:tc>
          <w:tcPr>
            <w:tcW w:w="1275" w:type="dxa"/>
            <w:shd w:val="clear" w:color="auto" w:fill="auto"/>
          </w:tcPr>
          <w:p w14:paraId="0361700E" w14:textId="77777777" w:rsidR="00144951" w:rsidRPr="00094628" w:rsidRDefault="00144951" w:rsidP="001731C1">
            <w:pPr>
              <w:jc w:val="center"/>
              <w:rPr>
                <w:rFonts w:ascii="Garamond" w:hAnsi="Garamond"/>
              </w:rPr>
            </w:pPr>
          </w:p>
        </w:tc>
        <w:tc>
          <w:tcPr>
            <w:tcW w:w="1134" w:type="dxa"/>
            <w:shd w:val="clear" w:color="auto" w:fill="auto"/>
          </w:tcPr>
          <w:p w14:paraId="4C146F60"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439FA96A" w14:textId="77777777" w:rsidTr="00144951">
        <w:tc>
          <w:tcPr>
            <w:tcW w:w="1588" w:type="dxa"/>
            <w:vMerge/>
            <w:shd w:val="clear" w:color="auto" w:fill="auto"/>
          </w:tcPr>
          <w:p w14:paraId="20E7DD2F" w14:textId="77777777" w:rsidR="00144951" w:rsidRPr="00094628" w:rsidRDefault="00144951" w:rsidP="001731C1">
            <w:pPr>
              <w:rPr>
                <w:rFonts w:ascii="Garamond" w:hAnsi="Garamond"/>
                <w:bCs/>
              </w:rPr>
            </w:pPr>
          </w:p>
        </w:tc>
        <w:tc>
          <w:tcPr>
            <w:tcW w:w="1701" w:type="dxa"/>
            <w:vMerge/>
            <w:shd w:val="clear" w:color="auto" w:fill="auto"/>
          </w:tcPr>
          <w:p w14:paraId="7A1D06B9" w14:textId="77777777" w:rsidR="00144951" w:rsidRPr="00094628" w:rsidRDefault="00144951" w:rsidP="001731C1">
            <w:pPr>
              <w:pStyle w:val="Titre2"/>
              <w:spacing w:after="120"/>
              <w:rPr>
                <w:rFonts w:ascii="Garamond" w:eastAsia="Calibri" w:hAnsi="Garamond"/>
                <w:b w:val="0"/>
                <w:bCs w:val="0"/>
                <w:color w:val="auto"/>
                <w:sz w:val="24"/>
                <w:szCs w:val="24"/>
                <w:lang w:eastAsia="en-US"/>
              </w:rPr>
            </w:pPr>
          </w:p>
        </w:tc>
        <w:tc>
          <w:tcPr>
            <w:tcW w:w="1134" w:type="dxa"/>
          </w:tcPr>
          <w:p w14:paraId="4697DF51" w14:textId="77777777" w:rsidR="00144951" w:rsidRPr="00094628" w:rsidRDefault="00144951" w:rsidP="001731C1">
            <w:pPr>
              <w:rPr>
                <w:rFonts w:ascii="Garamond" w:hAnsi="Garamond"/>
              </w:rPr>
            </w:pPr>
            <w:r w:rsidRPr="00094628">
              <w:rPr>
                <w:rFonts w:ascii="Garamond" w:hAnsi="Garamond"/>
              </w:rPr>
              <w:t xml:space="preserve">Des plans de lutte contre le VIH et autres </w:t>
            </w:r>
            <w:proofErr w:type="spellStart"/>
            <w:r w:rsidRPr="00094628">
              <w:rPr>
                <w:rFonts w:ascii="Garamond" w:hAnsi="Garamond"/>
              </w:rPr>
              <w:t>ISTs</w:t>
            </w:r>
            <w:proofErr w:type="spellEnd"/>
            <w:r w:rsidRPr="00094628">
              <w:rPr>
                <w:rFonts w:ascii="Garamond" w:hAnsi="Garamond"/>
              </w:rPr>
              <w:t xml:space="preserve"> sont mis en œuvre </w:t>
            </w:r>
          </w:p>
        </w:tc>
        <w:tc>
          <w:tcPr>
            <w:tcW w:w="1418" w:type="dxa"/>
            <w:shd w:val="clear" w:color="auto" w:fill="auto"/>
            <w:vAlign w:val="center"/>
          </w:tcPr>
          <w:p w14:paraId="4B5F06DC" w14:textId="77777777" w:rsidR="00144951" w:rsidRPr="00094628" w:rsidRDefault="00144951" w:rsidP="001731C1">
            <w:pPr>
              <w:spacing w:before="120" w:after="120"/>
              <w:rPr>
                <w:rFonts w:ascii="Garamond" w:hAnsi="Garamond"/>
              </w:rPr>
            </w:pPr>
            <w:r w:rsidRPr="00094628">
              <w:rPr>
                <w:rFonts w:ascii="Garamond" w:hAnsi="Garamond"/>
              </w:rPr>
              <w:t xml:space="preserve">Développer des plans d’actions de prévention et de prise en charge les questions de VIH et d’autres </w:t>
            </w:r>
            <w:proofErr w:type="spellStart"/>
            <w:r w:rsidRPr="00094628">
              <w:rPr>
                <w:rFonts w:ascii="Garamond" w:hAnsi="Garamond"/>
              </w:rPr>
              <w:t>ISTs</w:t>
            </w:r>
            <w:proofErr w:type="spellEnd"/>
          </w:p>
        </w:tc>
        <w:tc>
          <w:tcPr>
            <w:tcW w:w="1417" w:type="dxa"/>
            <w:shd w:val="clear" w:color="auto" w:fill="auto"/>
            <w:vAlign w:val="center"/>
          </w:tcPr>
          <w:p w14:paraId="1796F6FF" w14:textId="77777777" w:rsidR="00144951" w:rsidRPr="00094628" w:rsidRDefault="00144951" w:rsidP="001731C1">
            <w:pPr>
              <w:spacing w:before="120" w:after="120"/>
              <w:rPr>
                <w:rFonts w:ascii="Garamond" w:hAnsi="Garamond"/>
              </w:rPr>
            </w:pPr>
            <w:r w:rsidRPr="00094628">
              <w:rPr>
                <w:rFonts w:ascii="Garamond" w:hAnsi="Garamond"/>
              </w:rPr>
              <w:t xml:space="preserve">Nombre de plan de lutte contre le VIH et autres </w:t>
            </w:r>
            <w:proofErr w:type="spellStart"/>
            <w:r w:rsidRPr="00094628">
              <w:rPr>
                <w:rFonts w:ascii="Garamond" w:hAnsi="Garamond"/>
              </w:rPr>
              <w:t>ISTs</w:t>
            </w:r>
            <w:proofErr w:type="spellEnd"/>
            <w:r w:rsidRPr="00094628">
              <w:rPr>
                <w:rFonts w:ascii="Garamond" w:hAnsi="Garamond"/>
              </w:rPr>
              <w:t xml:space="preserve"> mis en œuvre </w:t>
            </w:r>
          </w:p>
        </w:tc>
        <w:tc>
          <w:tcPr>
            <w:tcW w:w="993" w:type="dxa"/>
            <w:shd w:val="clear" w:color="auto" w:fill="auto"/>
          </w:tcPr>
          <w:p w14:paraId="158E5CA5" w14:textId="77777777" w:rsidR="00144951" w:rsidRPr="00094628" w:rsidRDefault="00144951" w:rsidP="001731C1">
            <w:pPr>
              <w:rPr>
                <w:rFonts w:ascii="Garamond" w:hAnsi="Garamond"/>
              </w:rPr>
            </w:pPr>
            <w:r w:rsidRPr="00094628">
              <w:rPr>
                <w:rFonts w:ascii="Garamond" w:hAnsi="Garamond"/>
              </w:rPr>
              <w:t xml:space="preserve">Rapport d’activités des intervenants </w:t>
            </w:r>
          </w:p>
        </w:tc>
        <w:tc>
          <w:tcPr>
            <w:tcW w:w="567" w:type="dxa"/>
            <w:shd w:val="clear" w:color="auto" w:fill="auto"/>
          </w:tcPr>
          <w:p w14:paraId="1184EEC6"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33C8EAB0"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3DE023BA"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AC75C7A"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2D33A038"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30964D66" w14:textId="77777777" w:rsidR="00144951" w:rsidRPr="00094628" w:rsidRDefault="00144951" w:rsidP="001731C1">
            <w:pPr>
              <w:jc w:val="center"/>
              <w:rPr>
                <w:rFonts w:ascii="Garamond" w:hAnsi="Garamond"/>
              </w:rPr>
            </w:pPr>
          </w:p>
        </w:tc>
        <w:tc>
          <w:tcPr>
            <w:tcW w:w="709" w:type="dxa"/>
            <w:shd w:val="clear" w:color="auto" w:fill="auto"/>
          </w:tcPr>
          <w:p w14:paraId="11241FB8" w14:textId="77777777" w:rsidR="00144951" w:rsidRPr="00094628" w:rsidRDefault="00144951" w:rsidP="001731C1">
            <w:pPr>
              <w:jc w:val="center"/>
              <w:rPr>
                <w:rFonts w:ascii="Garamond" w:hAnsi="Garamond"/>
              </w:rPr>
            </w:pPr>
            <w:r w:rsidRPr="00094628">
              <w:rPr>
                <w:rFonts w:ascii="Garamond" w:hAnsi="Garamond"/>
              </w:rPr>
              <w:t>MSHP</w:t>
            </w:r>
          </w:p>
        </w:tc>
        <w:tc>
          <w:tcPr>
            <w:tcW w:w="1275" w:type="dxa"/>
            <w:shd w:val="clear" w:color="auto" w:fill="auto"/>
          </w:tcPr>
          <w:p w14:paraId="31E18B45" w14:textId="77777777" w:rsidR="00144951" w:rsidRPr="00094628" w:rsidRDefault="00144951" w:rsidP="001731C1">
            <w:pPr>
              <w:jc w:val="center"/>
              <w:rPr>
                <w:rFonts w:ascii="Garamond" w:hAnsi="Garamond"/>
              </w:rPr>
            </w:pPr>
            <w:r w:rsidRPr="00094628">
              <w:rPr>
                <w:rFonts w:ascii="Garamond" w:hAnsi="Garamond"/>
              </w:rPr>
              <w:t>MM/ Cellule VIH/SIDA</w:t>
            </w:r>
          </w:p>
        </w:tc>
        <w:tc>
          <w:tcPr>
            <w:tcW w:w="1134" w:type="dxa"/>
            <w:shd w:val="clear" w:color="auto" w:fill="auto"/>
          </w:tcPr>
          <w:p w14:paraId="34A89D19" w14:textId="77777777" w:rsidR="00144951" w:rsidRPr="00094628" w:rsidRDefault="00144951" w:rsidP="001731C1">
            <w:pPr>
              <w:rPr>
                <w:rFonts w:ascii="Garamond" w:hAnsi="Garamond"/>
              </w:rPr>
            </w:pPr>
            <w:r w:rsidRPr="00094628">
              <w:rPr>
                <w:rFonts w:ascii="Garamond" w:hAnsi="Garamond"/>
              </w:rPr>
              <w:t xml:space="preserve">BE, </w:t>
            </w:r>
            <w:proofErr w:type="spellStart"/>
            <w:r w:rsidRPr="00094628">
              <w:rPr>
                <w:rFonts w:ascii="Garamond" w:hAnsi="Garamond"/>
              </w:rPr>
              <w:t>PTFs</w:t>
            </w:r>
            <w:proofErr w:type="spellEnd"/>
            <w:r w:rsidRPr="00094628">
              <w:rPr>
                <w:rFonts w:ascii="Garamond" w:hAnsi="Garamond"/>
              </w:rPr>
              <w:t>, OSC</w:t>
            </w:r>
          </w:p>
        </w:tc>
      </w:tr>
      <w:tr w:rsidR="00144951" w:rsidRPr="00094628" w14:paraId="1A10DFA2" w14:textId="77777777" w:rsidTr="00144951">
        <w:tc>
          <w:tcPr>
            <w:tcW w:w="1588" w:type="dxa"/>
            <w:vMerge/>
            <w:shd w:val="clear" w:color="auto" w:fill="auto"/>
          </w:tcPr>
          <w:p w14:paraId="5F331F79" w14:textId="77777777" w:rsidR="00144951" w:rsidRPr="00094628" w:rsidRDefault="00144951" w:rsidP="001731C1">
            <w:pPr>
              <w:rPr>
                <w:rFonts w:ascii="Garamond" w:hAnsi="Garamond"/>
                <w:bCs/>
              </w:rPr>
            </w:pPr>
          </w:p>
        </w:tc>
        <w:tc>
          <w:tcPr>
            <w:tcW w:w="1701" w:type="dxa"/>
            <w:vMerge/>
            <w:shd w:val="clear" w:color="auto" w:fill="auto"/>
          </w:tcPr>
          <w:p w14:paraId="474B483D" w14:textId="77777777" w:rsidR="00144951" w:rsidRPr="00094628" w:rsidRDefault="00144951" w:rsidP="001731C1">
            <w:pPr>
              <w:pStyle w:val="Titre2"/>
              <w:spacing w:after="120"/>
              <w:rPr>
                <w:rFonts w:ascii="Garamond" w:eastAsia="Calibri" w:hAnsi="Garamond"/>
                <w:b w:val="0"/>
                <w:bCs w:val="0"/>
                <w:color w:val="auto"/>
                <w:sz w:val="24"/>
                <w:szCs w:val="24"/>
                <w:lang w:eastAsia="en-US"/>
              </w:rPr>
            </w:pPr>
          </w:p>
        </w:tc>
        <w:tc>
          <w:tcPr>
            <w:tcW w:w="1134" w:type="dxa"/>
          </w:tcPr>
          <w:p w14:paraId="2E1F197D" w14:textId="77777777" w:rsidR="00144951" w:rsidRPr="00094628" w:rsidRDefault="00144951" w:rsidP="001731C1">
            <w:pPr>
              <w:rPr>
                <w:rFonts w:ascii="Garamond" w:hAnsi="Garamond"/>
              </w:rPr>
            </w:pPr>
            <w:r w:rsidRPr="00094628">
              <w:rPr>
                <w:rFonts w:ascii="Garamond" w:hAnsi="Garamond"/>
              </w:rPr>
              <w:t xml:space="preserve">Le contrôle des flux de </w:t>
            </w:r>
            <w:r w:rsidRPr="00094628">
              <w:rPr>
                <w:rFonts w:ascii="Garamond" w:hAnsi="Garamond"/>
              </w:rPr>
              <w:lastRenderedPageBreak/>
              <w:t>migrants est assuré</w:t>
            </w:r>
          </w:p>
        </w:tc>
        <w:tc>
          <w:tcPr>
            <w:tcW w:w="1418" w:type="dxa"/>
            <w:vMerge w:val="restart"/>
            <w:shd w:val="clear" w:color="auto" w:fill="auto"/>
            <w:vAlign w:val="center"/>
          </w:tcPr>
          <w:p w14:paraId="7A219544" w14:textId="77777777" w:rsidR="00144951" w:rsidRPr="00094628" w:rsidRDefault="00144951" w:rsidP="001731C1">
            <w:pPr>
              <w:spacing w:before="120" w:after="120"/>
              <w:rPr>
                <w:rFonts w:ascii="Garamond" w:hAnsi="Garamond"/>
              </w:rPr>
            </w:pPr>
            <w:r w:rsidRPr="00094628">
              <w:rPr>
                <w:rFonts w:ascii="Garamond" w:hAnsi="Garamond"/>
              </w:rPr>
              <w:lastRenderedPageBreak/>
              <w:t xml:space="preserve">Assurer la sécurité des sites </w:t>
            </w:r>
            <w:r w:rsidRPr="00094628">
              <w:rPr>
                <w:rFonts w:ascii="Garamond" w:hAnsi="Garamond"/>
              </w:rPr>
              <w:lastRenderedPageBreak/>
              <w:t>d’exploitation minière</w:t>
            </w:r>
          </w:p>
        </w:tc>
        <w:tc>
          <w:tcPr>
            <w:tcW w:w="1417" w:type="dxa"/>
            <w:shd w:val="clear" w:color="auto" w:fill="auto"/>
            <w:vAlign w:val="center"/>
          </w:tcPr>
          <w:p w14:paraId="75684F21" w14:textId="77777777" w:rsidR="00144951" w:rsidRPr="00094628" w:rsidRDefault="00144951" w:rsidP="001731C1">
            <w:pPr>
              <w:spacing w:before="120" w:after="120"/>
              <w:rPr>
                <w:rFonts w:ascii="Garamond" w:hAnsi="Garamond"/>
              </w:rPr>
            </w:pPr>
            <w:r w:rsidRPr="00094628">
              <w:rPr>
                <w:rFonts w:ascii="Garamond" w:hAnsi="Garamond"/>
              </w:rPr>
              <w:lastRenderedPageBreak/>
              <w:t xml:space="preserve">Nombre de site faisant l’objet de </w:t>
            </w:r>
            <w:r w:rsidRPr="00094628">
              <w:rPr>
                <w:rFonts w:ascii="Garamond" w:hAnsi="Garamond"/>
              </w:rPr>
              <w:lastRenderedPageBreak/>
              <w:t>contrôle de flux</w:t>
            </w:r>
          </w:p>
        </w:tc>
        <w:tc>
          <w:tcPr>
            <w:tcW w:w="993" w:type="dxa"/>
            <w:shd w:val="clear" w:color="auto" w:fill="auto"/>
          </w:tcPr>
          <w:p w14:paraId="3DB0A7E3" w14:textId="77777777" w:rsidR="00144951" w:rsidRPr="00094628" w:rsidRDefault="00144951" w:rsidP="001731C1">
            <w:pPr>
              <w:rPr>
                <w:rFonts w:ascii="Garamond" w:hAnsi="Garamond"/>
              </w:rPr>
            </w:pPr>
            <w:r w:rsidRPr="00094628">
              <w:rPr>
                <w:rFonts w:ascii="Garamond" w:hAnsi="Garamond"/>
              </w:rPr>
              <w:lastRenderedPageBreak/>
              <w:t xml:space="preserve">Rapport d’activités </w:t>
            </w:r>
          </w:p>
        </w:tc>
        <w:tc>
          <w:tcPr>
            <w:tcW w:w="567" w:type="dxa"/>
            <w:shd w:val="clear" w:color="auto" w:fill="auto"/>
          </w:tcPr>
          <w:p w14:paraId="3D2595E4"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65F43147"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64136EBF"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588C7C30"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20851F5F"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2E114280" w14:textId="77777777" w:rsidR="00144951" w:rsidRPr="00094628" w:rsidRDefault="00144951" w:rsidP="001731C1">
            <w:pPr>
              <w:jc w:val="center"/>
              <w:rPr>
                <w:rFonts w:ascii="Garamond" w:hAnsi="Garamond"/>
              </w:rPr>
            </w:pPr>
          </w:p>
        </w:tc>
        <w:tc>
          <w:tcPr>
            <w:tcW w:w="709" w:type="dxa"/>
            <w:shd w:val="clear" w:color="auto" w:fill="auto"/>
          </w:tcPr>
          <w:p w14:paraId="6730EACF" w14:textId="77777777" w:rsidR="00144951" w:rsidRPr="00094628" w:rsidRDefault="00144951" w:rsidP="001731C1">
            <w:pPr>
              <w:rPr>
                <w:rFonts w:ascii="Garamond" w:hAnsi="Garamond"/>
              </w:rPr>
            </w:pPr>
            <w:r w:rsidRPr="00094628">
              <w:rPr>
                <w:rFonts w:ascii="Garamond" w:hAnsi="Garamond"/>
              </w:rPr>
              <w:t>MSPC</w:t>
            </w:r>
          </w:p>
        </w:tc>
        <w:tc>
          <w:tcPr>
            <w:tcW w:w="1275" w:type="dxa"/>
            <w:shd w:val="clear" w:color="auto" w:fill="auto"/>
          </w:tcPr>
          <w:p w14:paraId="5AACFDE2" w14:textId="77777777" w:rsidR="00144951" w:rsidRPr="00094628" w:rsidRDefault="00144951" w:rsidP="001731C1">
            <w:pPr>
              <w:jc w:val="center"/>
              <w:rPr>
                <w:rFonts w:ascii="Garamond" w:hAnsi="Garamond"/>
              </w:rPr>
            </w:pPr>
            <w:r w:rsidRPr="00094628">
              <w:rPr>
                <w:rFonts w:ascii="Garamond" w:hAnsi="Garamond"/>
              </w:rPr>
              <w:t>MM/MAT</w:t>
            </w:r>
          </w:p>
        </w:tc>
        <w:tc>
          <w:tcPr>
            <w:tcW w:w="1134" w:type="dxa"/>
            <w:shd w:val="clear" w:color="auto" w:fill="auto"/>
          </w:tcPr>
          <w:p w14:paraId="3994BC84"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68861D1D" w14:textId="77777777" w:rsidTr="00144951">
        <w:tc>
          <w:tcPr>
            <w:tcW w:w="1588" w:type="dxa"/>
            <w:vMerge/>
            <w:shd w:val="clear" w:color="auto" w:fill="auto"/>
          </w:tcPr>
          <w:p w14:paraId="14600EDD" w14:textId="77777777" w:rsidR="00144951" w:rsidRPr="00094628" w:rsidRDefault="00144951" w:rsidP="001731C1">
            <w:pPr>
              <w:rPr>
                <w:rFonts w:ascii="Garamond" w:hAnsi="Garamond"/>
                <w:bCs/>
              </w:rPr>
            </w:pPr>
          </w:p>
        </w:tc>
        <w:tc>
          <w:tcPr>
            <w:tcW w:w="1701" w:type="dxa"/>
            <w:vMerge/>
            <w:shd w:val="clear" w:color="auto" w:fill="auto"/>
          </w:tcPr>
          <w:p w14:paraId="4426F2ED" w14:textId="77777777" w:rsidR="00144951" w:rsidRPr="00094628" w:rsidRDefault="00144951" w:rsidP="001731C1">
            <w:pPr>
              <w:pStyle w:val="Titre2"/>
              <w:spacing w:after="120"/>
              <w:rPr>
                <w:rFonts w:ascii="Garamond" w:eastAsia="Calibri" w:hAnsi="Garamond"/>
                <w:b w:val="0"/>
                <w:bCs w:val="0"/>
                <w:color w:val="auto"/>
                <w:sz w:val="24"/>
                <w:szCs w:val="24"/>
                <w:lang w:eastAsia="en-US"/>
              </w:rPr>
            </w:pPr>
          </w:p>
        </w:tc>
        <w:tc>
          <w:tcPr>
            <w:tcW w:w="1134" w:type="dxa"/>
          </w:tcPr>
          <w:p w14:paraId="2542423E" w14:textId="77777777" w:rsidR="00144951" w:rsidRPr="00094628" w:rsidRDefault="00144951" w:rsidP="001731C1">
            <w:pPr>
              <w:rPr>
                <w:rFonts w:ascii="Garamond" w:hAnsi="Garamond"/>
              </w:rPr>
            </w:pPr>
            <w:r w:rsidRPr="00094628">
              <w:rPr>
                <w:rFonts w:ascii="Garamond" w:hAnsi="Garamond"/>
              </w:rPr>
              <w:t xml:space="preserve">Respect de l’interdiction de l’orpaillage pendant l’hivernage </w:t>
            </w:r>
          </w:p>
        </w:tc>
        <w:tc>
          <w:tcPr>
            <w:tcW w:w="1418" w:type="dxa"/>
            <w:vMerge/>
            <w:shd w:val="clear" w:color="auto" w:fill="auto"/>
            <w:vAlign w:val="center"/>
          </w:tcPr>
          <w:p w14:paraId="79F41DAF" w14:textId="77777777" w:rsidR="00144951" w:rsidRPr="00094628" w:rsidRDefault="00144951" w:rsidP="001731C1">
            <w:pPr>
              <w:spacing w:before="120" w:after="120"/>
              <w:ind w:right="72"/>
              <w:textAlignment w:val="baseline"/>
              <w:rPr>
                <w:rFonts w:ascii="Garamond" w:eastAsia="Tahoma" w:hAnsi="Garamond"/>
              </w:rPr>
            </w:pPr>
          </w:p>
        </w:tc>
        <w:tc>
          <w:tcPr>
            <w:tcW w:w="1417" w:type="dxa"/>
            <w:shd w:val="clear" w:color="auto" w:fill="auto"/>
            <w:vAlign w:val="center"/>
          </w:tcPr>
          <w:p w14:paraId="2523C89F" w14:textId="77777777" w:rsidR="00144951" w:rsidRPr="00094628" w:rsidRDefault="00144951" w:rsidP="001731C1">
            <w:pPr>
              <w:spacing w:before="120" w:after="120"/>
              <w:rPr>
                <w:rFonts w:ascii="Garamond" w:hAnsi="Garamond"/>
              </w:rPr>
            </w:pPr>
            <w:r w:rsidRPr="00094628">
              <w:rPr>
                <w:rFonts w:ascii="Garamond" w:hAnsi="Garamond"/>
              </w:rPr>
              <w:t xml:space="preserve">Nombre de site d’orpaillage respectant l’interdiction de l’orpaillage </w:t>
            </w:r>
          </w:p>
        </w:tc>
        <w:tc>
          <w:tcPr>
            <w:tcW w:w="993" w:type="dxa"/>
            <w:shd w:val="clear" w:color="auto" w:fill="auto"/>
          </w:tcPr>
          <w:p w14:paraId="68D453F3" w14:textId="77777777" w:rsidR="00144951" w:rsidRPr="00094628" w:rsidRDefault="00144951" w:rsidP="001731C1">
            <w:pPr>
              <w:rPr>
                <w:rFonts w:ascii="Garamond" w:hAnsi="Garamond"/>
              </w:rPr>
            </w:pPr>
            <w:r w:rsidRPr="00094628">
              <w:rPr>
                <w:rFonts w:ascii="Garamond" w:hAnsi="Garamond"/>
              </w:rPr>
              <w:t xml:space="preserve">Rapport d’activités </w:t>
            </w:r>
          </w:p>
        </w:tc>
        <w:tc>
          <w:tcPr>
            <w:tcW w:w="567" w:type="dxa"/>
            <w:shd w:val="clear" w:color="auto" w:fill="auto"/>
          </w:tcPr>
          <w:p w14:paraId="34A58977"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D975B31" w14:textId="77777777" w:rsidR="00144951" w:rsidRPr="00094628" w:rsidRDefault="00144951" w:rsidP="001731C1">
            <w:pPr>
              <w:jc w:val="center"/>
              <w:rPr>
                <w:rFonts w:ascii="Garamond" w:hAnsi="Garamond"/>
              </w:rPr>
            </w:pPr>
            <w:r w:rsidRPr="00094628">
              <w:rPr>
                <w:rFonts w:ascii="Garamond" w:hAnsi="Garamond"/>
              </w:rPr>
              <w:t>X</w:t>
            </w:r>
          </w:p>
        </w:tc>
        <w:tc>
          <w:tcPr>
            <w:tcW w:w="567" w:type="dxa"/>
            <w:shd w:val="clear" w:color="auto" w:fill="auto"/>
          </w:tcPr>
          <w:p w14:paraId="42925326"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028CA550" w14:textId="77777777" w:rsidR="00144951" w:rsidRPr="00094628" w:rsidRDefault="00144951" w:rsidP="001731C1">
            <w:pPr>
              <w:jc w:val="center"/>
              <w:rPr>
                <w:rFonts w:ascii="Garamond" w:hAnsi="Garamond"/>
              </w:rPr>
            </w:pPr>
            <w:r w:rsidRPr="00094628">
              <w:rPr>
                <w:rFonts w:ascii="Garamond" w:hAnsi="Garamond"/>
              </w:rPr>
              <w:t>X</w:t>
            </w:r>
          </w:p>
        </w:tc>
        <w:tc>
          <w:tcPr>
            <w:tcW w:w="425" w:type="dxa"/>
            <w:shd w:val="clear" w:color="auto" w:fill="auto"/>
          </w:tcPr>
          <w:p w14:paraId="68AE8CA2" w14:textId="77777777" w:rsidR="00144951" w:rsidRPr="00094628" w:rsidRDefault="00144951" w:rsidP="001731C1">
            <w:pPr>
              <w:jc w:val="center"/>
              <w:rPr>
                <w:rFonts w:ascii="Garamond" w:hAnsi="Garamond"/>
              </w:rPr>
            </w:pPr>
            <w:r w:rsidRPr="00094628">
              <w:rPr>
                <w:rFonts w:ascii="Garamond" w:hAnsi="Garamond"/>
              </w:rPr>
              <w:t>X</w:t>
            </w:r>
          </w:p>
        </w:tc>
        <w:tc>
          <w:tcPr>
            <w:tcW w:w="1276" w:type="dxa"/>
            <w:shd w:val="clear" w:color="auto" w:fill="auto"/>
          </w:tcPr>
          <w:p w14:paraId="0B5600E4" w14:textId="77777777" w:rsidR="00144951" w:rsidRPr="00094628" w:rsidRDefault="00144951" w:rsidP="001731C1">
            <w:pPr>
              <w:jc w:val="center"/>
              <w:rPr>
                <w:rFonts w:ascii="Garamond" w:hAnsi="Garamond"/>
              </w:rPr>
            </w:pPr>
          </w:p>
        </w:tc>
        <w:tc>
          <w:tcPr>
            <w:tcW w:w="709" w:type="dxa"/>
            <w:shd w:val="clear" w:color="auto" w:fill="auto"/>
          </w:tcPr>
          <w:p w14:paraId="7D6CF3BB" w14:textId="77777777" w:rsidR="00144951" w:rsidRPr="00094628" w:rsidRDefault="00144951" w:rsidP="001731C1">
            <w:pPr>
              <w:rPr>
                <w:rFonts w:ascii="Garamond" w:hAnsi="Garamond"/>
              </w:rPr>
            </w:pPr>
            <w:r w:rsidRPr="00094628">
              <w:rPr>
                <w:rFonts w:ascii="Garamond" w:hAnsi="Garamond"/>
              </w:rPr>
              <w:t>MSPC</w:t>
            </w:r>
          </w:p>
        </w:tc>
        <w:tc>
          <w:tcPr>
            <w:tcW w:w="1275" w:type="dxa"/>
            <w:shd w:val="clear" w:color="auto" w:fill="auto"/>
          </w:tcPr>
          <w:p w14:paraId="57CF4305" w14:textId="77777777" w:rsidR="00144951" w:rsidRPr="00094628" w:rsidRDefault="00144951" w:rsidP="001731C1">
            <w:pPr>
              <w:jc w:val="center"/>
              <w:rPr>
                <w:rFonts w:ascii="Garamond" w:hAnsi="Garamond"/>
              </w:rPr>
            </w:pPr>
            <w:r w:rsidRPr="00094628">
              <w:rPr>
                <w:rFonts w:ascii="Garamond" w:hAnsi="Garamond"/>
              </w:rPr>
              <w:t>MM/MAT</w:t>
            </w:r>
          </w:p>
        </w:tc>
        <w:tc>
          <w:tcPr>
            <w:tcW w:w="1134" w:type="dxa"/>
            <w:shd w:val="clear" w:color="auto" w:fill="auto"/>
          </w:tcPr>
          <w:p w14:paraId="454AFAD8" w14:textId="77777777" w:rsidR="00144951" w:rsidRPr="00094628" w:rsidRDefault="00144951" w:rsidP="001731C1">
            <w:pPr>
              <w:rPr>
                <w:rFonts w:ascii="Garamond" w:hAnsi="Garamond"/>
              </w:rPr>
            </w:pPr>
            <w:r w:rsidRPr="00094628">
              <w:rPr>
                <w:rFonts w:ascii="Garamond" w:hAnsi="Garamond"/>
              </w:rPr>
              <w:t>BE</w:t>
            </w:r>
          </w:p>
        </w:tc>
      </w:tr>
      <w:tr w:rsidR="00144951" w:rsidRPr="00094628" w14:paraId="008E0C0E" w14:textId="77777777" w:rsidTr="00144951">
        <w:tc>
          <w:tcPr>
            <w:tcW w:w="1588" w:type="dxa"/>
            <w:shd w:val="clear" w:color="auto" w:fill="auto"/>
          </w:tcPr>
          <w:p w14:paraId="7C17C9E8" w14:textId="77777777" w:rsidR="00144951" w:rsidRPr="00094628" w:rsidRDefault="00144951" w:rsidP="001731C1">
            <w:pPr>
              <w:rPr>
                <w:rFonts w:ascii="Garamond" w:hAnsi="Garamond"/>
                <w:bCs/>
              </w:rPr>
            </w:pPr>
            <w:r w:rsidRPr="00094628">
              <w:rPr>
                <w:rFonts w:ascii="Garamond" w:hAnsi="Garamond"/>
                <w:bCs/>
              </w:rPr>
              <w:t>TOTAL GENERAL</w:t>
            </w:r>
          </w:p>
        </w:tc>
        <w:tc>
          <w:tcPr>
            <w:tcW w:w="1701" w:type="dxa"/>
            <w:shd w:val="clear" w:color="auto" w:fill="auto"/>
          </w:tcPr>
          <w:p w14:paraId="37A9CA75" w14:textId="77777777" w:rsidR="00144951" w:rsidRPr="00094628" w:rsidRDefault="00144951" w:rsidP="001731C1">
            <w:pPr>
              <w:pStyle w:val="Titre2"/>
              <w:spacing w:after="120"/>
              <w:rPr>
                <w:rFonts w:ascii="Garamond" w:eastAsia="Calibri" w:hAnsi="Garamond"/>
                <w:b w:val="0"/>
                <w:bCs w:val="0"/>
                <w:color w:val="auto"/>
                <w:sz w:val="24"/>
                <w:szCs w:val="24"/>
                <w:lang w:eastAsia="en-US"/>
              </w:rPr>
            </w:pPr>
          </w:p>
        </w:tc>
        <w:tc>
          <w:tcPr>
            <w:tcW w:w="1134" w:type="dxa"/>
          </w:tcPr>
          <w:p w14:paraId="07C8CA0B" w14:textId="77777777" w:rsidR="00144951" w:rsidRPr="00094628" w:rsidRDefault="00144951" w:rsidP="001731C1">
            <w:pPr>
              <w:rPr>
                <w:rFonts w:ascii="Garamond" w:hAnsi="Garamond"/>
              </w:rPr>
            </w:pPr>
          </w:p>
        </w:tc>
        <w:tc>
          <w:tcPr>
            <w:tcW w:w="1418" w:type="dxa"/>
            <w:shd w:val="clear" w:color="auto" w:fill="auto"/>
            <w:vAlign w:val="center"/>
          </w:tcPr>
          <w:p w14:paraId="3CFBABD0" w14:textId="77777777" w:rsidR="00144951" w:rsidRPr="00094628" w:rsidRDefault="00144951" w:rsidP="001731C1">
            <w:pPr>
              <w:spacing w:before="120" w:after="120"/>
              <w:ind w:right="72"/>
              <w:textAlignment w:val="baseline"/>
              <w:rPr>
                <w:rFonts w:ascii="Garamond" w:eastAsia="Tahoma" w:hAnsi="Garamond"/>
              </w:rPr>
            </w:pPr>
          </w:p>
        </w:tc>
        <w:tc>
          <w:tcPr>
            <w:tcW w:w="1417" w:type="dxa"/>
            <w:shd w:val="clear" w:color="auto" w:fill="auto"/>
            <w:vAlign w:val="center"/>
          </w:tcPr>
          <w:p w14:paraId="1DFB1DA9" w14:textId="77777777" w:rsidR="00144951" w:rsidRPr="00094628" w:rsidRDefault="00144951" w:rsidP="001731C1">
            <w:pPr>
              <w:spacing w:before="120" w:after="120"/>
              <w:rPr>
                <w:rFonts w:ascii="Garamond" w:hAnsi="Garamond"/>
              </w:rPr>
            </w:pPr>
          </w:p>
        </w:tc>
        <w:tc>
          <w:tcPr>
            <w:tcW w:w="993" w:type="dxa"/>
            <w:shd w:val="clear" w:color="auto" w:fill="auto"/>
          </w:tcPr>
          <w:p w14:paraId="45ADA0BB" w14:textId="77777777" w:rsidR="00144951" w:rsidRPr="00094628" w:rsidRDefault="00144951" w:rsidP="001731C1">
            <w:pPr>
              <w:rPr>
                <w:rFonts w:ascii="Garamond" w:hAnsi="Garamond"/>
              </w:rPr>
            </w:pPr>
          </w:p>
        </w:tc>
        <w:tc>
          <w:tcPr>
            <w:tcW w:w="567" w:type="dxa"/>
            <w:shd w:val="clear" w:color="auto" w:fill="auto"/>
          </w:tcPr>
          <w:p w14:paraId="30FBF296" w14:textId="77777777" w:rsidR="00144951" w:rsidRPr="00094628" w:rsidRDefault="00144951" w:rsidP="001731C1">
            <w:pPr>
              <w:jc w:val="center"/>
              <w:rPr>
                <w:rFonts w:ascii="Garamond" w:hAnsi="Garamond"/>
              </w:rPr>
            </w:pPr>
          </w:p>
        </w:tc>
        <w:tc>
          <w:tcPr>
            <w:tcW w:w="567" w:type="dxa"/>
            <w:shd w:val="clear" w:color="auto" w:fill="auto"/>
          </w:tcPr>
          <w:p w14:paraId="4C96375D" w14:textId="77777777" w:rsidR="00144951" w:rsidRPr="00094628" w:rsidRDefault="00144951" w:rsidP="001731C1">
            <w:pPr>
              <w:jc w:val="center"/>
              <w:rPr>
                <w:rFonts w:ascii="Garamond" w:hAnsi="Garamond"/>
              </w:rPr>
            </w:pPr>
          </w:p>
        </w:tc>
        <w:tc>
          <w:tcPr>
            <w:tcW w:w="567" w:type="dxa"/>
            <w:shd w:val="clear" w:color="auto" w:fill="auto"/>
          </w:tcPr>
          <w:p w14:paraId="39D6C094" w14:textId="77777777" w:rsidR="00144951" w:rsidRPr="00094628" w:rsidRDefault="00144951" w:rsidP="001731C1">
            <w:pPr>
              <w:jc w:val="center"/>
              <w:rPr>
                <w:rFonts w:ascii="Garamond" w:hAnsi="Garamond"/>
              </w:rPr>
            </w:pPr>
          </w:p>
        </w:tc>
        <w:tc>
          <w:tcPr>
            <w:tcW w:w="425" w:type="dxa"/>
            <w:shd w:val="clear" w:color="auto" w:fill="auto"/>
          </w:tcPr>
          <w:p w14:paraId="7EA6C6C7" w14:textId="77777777" w:rsidR="00144951" w:rsidRPr="00094628" w:rsidRDefault="00144951" w:rsidP="001731C1">
            <w:pPr>
              <w:jc w:val="center"/>
              <w:rPr>
                <w:rFonts w:ascii="Garamond" w:hAnsi="Garamond"/>
              </w:rPr>
            </w:pPr>
          </w:p>
        </w:tc>
        <w:tc>
          <w:tcPr>
            <w:tcW w:w="425" w:type="dxa"/>
            <w:shd w:val="clear" w:color="auto" w:fill="auto"/>
          </w:tcPr>
          <w:p w14:paraId="5F24B867" w14:textId="77777777" w:rsidR="00144951" w:rsidRPr="00094628" w:rsidRDefault="00144951" w:rsidP="001731C1">
            <w:pPr>
              <w:jc w:val="center"/>
              <w:rPr>
                <w:rFonts w:ascii="Garamond" w:hAnsi="Garamond"/>
              </w:rPr>
            </w:pPr>
          </w:p>
        </w:tc>
        <w:tc>
          <w:tcPr>
            <w:tcW w:w="1276" w:type="dxa"/>
            <w:shd w:val="clear" w:color="auto" w:fill="auto"/>
          </w:tcPr>
          <w:p w14:paraId="1EC327DA" w14:textId="77777777" w:rsidR="00144951" w:rsidRPr="00094628" w:rsidRDefault="00144951" w:rsidP="001731C1">
            <w:pPr>
              <w:jc w:val="center"/>
              <w:rPr>
                <w:rFonts w:ascii="Garamond" w:hAnsi="Garamond"/>
              </w:rPr>
            </w:pPr>
            <w:r w:rsidRPr="00094628">
              <w:rPr>
                <w:rFonts w:ascii="Garamond" w:hAnsi="Garamond"/>
              </w:rPr>
              <w:t>148.000</w:t>
            </w:r>
          </w:p>
        </w:tc>
        <w:tc>
          <w:tcPr>
            <w:tcW w:w="709" w:type="dxa"/>
            <w:shd w:val="clear" w:color="auto" w:fill="auto"/>
          </w:tcPr>
          <w:p w14:paraId="3FDCA745" w14:textId="77777777" w:rsidR="00144951" w:rsidRPr="00094628" w:rsidRDefault="00144951" w:rsidP="001731C1">
            <w:pPr>
              <w:jc w:val="center"/>
              <w:rPr>
                <w:rFonts w:ascii="Garamond" w:hAnsi="Garamond"/>
              </w:rPr>
            </w:pPr>
          </w:p>
        </w:tc>
        <w:tc>
          <w:tcPr>
            <w:tcW w:w="1275" w:type="dxa"/>
            <w:shd w:val="clear" w:color="auto" w:fill="auto"/>
          </w:tcPr>
          <w:p w14:paraId="0F09CA13" w14:textId="77777777" w:rsidR="00144951" w:rsidRPr="00094628" w:rsidRDefault="00144951" w:rsidP="001731C1">
            <w:pPr>
              <w:jc w:val="center"/>
              <w:rPr>
                <w:rFonts w:ascii="Garamond" w:hAnsi="Garamond"/>
              </w:rPr>
            </w:pPr>
          </w:p>
        </w:tc>
        <w:tc>
          <w:tcPr>
            <w:tcW w:w="1134" w:type="dxa"/>
            <w:shd w:val="clear" w:color="auto" w:fill="auto"/>
          </w:tcPr>
          <w:p w14:paraId="059A03BD" w14:textId="77777777" w:rsidR="00144951" w:rsidRPr="00094628" w:rsidRDefault="00144951" w:rsidP="001731C1">
            <w:pPr>
              <w:jc w:val="center"/>
              <w:rPr>
                <w:rFonts w:ascii="Garamond" w:hAnsi="Garamond"/>
              </w:rPr>
            </w:pPr>
          </w:p>
        </w:tc>
      </w:tr>
    </w:tbl>
    <w:p w14:paraId="647136DF" w14:textId="77777777" w:rsidR="00144951" w:rsidRPr="00D450B8" w:rsidRDefault="00144951" w:rsidP="00144951">
      <w:pPr>
        <w:jc w:val="center"/>
      </w:pPr>
    </w:p>
    <w:p w14:paraId="6652F548" w14:textId="77777777" w:rsidR="00144951" w:rsidRPr="00D450B8" w:rsidRDefault="00144951" w:rsidP="00144951"/>
    <w:p w14:paraId="38A546F6" w14:textId="31496B2A" w:rsidR="00144951" w:rsidRDefault="00144951" w:rsidP="009C33F9">
      <w:pPr>
        <w:autoSpaceDE w:val="0"/>
        <w:autoSpaceDN w:val="0"/>
        <w:adjustRightInd w:val="0"/>
        <w:spacing w:line="360" w:lineRule="auto"/>
        <w:jc w:val="both"/>
      </w:pPr>
    </w:p>
    <w:p w14:paraId="29F178A8" w14:textId="2FAE8300" w:rsidR="009C33F9" w:rsidRDefault="009C33F9" w:rsidP="009C33F9">
      <w:pPr>
        <w:autoSpaceDE w:val="0"/>
        <w:autoSpaceDN w:val="0"/>
        <w:adjustRightInd w:val="0"/>
        <w:spacing w:line="360" w:lineRule="auto"/>
        <w:jc w:val="both"/>
      </w:pPr>
    </w:p>
    <w:p w14:paraId="54E452CB" w14:textId="56490DA3" w:rsidR="009C33F9" w:rsidRDefault="009C33F9" w:rsidP="009C33F9">
      <w:pPr>
        <w:autoSpaceDE w:val="0"/>
        <w:autoSpaceDN w:val="0"/>
        <w:adjustRightInd w:val="0"/>
        <w:spacing w:line="360" w:lineRule="auto"/>
        <w:jc w:val="both"/>
      </w:pPr>
    </w:p>
    <w:p w14:paraId="4B9D0287" w14:textId="6176C67D" w:rsidR="009C33F9" w:rsidRDefault="009C33F9" w:rsidP="009C33F9">
      <w:pPr>
        <w:autoSpaceDE w:val="0"/>
        <w:autoSpaceDN w:val="0"/>
        <w:adjustRightInd w:val="0"/>
        <w:spacing w:line="360" w:lineRule="auto"/>
        <w:jc w:val="both"/>
      </w:pPr>
    </w:p>
    <w:p w14:paraId="24A99443" w14:textId="18A98291" w:rsidR="009C33F9" w:rsidRDefault="009C33F9" w:rsidP="009C33F9">
      <w:pPr>
        <w:autoSpaceDE w:val="0"/>
        <w:autoSpaceDN w:val="0"/>
        <w:adjustRightInd w:val="0"/>
        <w:spacing w:line="360" w:lineRule="auto"/>
        <w:jc w:val="both"/>
      </w:pPr>
    </w:p>
    <w:p w14:paraId="3A02BF4E" w14:textId="1671E9E2" w:rsidR="009C33F9" w:rsidRDefault="009C33F9" w:rsidP="009C33F9">
      <w:pPr>
        <w:autoSpaceDE w:val="0"/>
        <w:autoSpaceDN w:val="0"/>
        <w:adjustRightInd w:val="0"/>
        <w:spacing w:line="360" w:lineRule="auto"/>
        <w:jc w:val="both"/>
      </w:pPr>
    </w:p>
    <w:p w14:paraId="2B262EB6" w14:textId="72DACB04" w:rsidR="009C33F9" w:rsidRDefault="009C33F9" w:rsidP="009C33F9">
      <w:pPr>
        <w:autoSpaceDE w:val="0"/>
        <w:autoSpaceDN w:val="0"/>
        <w:adjustRightInd w:val="0"/>
        <w:spacing w:line="360" w:lineRule="auto"/>
        <w:jc w:val="both"/>
      </w:pPr>
    </w:p>
    <w:p w14:paraId="4EAB3C8F" w14:textId="1A3F0734" w:rsidR="009C33F9" w:rsidRDefault="009C33F9" w:rsidP="009C33F9">
      <w:pPr>
        <w:autoSpaceDE w:val="0"/>
        <w:autoSpaceDN w:val="0"/>
        <w:adjustRightInd w:val="0"/>
        <w:spacing w:line="360" w:lineRule="auto"/>
        <w:jc w:val="both"/>
      </w:pPr>
    </w:p>
    <w:tbl>
      <w:tblPr>
        <w:tblW w:w="15309" w:type="dxa"/>
        <w:tblInd w:w="-1134" w:type="dxa"/>
        <w:tblCellMar>
          <w:left w:w="70" w:type="dxa"/>
          <w:right w:w="70" w:type="dxa"/>
        </w:tblCellMar>
        <w:tblLook w:val="04A0" w:firstRow="1" w:lastRow="0" w:firstColumn="1" w:lastColumn="0" w:noHBand="0" w:noVBand="1"/>
      </w:tblPr>
      <w:tblGrid>
        <w:gridCol w:w="1708"/>
        <w:gridCol w:w="1619"/>
        <w:gridCol w:w="1067"/>
        <w:gridCol w:w="1359"/>
        <w:gridCol w:w="1418"/>
        <w:gridCol w:w="1109"/>
        <w:gridCol w:w="1365"/>
        <w:gridCol w:w="1360"/>
        <w:gridCol w:w="1044"/>
        <w:gridCol w:w="986"/>
        <w:gridCol w:w="1112"/>
        <w:gridCol w:w="1162"/>
      </w:tblGrid>
      <w:tr w:rsidR="001731C1" w:rsidRPr="007248A4" w14:paraId="6C3D4F4E" w14:textId="77777777" w:rsidTr="002607E5">
        <w:trPr>
          <w:trHeight w:val="938"/>
        </w:trPr>
        <w:tc>
          <w:tcPr>
            <w:tcW w:w="15309" w:type="dxa"/>
            <w:gridSpan w:val="12"/>
            <w:tcBorders>
              <w:top w:val="nil"/>
              <w:left w:val="nil"/>
              <w:bottom w:val="single" w:sz="4" w:space="0" w:color="auto"/>
              <w:right w:val="nil"/>
            </w:tcBorders>
            <w:shd w:val="clear" w:color="auto" w:fill="auto"/>
            <w:vAlign w:val="center"/>
            <w:hideMark/>
          </w:tcPr>
          <w:p w14:paraId="37A912A7" w14:textId="77777777" w:rsidR="001731C1" w:rsidRPr="007248A4" w:rsidRDefault="001731C1" w:rsidP="001731C1">
            <w:pPr>
              <w:jc w:val="center"/>
              <w:rPr>
                <w:rFonts w:ascii="Arial" w:hAnsi="Arial" w:cs="Arial"/>
                <w:b/>
                <w:bCs/>
                <w:sz w:val="18"/>
                <w:szCs w:val="18"/>
              </w:rPr>
            </w:pPr>
            <w:bookmarkStart w:id="23" w:name="RANGE!B2:M47"/>
            <w:r w:rsidRPr="007248A4">
              <w:rPr>
                <w:rFonts w:ascii="Arial" w:hAnsi="Arial" w:cs="Arial"/>
                <w:b/>
                <w:bCs/>
                <w:sz w:val="18"/>
                <w:szCs w:val="18"/>
              </w:rPr>
              <w:lastRenderedPageBreak/>
              <w:t xml:space="preserve">PLAN D'ACTIONS BUDGETISE PAR BAILLEURS DE FONDS (les chiffres sont en milliers de francs CFA) </w:t>
            </w:r>
            <w:bookmarkEnd w:id="23"/>
          </w:p>
        </w:tc>
      </w:tr>
      <w:tr w:rsidR="001731C1" w:rsidRPr="007248A4" w14:paraId="121A6E3F" w14:textId="77777777" w:rsidTr="002607E5">
        <w:trPr>
          <w:trHeight w:val="810"/>
        </w:trPr>
        <w:tc>
          <w:tcPr>
            <w:tcW w:w="1708" w:type="dxa"/>
            <w:vMerge w:val="restart"/>
            <w:tcBorders>
              <w:top w:val="nil"/>
              <w:left w:val="single" w:sz="4" w:space="0" w:color="auto"/>
              <w:bottom w:val="single" w:sz="4" w:space="0" w:color="auto"/>
              <w:right w:val="single" w:sz="4" w:space="0" w:color="auto"/>
            </w:tcBorders>
            <w:shd w:val="clear" w:color="auto" w:fill="auto"/>
            <w:vAlign w:val="center"/>
            <w:hideMark/>
          </w:tcPr>
          <w:p w14:paraId="07185DD9" w14:textId="77777777" w:rsidR="001731C1" w:rsidRPr="007248A4" w:rsidRDefault="001731C1" w:rsidP="001731C1">
            <w:pPr>
              <w:rPr>
                <w:rFonts w:ascii="Arial" w:hAnsi="Arial" w:cs="Arial"/>
                <w:sz w:val="18"/>
                <w:szCs w:val="18"/>
              </w:rPr>
            </w:pPr>
            <w:r w:rsidRPr="007248A4">
              <w:rPr>
                <w:rFonts w:ascii="Arial" w:hAnsi="Arial" w:cs="Arial"/>
                <w:sz w:val="18"/>
                <w:szCs w:val="18"/>
              </w:rPr>
              <w:t>AXES STRATEGIQUES</w:t>
            </w:r>
          </w:p>
        </w:tc>
        <w:tc>
          <w:tcPr>
            <w:tcW w:w="1619" w:type="dxa"/>
            <w:vMerge w:val="restart"/>
            <w:tcBorders>
              <w:top w:val="nil"/>
              <w:left w:val="single" w:sz="4" w:space="0" w:color="auto"/>
              <w:bottom w:val="single" w:sz="4" w:space="0" w:color="auto"/>
              <w:right w:val="single" w:sz="4" w:space="0" w:color="auto"/>
            </w:tcBorders>
            <w:shd w:val="clear" w:color="auto" w:fill="auto"/>
            <w:vAlign w:val="center"/>
            <w:hideMark/>
          </w:tcPr>
          <w:p w14:paraId="4CD500B5"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ACTIONS PREVUES </w:t>
            </w:r>
          </w:p>
        </w:tc>
        <w:tc>
          <w:tcPr>
            <w:tcW w:w="1067" w:type="dxa"/>
            <w:tcBorders>
              <w:top w:val="nil"/>
              <w:left w:val="nil"/>
              <w:bottom w:val="single" w:sz="4" w:space="0" w:color="auto"/>
              <w:right w:val="single" w:sz="4" w:space="0" w:color="auto"/>
            </w:tcBorders>
            <w:shd w:val="clear" w:color="auto" w:fill="auto"/>
            <w:vAlign w:val="center"/>
            <w:hideMark/>
          </w:tcPr>
          <w:p w14:paraId="2289066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Coût  </w:t>
            </w:r>
          </w:p>
        </w:tc>
        <w:tc>
          <w:tcPr>
            <w:tcW w:w="5251" w:type="dxa"/>
            <w:gridSpan w:val="4"/>
            <w:tcBorders>
              <w:top w:val="single" w:sz="4" w:space="0" w:color="auto"/>
              <w:left w:val="nil"/>
              <w:bottom w:val="single" w:sz="4" w:space="0" w:color="auto"/>
              <w:right w:val="single" w:sz="4" w:space="0" w:color="auto"/>
            </w:tcBorders>
            <w:shd w:val="clear" w:color="auto" w:fill="auto"/>
            <w:vAlign w:val="center"/>
            <w:hideMark/>
          </w:tcPr>
          <w:p w14:paraId="7DC797C6" w14:textId="77777777" w:rsidR="001731C1" w:rsidRPr="007248A4" w:rsidRDefault="001731C1" w:rsidP="001731C1">
            <w:pPr>
              <w:jc w:val="center"/>
              <w:rPr>
                <w:rFonts w:ascii="Arial" w:hAnsi="Arial" w:cs="Arial"/>
                <w:b/>
                <w:bCs/>
                <w:sz w:val="18"/>
                <w:szCs w:val="18"/>
              </w:rPr>
            </w:pPr>
            <w:r w:rsidRPr="007248A4">
              <w:rPr>
                <w:rFonts w:ascii="Arial" w:hAnsi="Arial" w:cs="Arial"/>
                <w:b/>
                <w:bCs/>
                <w:sz w:val="18"/>
                <w:szCs w:val="18"/>
              </w:rPr>
              <w:t xml:space="preserve">Financement acquis </w:t>
            </w:r>
          </w:p>
        </w:tc>
        <w:tc>
          <w:tcPr>
            <w:tcW w:w="5664" w:type="dxa"/>
            <w:gridSpan w:val="5"/>
            <w:tcBorders>
              <w:top w:val="single" w:sz="4" w:space="0" w:color="auto"/>
              <w:left w:val="nil"/>
              <w:bottom w:val="single" w:sz="4" w:space="0" w:color="auto"/>
              <w:right w:val="single" w:sz="4" w:space="0" w:color="auto"/>
            </w:tcBorders>
            <w:shd w:val="clear" w:color="auto" w:fill="auto"/>
            <w:vAlign w:val="center"/>
            <w:hideMark/>
          </w:tcPr>
          <w:p w14:paraId="6D167885" w14:textId="77777777" w:rsidR="001731C1" w:rsidRPr="007248A4" w:rsidRDefault="001731C1" w:rsidP="001731C1">
            <w:pPr>
              <w:jc w:val="center"/>
              <w:rPr>
                <w:rFonts w:ascii="Arial" w:hAnsi="Arial" w:cs="Arial"/>
                <w:b/>
                <w:bCs/>
                <w:sz w:val="18"/>
                <w:szCs w:val="18"/>
              </w:rPr>
            </w:pPr>
            <w:r w:rsidRPr="007248A4">
              <w:rPr>
                <w:rFonts w:ascii="Arial" w:hAnsi="Arial" w:cs="Arial"/>
                <w:b/>
                <w:bCs/>
                <w:sz w:val="18"/>
                <w:szCs w:val="18"/>
              </w:rPr>
              <w:t>Financement à rechercher</w:t>
            </w:r>
          </w:p>
        </w:tc>
      </w:tr>
      <w:tr w:rsidR="007248A4" w:rsidRPr="007248A4" w14:paraId="18EB3533" w14:textId="77777777" w:rsidTr="002607E5">
        <w:trPr>
          <w:trHeight w:val="683"/>
        </w:trPr>
        <w:tc>
          <w:tcPr>
            <w:tcW w:w="1708" w:type="dxa"/>
            <w:vMerge/>
            <w:tcBorders>
              <w:top w:val="nil"/>
              <w:left w:val="single" w:sz="4" w:space="0" w:color="auto"/>
              <w:bottom w:val="single" w:sz="4" w:space="0" w:color="auto"/>
              <w:right w:val="single" w:sz="4" w:space="0" w:color="auto"/>
            </w:tcBorders>
            <w:vAlign w:val="center"/>
            <w:hideMark/>
          </w:tcPr>
          <w:p w14:paraId="1B0417F8" w14:textId="77777777" w:rsidR="001731C1" w:rsidRPr="007248A4" w:rsidRDefault="001731C1" w:rsidP="001731C1">
            <w:pPr>
              <w:rPr>
                <w:rFonts w:ascii="Arial" w:hAnsi="Arial" w:cs="Arial"/>
                <w:sz w:val="18"/>
                <w:szCs w:val="18"/>
              </w:rPr>
            </w:pPr>
          </w:p>
        </w:tc>
        <w:tc>
          <w:tcPr>
            <w:tcW w:w="1619" w:type="dxa"/>
            <w:vMerge/>
            <w:tcBorders>
              <w:top w:val="nil"/>
              <w:left w:val="single" w:sz="4" w:space="0" w:color="auto"/>
              <w:bottom w:val="single" w:sz="4" w:space="0" w:color="auto"/>
              <w:right w:val="single" w:sz="4" w:space="0" w:color="auto"/>
            </w:tcBorders>
            <w:vAlign w:val="center"/>
            <w:hideMark/>
          </w:tcPr>
          <w:p w14:paraId="07183799" w14:textId="77777777" w:rsidR="001731C1" w:rsidRPr="007248A4" w:rsidRDefault="001731C1" w:rsidP="001731C1">
            <w:pPr>
              <w:rPr>
                <w:rFonts w:ascii="Arial" w:hAnsi="Arial" w:cs="Arial"/>
                <w:sz w:val="18"/>
                <w:szCs w:val="18"/>
              </w:rPr>
            </w:pPr>
          </w:p>
        </w:tc>
        <w:tc>
          <w:tcPr>
            <w:tcW w:w="1067" w:type="dxa"/>
            <w:tcBorders>
              <w:top w:val="nil"/>
              <w:left w:val="nil"/>
              <w:bottom w:val="single" w:sz="4" w:space="0" w:color="auto"/>
              <w:right w:val="single" w:sz="4" w:space="0" w:color="auto"/>
            </w:tcBorders>
            <w:shd w:val="clear" w:color="auto" w:fill="auto"/>
            <w:vAlign w:val="center"/>
            <w:hideMark/>
          </w:tcPr>
          <w:p w14:paraId="4719AC64"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59" w:type="dxa"/>
            <w:tcBorders>
              <w:top w:val="nil"/>
              <w:left w:val="nil"/>
              <w:bottom w:val="single" w:sz="4" w:space="0" w:color="auto"/>
              <w:right w:val="single" w:sz="4" w:space="0" w:color="auto"/>
            </w:tcBorders>
            <w:shd w:val="clear" w:color="auto" w:fill="auto"/>
            <w:vAlign w:val="center"/>
            <w:hideMark/>
          </w:tcPr>
          <w:p w14:paraId="3EF760EE" w14:textId="77777777" w:rsidR="001731C1" w:rsidRPr="007248A4" w:rsidRDefault="001731C1" w:rsidP="001731C1">
            <w:pPr>
              <w:rPr>
                <w:rFonts w:ascii="Arial" w:hAnsi="Arial" w:cs="Arial"/>
                <w:sz w:val="18"/>
                <w:szCs w:val="18"/>
              </w:rPr>
            </w:pPr>
            <w:r w:rsidRPr="007248A4">
              <w:rPr>
                <w:rFonts w:ascii="Arial" w:hAnsi="Arial" w:cs="Arial"/>
                <w:sz w:val="18"/>
                <w:szCs w:val="18"/>
              </w:rPr>
              <w:t>Etat</w:t>
            </w:r>
          </w:p>
        </w:tc>
        <w:tc>
          <w:tcPr>
            <w:tcW w:w="1418" w:type="dxa"/>
            <w:tcBorders>
              <w:top w:val="nil"/>
              <w:left w:val="nil"/>
              <w:bottom w:val="single" w:sz="4" w:space="0" w:color="auto"/>
              <w:right w:val="single" w:sz="4" w:space="0" w:color="auto"/>
            </w:tcBorders>
            <w:shd w:val="clear" w:color="auto" w:fill="auto"/>
            <w:vAlign w:val="center"/>
            <w:hideMark/>
          </w:tcPr>
          <w:p w14:paraId="334E53D1" w14:textId="77777777" w:rsidR="001731C1" w:rsidRPr="007248A4" w:rsidRDefault="001731C1" w:rsidP="001731C1">
            <w:pPr>
              <w:rPr>
                <w:rFonts w:ascii="Arial" w:hAnsi="Arial" w:cs="Arial"/>
                <w:sz w:val="18"/>
                <w:szCs w:val="18"/>
              </w:rPr>
            </w:pPr>
            <w:proofErr w:type="spellStart"/>
            <w:r w:rsidRPr="007248A4">
              <w:rPr>
                <w:rFonts w:ascii="Arial" w:hAnsi="Arial" w:cs="Arial"/>
                <w:sz w:val="18"/>
                <w:szCs w:val="18"/>
              </w:rPr>
              <w:t>PTFs</w:t>
            </w:r>
            <w:proofErr w:type="spellEnd"/>
          </w:p>
        </w:tc>
        <w:tc>
          <w:tcPr>
            <w:tcW w:w="1109" w:type="dxa"/>
            <w:tcBorders>
              <w:top w:val="nil"/>
              <w:left w:val="nil"/>
              <w:bottom w:val="single" w:sz="4" w:space="0" w:color="auto"/>
              <w:right w:val="single" w:sz="4" w:space="0" w:color="auto"/>
            </w:tcBorders>
            <w:shd w:val="clear" w:color="auto" w:fill="auto"/>
            <w:vAlign w:val="center"/>
            <w:hideMark/>
          </w:tcPr>
          <w:p w14:paraId="5EF24C18" w14:textId="77777777" w:rsidR="001731C1" w:rsidRPr="007248A4" w:rsidRDefault="001731C1" w:rsidP="001731C1">
            <w:pPr>
              <w:rPr>
                <w:rFonts w:ascii="Arial" w:hAnsi="Arial" w:cs="Arial"/>
                <w:sz w:val="18"/>
                <w:szCs w:val="18"/>
              </w:rPr>
            </w:pPr>
            <w:r w:rsidRPr="007248A4">
              <w:rPr>
                <w:rFonts w:ascii="Arial" w:hAnsi="Arial" w:cs="Arial"/>
                <w:sz w:val="18"/>
                <w:szCs w:val="18"/>
              </w:rPr>
              <w:t>PRIVE</w:t>
            </w:r>
          </w:p>
        </w:tc>
        <w:tc>
          <w:tcPr>
            <w:tcW w:w="1365" w:type="dxa"/>
            <w:tcBorders>
              <w:top w:val="nil"/>
              <w:left w:val="nil"/>
              <w:bottom w:val="single" w:sz="4" w:space="0" w:color="auto"/>
              <w:right w:val="single" w:sz="4" w:space="0" w:color="auto"/>
            </w:tcBorders>
            <w:shd w:val="clear" w:color="auto" w:fill="auto"/>
            <w:vAlign w:val="center"/>
            <w:hideMark/>
          </w:tcPr>
          <w:p w14:paraId="105E2663" w14:textId="77777777" w:rsidR="001731C1" w:rsidRPr="007248A4" w:rsidRDefault="001731C1" w:rsidP="001731C1">
            <w:pPr>
              <w:rPr>
                <w:rFonts w:ascii="Arial" w:hAnsi="Arial" w:cs="Arial"/>
                <w:sz w:val="18"/>
                <w:szCs w:val="18"/>
              </w:rPr>
            </w:pPr>
            <w:r w:rsidRPr="007248A4">
              <w:rPr>
                <w:rFonts w:ascii="Arial" w:hAnsi="Arial" w:cs="Arial"/>
                <w:sz w:val="18"/>
                <w:szCs w:val="18"/>
              </w:rPr>
              <w:t>Total</w:t>
            </w:r>
          </w:p>
        </w:tc>
        <w:tc>
          <w:tcPr>
            <w:tcW w:w="1360" w:type="dxa"/>
            <w:tcBorders>
              <w:top w:val="nil"/>
              <w:left w:val="nil"/>
              <w:bottom w:val="single" w:sz="4" w:space="0" w:color="auto"/>
              <w:right w:val="single" w:sz="4" w:space="0" w:color="auto"/>
            </w:tcBorders>
            <w:shd w:val="clear" w:color="auto" w:fill="auto"/>
            <w:vAlign w:val="center"/>
            <w:hideMark/>
          </w:tcPr>
          <w:p w14:paraId="06F36C80"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Etat </w:t>
            </w:r>
          </w:p>
        </w:tc>
        <w:tc>
          <w:tcPr>
            <w:tcW w:w="1044" w:type="dxa"/>
            <w:tcBorders>
              <w:top w:val="nil"/>
              <w:left w:val="nil"/>
              <w:bottom w:val="single" w:sz="4" w:space="0" w:color="auto"/>
              <w:right w:val="single" w:sz="4" w:space="0" w:color="auto"/>
            </w:tcBorders>
            <w:shd w:val="clear" w:color="auto" w:fill="auto"/>
            <w:vAlign w:val="center"/>
            <w:hideMark/>
          </w:tcPr>
          <w:p w14:paraId="43961762" w14:textId="77777777" w:rsidR="001731C1" w:rsidRPr="007248A4" w:rsidRDefault="001731C1" w:rsidP="001731C1">
            <w:pPr>
              <w:rPr>
                <w:rFonts w:ascii="Arial" w:hAnsi="Arial" w:cs="Arial"/>
                <w:sz w:val="18"/>
                <w:szCs w:val="18"/>
              </w:rPr>
            </w:pPr>
            <w:r w:rsidRPr="007248A4">
              <w:rPr>
                <w:rFonts w:ascii="Arial" w:hAnsi="Arial" w:cs="Arial"/>
                <w:sz w:val="18"/>
                <w:szCs w:val="18"/>
              </w:rPr>
              <w:t>PTF</w:t>
            </w:r>
          </w:p>
        </w:tc>
        <w:tc>
          <w:tcPr>
            <w:tcW w:w="986" w:type="dxa"/>
            <w:tcBorders>
              <w:top w:val="nil"/>
              <w:left w:val="nil"/>
              <w:bottom w:val="single" w:sz="4" w:space="0" w:color="auto"/>
              <w:right w:val="single" w:sz="4" w:space="0" w:color="auto"/>
            </w:tcBorders>
            <w:shd w:val="clear" w:color="auto" w:fill="auto"/>
            <w:vAlign w:val="center"/>
            <w:hideMark/>
          </w:tcPr>
          <w:p w14:paraId="700BDCDF"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Privés </w:t>
            </w:r>
          </w:p>
        </w:tc>
        <w:tc>
          <w:tcPr>
            <w:tcW w:w="1112" w:type="dxa"/>
            <w:tcBorders>
              <w:top w:val="nil"/>
              <w:left w:val="nil"/>
              <w:bottom w:val="single" w:sz="4" w:space="0" w:color="auto"/>
              <w:right w:val="single" w:sz="4" w:space="0" w:color="auto"/>
            </w:tcBorders>
            <w:shd w:val="clear" w:color="auto" w:fill="auto"/>
            <w:vAlign w:val="center"/>
            <w:hideMark/>
          </w:tcPr>
          <w:p w14:paraId="122541CA"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Collectivités locales </w:t>
            </w:r>
          </w:p>
        </w:tc>
        <w:tc>
          <w:tcPr>
            <w:tcW w:w="1162" w:type="dxa"/>
            <w:tcBorders>
              <w:top w:val="nil"/>
              <w:left w:val="nil"/>
              <w:bottom w:val="single" w:sz="4" w:space="0" w:color="auto"/>
              <w:right w:val="single" w:sz="4" w:space="0" w:color="auto"/>
            </w:tcBorders>
            <w:shd w:val="clear" w:color="auto" w:fill="auto"/>
            <w:vAlign w:val="center"/>
            <w:hideMark/>
          </w:tcPr>
          <w:p w14:paraId="3A598FB7" w14:textId="77777777" w:rsidR="001731C1" w:rsidRPr="007248A4" w:rsidRDefault="001731C1" w:rsidP="001731C1">
            <w:pPr>
              <w:rPr>
                <w:rFonts w:ascii="Arial" w:hAnsi="Arial" w:cs="Arial"/>
                <w:sz w:val="18"/>
                <w:szCs w:val="18"/>
              </w:rPr>
            </w:pPr>
            <w:r w:rsidRPr="007248A4">
              <w:rPr>
                <w:rFonts w:ascii="Arial" w:hAnsi="Arial" w:cs="Arial"/>
                <w:sz w:val="18"/>
                <w:szCs w:val="18"/>
              </w:rPr>
              <w:t>Total</w:t>
            </w:r>
          </w:p>
        </w:tc>
      </w:tr>
      <w:tr w:rsidR="007248A4" w:rsidRPr="007248A4" w14:paraId="13A8CC80" w14:textId="77777777" w:rsidTr="002607E5">
        <w:trPr>
          <w:trHeight w:val="1523"/>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1264B794"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Axe Stratégique 1 : Gouvernance </w:t>
            </w:r>
            <w:r w:rsidRPr="007248A4">
              <w:rPr>
                <w:rFonts w:ascii="Arial" w:hAnsi="Arial" w:cs="Arial"/>
                <w:i/>
                <w:iCs/>
                <w:sz w:val="18"/>
                <w:szCs w:val="18"/>
              </w:rPr>
              <w:t xml:space="preserve">Améliorer la gouvernance du secteur </w:t>
            </w:r>
          </w:p>
        </w:tc>
        <w:tc>
          <w:tcPr>
            <w:tcW w:w="1619" w:type="dxa"/>
            <w:tcBorders>
              <w:top w:val="nil"/>
              <w:left w:val="nil"/>
              <w:bottom w:val="single" w:sz="4" w:space="0" w:color="auto"/>
              <w:right w:val="single" w:sz="4" w:space="0" w:color="auto"/>
            </w:tcBorders>
            <w:shd w:val="clear" w:color="auto" w:fill="auto"/>
            <w:vAlign w:val="center"/>
            <w:hideMark/>
          </w:tcPr>
          <w:p w14:paraId="3CE35845" w14:textId="77777777" w:rsidR="001731C1" w:rsidRPr="007248A4" w:rsidRDefault="001731C1" w:rsidP="001731C1">
            <w:pPr>
              <w:rPr>
                <w:rFonts w:ascii="Arial" w:hAnsi="Arial" w:cs="Arial"/>
                <w:sz w:val="18"/>
                <w:szCs w:val="18"/>
              </w:rPr>
            </w:pPr>
            <w:r w:rsidRPr="007248A4">
              <w:rPr>
                <w:rFonts w:ascii="Arial" w:hAnsi="Arial" w:cs="Arial"/>
                <w:sz w:val="18"/>
                <w:szCs w:val="18"/>
              </w:rPr>
              <w:t>Mettre en cohérence le cadre réglementaire et institutionnel du domaine minier et pétrolier</w:t>
            </w:r>
          </w:p>
        </w:tc>
        <w:tc>
          <w:tcPr>
            <w:tcW w:w="1067" w:type="dxa"/>
            <w:tcBorders>
              <w:top w:val="nil"/>
              <w:left w:val="nil"/>
              <w:bottom w:val="single" w:sz="4" w:space="0" w:color="auto"/>
              <w:right w:val="single" w:sz="4" w:space="0" w:color="auto"/>
            </w:tcBorders>
            <w:shd w:val="clear" w:color="auto" w:fill="auto"/>
            <w:vAlign w:val="center"/>
            <w:hideMark/>
          </w:tcPr>
          <w:p w14:paraId="78BE2F0C" w14:textId="1FE58AEA"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500 000   </w:t>
            </w:r>
          </w:p>
        </w:tc>
        <w:tc>
          <w:tcPr>
            <w:tcW w:w="1359" w:type="dxa"/>
            <w:tcBorders>
              <w:top w:val="nil"/>
              <w:left w:val="nil"/>
              <w:bottom w:val="single" w:sz="4" w:space="0" w:color="auto"/>
              <w:right w:val="single" w:sz="4" w:space="0" w:color="auto"/>
            </w:tcBorders>
            <w:shd w:val="clear" w:color="auto" w:fill="auto"/>
            <w:vAlign w:val="center"/>
            <w:hideMark/>
          </w:tcPr>
          <w:p w14:paraId="331FD35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66FBDE1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400 000   </w:t>
            </w:r>
          </w:p>
        </w:tc>
        <w:tc>
          <w:tcPr>
            <w:tcW w:w="1109" w:type="dxa"/>
            <w:tcBorders>
              <w:top w:val="nil"/>
              <w:left w:val="nil"/>
              <w:bottom w:val="single" w:sz="4" w:space="0" w:color="auto"/>
              <w:right w:val="single" w:sz="4" w:space="0" w:color="auto"/>
            </w:tcBorders>
            <w:shd w:val="clear" w:color="auto" w:fill="auto"/>
            <w:vAlign w:val="center"/>
            <w:hideMark/>
          </w:tcPr>
          <w:p w14:paraId="6782F8C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268E085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400 000   </w:t>
            </w:r>
          </w:p>
        </w:tc>
        <w:tc>
          <w:tcPr>
            <w:tcW w:w="1360" w:type="dxa"/>
            <w:tcBorders>
              <w:top w:val="nil"/>
              <w:left w:val="nil"/>
              <w:bottom w:val="single" w:sz="4" w:space="0" w:color="auto"/>
              <w:right w:val="single" w:sz="4" w:space="0" w:color="auto"/>
            </w:tcBorders>
            <w:shd w:val="clear" w:color="auto" w:fill="auto"/>
            <w:vAlign w:val="center"/>
            <w:hideMark/>
          </w:tcPr>
          <w:p w14:paraId="31E3A21D" w14:textId="35170A56"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100 000   </w:t>
            </w:r>
          </w:p>
        </w:tc>
        <w:tc>
          <w:tcPr>
            <w:tcW w:w="1044" w:type="dxa"/>
            <w:tcBorders>
              <w:top w:val="nil"/>
              <w:left w:val="nil"/>
              <w:bottom w:val="single" w:sz="4" w:space="0" w:color="auto"/>
              <w:right w:val="single" w:sz="4" w:space="0" w:color="auto"/>
            </w:tcBorders>
            <w:shd w:val="clear" w:color="auto" w:fill="auto"/>
            <w:vAlign w:val="center"/>
            <w:hideMark/>
          </w:tcPr>
          <w:p w14:paraId="04CF139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172E842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6E8FD9C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1FA18CF1" w14:textId="0D3172B4"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100 000   </w:t>
            </w:r>
          </w:p>
        </w:tc>
      </w:tr>
      <w:tr w:rsidR="007248A4" w:rsidRPr="007248A4" w14:paraId="637A4F02" w14:textId="77777777" w:rsidTr="002607E5">
        <w:trPr>
          <w:trHeight w:val="234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4DBA00E6"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14:paraId="73C14C72" w14:textId="77777777" w:rsidR="001731C1" w:rsidRPr="007248A4" w:rsidRDefault="001731C1" w:rsidP="001731C1">
            <w:pPr>
              <w:rPr>
                <w:rFonts w:ascii="Arial" w:hAnsi="Arial" w:cs="Arial"/>
                <w:sz w:val="18"/>
                <w:szCs w:val="18"/>
              </w:rPr>
            </w:pPr>
            <w:r w:rsidRPr="007248A4">
              <w:rPr>
                <w:rFonts w:ascii="Arial" w:hAnsi="Arial" w:cs="Arial"/>
                <w:sz w:val="18"/>
                <w:szCs w:val="18"/>
              </w:rPr>
              <w:t>Mettre en place un cadastre minier performant sous la forme d’un guichet unique pour la délivrance diligente des permis de recherche et autorisations de prospection</w:t>
            </w:r>
          </w:p>
        </w:tc>
        <w:tc>
          <w:tcPr>
            <w:tcW w:w="1067" w:type="dxa"/>
            <w:tcBorders>
              <w:top w:val="nil"/>
              <w:left w:val="nil"/>
              <w:bottom w:val="single" w:sz="4" w:space="0" w:color="auto"/>
              <w:right w:val="single" w:sz="4" w:space="0" w:color="auto"/>
            </w:tcBorders>
            <w:shd w:val="clear" w:color="auto" w:fill="auto"/>
            <w:vAlign w:val="center"/>
            <w:hideMark/>
          </w:tcPr>
          <w:p w14:paraId="599EA9E6" w14:textId="39CF893D"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8 500 000   </w:t>
            </w:r>
          </w:p>
        </w:tc>
        <w:tc>
          <w:tcPr>
            <w:tcW w:w="1359" w:type="dxa"/>
            <w:tcBorders>
              <w:top w:val="nil"/>
              <w:left w:val="nil"/>
              <w:bottom w:val="single" w:sz="4" w:space="0" w:color="auto"/>
              <w:right w:val="single" w:sz="4" w:space="0" w:color="auto"/>
            </w:tcBorders>
            <w:shd w:val="clear" w:color="auto" w:fill="auto"/>
            <w:vAlign w:val="center"/>
            <w:hideMark/>
          </w:tcPr>
          <w:p w14:paraId="36E8B964"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1 525 341   </w:t>
            </w:r>
          </w:p>
        </w:tc>
        <w:tc>
          <w:tcPr>
            <w:tcW w:w="1418" w:type="dxa"/>
            <w:tcBorders>
              <w:top w:val="nil"/>
              <w:left w:val="nil"/>
              <w:bottom w:val="single" w:sz="4" w:space="0" w:color="auto"/>
              <w:right w:val="single" w:sz="4" w:space="0" w:color="auto"/>
            </w:tcBorders>
            <w:shd w:val="clear" w:color="auto" w:fill="auto"/>
            <w:vAlign w:val="center"/>
            <w:hideMark/>
          </w:tcPr>
          <w:p w14:paraId="191D0D3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2 500 000   </w:t>
            </w:r>
          </w:p>
        </w:tc>
        <w:tc>
          <w:tcPr>
            <w:tcW w:w="1109" w:type="dxa"/>
            <w:tcBorders>
              <w:top w:val="nil"/>
              <w:left w:val="nil"/>
              <w:bottom w:val="single" w:sz="4" w:space="0" w:color="auto"/>
              <w:right w:val="single" w:sz="4" w:space="0" w:color="auto"/>
            </w:tcBorders>
            <w:shd w:val="clear" w:color="auto" w:fill="auto"/>
            <w:vAlign w:val="center"/>
            <w:hideMark/>
          </w:tcPr>
          <w:p w14:paraId="0A8FDECE"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4C633BA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4 025 341   </w:t>
            </w:r>
          </w:p>
        </w:tc>
        <w:tc>
          <w:tcPr>
            <w:tcW w:w="1360" w:type="dxa"/>
            <w:tcBorders>
              <w:top w:val="nil"/>
              <w:left w:val="nil"/>
              <w:bottom w:val="single" w:sz="4" w:space="0" w:color="auto"/>
              <w:right w:val="single" w:sz="4" w:space="0" w:color="auto"/>
            </w:tcBorders>
            <w:shd w:val="clear" w:color="auto" w:fill="auto"/>
            <w:vAlign w:val="center"/>
            <w:hideMark/>
          </w:tcPr>
          <w:p w14:paraId="15F580EB" w14:textId="5CF9DB49"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4 474 659   </w:t>
            </w:r>
          </w:p>
        </w:tc>
        <w:tc>
          <w:tcPr>
            <w:tcW w:w="1044" w:type="dxa"/>
            <w:tcBorders>
              <w:top w:val="nil"/>
              <w:left w:val="nil"/>
              <w:bottom w:val="single" w:sz="4" w:space="0" w:color="auto"/>
              <w:right w:val="single" w:sz="4" w:space="0" w:color="auto"/>
            </w:tcBorders>
            <w:shd w:val="clear" w:color="auto" w:fill="auto"/>
            <w:vAlign w:val="center"/>
            <w:hideMark/>
          </w:tcPr>
          <w:p w14:paraId="065F70C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1675EE4A"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4543539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42EB99DB" w14:textId="00BFB8F0"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4 474 659   </w:t>
            </w:r>
          </w:p>
        </w:tc>
      </w:tr>
      <w:tr w:rsidR="007248A4" w:rsidRPr="007248A4" w14:paraId="6D23F74D" w14:textId="77777777" w:rsidTr="002607E5">
        <w:trPr>
          <w:trHeight w:val="2160"/>
        </w:trPr>
        <w:tc>
          <w:tcPr>
            <w:tcW w:w="1708" w:type="dxa"/>
            <w:tcBorders>
              <w:top w:val="nil"/>
              <w:left w:val="single" w:sz="4" w:space="0" w:color="auto"/>
              <w:bottom w:val="single" w:sz="4" w:space="0" w:color="auto"/>
              <w:right w:val="single" w:sz="4" w:space="0" w:color="auto"/>
            </w:tcBorders>
            <w:shd w:val="clear" w:color="auto" w:fill="auto"/>
            <w:hideMark/>
          </w:tcPr>
          <w:p w14:paraId="6635E182"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14:paraId="3C1913A4"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Mettre en place des instruments et /ou de méthodes de suivi du circuit de production et de distribution des retombées de l’activité minière </w:t>
            </w:r>
          </w:p>
        </w:tc>
        <w:tc>
          <w:tcPr>
            <w:tcW w:w="1067" w:type="dxa"/>
            <w:tcBorders>
              <w:top w:val="nil"/>
              <w:left w:val="nil"/>
              <w:bottom w:val="single" w:sz="4" w:space="0" w:color="auto"/>
              <w:right w:val="single" w:sz="4" w:space="0" w:color="auto"/>
            </w:tcBorders>
            <w:shd w:val="clear" w:color="auto" w:fill="auto"/>
            <w:vAlign w:val="center"/>
            <w:hideMark/>
          </w:tcPr>
          <w:p w14:paraId="29134522" w14:textId="7BD90D4A"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3 000 000   </w:t>
            </w:r>
          </w:p>
        </w:tc>
        <w:tc>
          <w:tcPr>
            <w:tcW w:w="1359" w:type="dxa"/>
            <w:tcBorders>
              <w:top w:val="nil"/>
              <w:left w:val="nil"/>
              <w:bottom w:val="single" w:sz="4" w:space="0" w:color="auto"/>
              <w:right w:val="single" w:sz="4" w:space="0" w:color="auto"/>
            </w:tcBorders>
            <w:shd w:val="clear" w:color="auto" w:fill="auto"/>
            <w:vAlign w:val="center"/>
            <w:hideMark/>
          </w:tcPr>
          <w:p w14:paraId="634FF8E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1 254 631   </w:t>
            </w:r>
          </w:p>
        </w:tc>
        <w:tc>
          <w:tcPr>
            <w:tcW w:w="1418" w:type="dxa"/>
            <w:tcBorders>
              <w:top w:val="nil"/>
              <w:left w:val="nil"/>
              <w:bottom w:val="single" w:sz="4" w:space="0" w:color="auto"/>
              <w:right w:val="single" w:sz="4" w:space="0" w:color="auto"/>
            </w:tcBorders>
            <w:shd w:val="clear" w:color="auto" w:fill="auto"/>
            <w:noWrap/>
            <w:vAlign w:val="center"/>
            <w:hideMark/>
          </w:tcPr>
          <w:p w14:paraId="0E0D723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1 100 000   </w:t>
            </w:r>
          </w:p>
        </w:tc>
        <w:tc>
          <w:tcPr>
            <w:tcW w:w="1109" w:type="dxa"/>
            <w:tcBorders>
              <w:top w:val="nil"/>
              <w:left w:val="nil"/>
              <w:bottom w:val="single" w:sz="4" w:space="0" w:color="auto"/>
              <w:right w:val="single" w:sz="4" w:space="0" w:color="auto"/>
            </w:tcBorders>
            <w:shd w:val="clear" w:color="auto" w:fill="auto"/>
            <w:vAlign w:val="center"/>
            <w:hideMark/>
          </w:tcPr>
          <w:p w14:paraId="34E29054"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72C7A7C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2 354 631   </w:t>
            </w:r>
          </w:p>
        </w:tc>
        <w:tc>
          <w:tcPr>
            <w:tcW w:w="1360" w:type="dxa"/>
            <w:tcBorders>
              <w:top w:val="nil"/>
              <w:left w:val="nil"/>
              <w:bottom w:val="single" w:sz="4" w:space="0" w:color="auto"/>
              <w:right w:val="single" w:sz="4" w:space="0" w:color="auto"/>
            </w:tcBorders>
            <w:shd w:val="clear" w:color="auto" w:fill="auto"/>
            <w:vAlign w:val="center"/>
            <w:hideMark/>
          </w:tcPr>
          <w:p w14:paraId="707C5F26" w14:textId="14347ACE"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645 369   </w:t>
            </w:r>
          </w:p>
        </w:tc>
        <w:tc>
          <w:tcPr>
            <w:tcW w:w="1044" w:type="dxa"/>
            <w:tcBorders>
              <w:top w:val="nil"/>
              <w:left w:val="nil"/>
              <w:bottom w:val="single" w:sz="4" w:space="0" w:color="auto"/>
              <w:right w:val="single" w:sz="4" w:space="0" w:color="auto"/>
            </w:tcBorders>
            <w:shd w:val="clear" w:color="auto" w:fill="auto"/>
            <w:vAlign w:val="center"/>
            <w:hideMark/>
          </w:tcPr>
          <w:p w14:paraId="6E5B175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379B12B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5328B8B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5C420E1B" w14:textId="7AF67B1A"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645 369   </w:t>
            </w:r>
          </w:p>
        </w:tc>
      </w:tr>
      <w:tr w:rsidR="007248A4" w:rsidRPr="007248A4" w14:paraId="735D398D" w14:textId="77777777" w:rsidTr="002607E5">
        <w:trPr>
          <w:trHeight w:val="1815"/>
        </w:trPr>
        <w:tc>
          <w:tcPr>
            <w:tcW w:w="1708" w:type="dxa"/>
            <w:tcBorders>
              <w:top w:val="nil"/>
              <w:left w:val="single" w:sz="4" w:space="0" w:color="auto"/>
              <w:bottom w:val="single" w:sz="4" w:space="0" w:color="auto"/>
              <w:right w:val="single" w:sz="4" w:space="0" w:color="auto"/>
            </w:tcBorders>
            <w:shd w:val="clear" w:color="auto" w:fill="auto"/>
            <w:hideMark/>
          </w:tcPr>
          <w:p w14:paraId="17D3287B" w14:textId="77777777" w:rsidR="001731C1" w:rsidRPr="007248A4" w:rsidRDefault="001731C1" w:rsidP="001731C1">
            <w:pPr>
              <w:rPr>
                <w:rFonts w:ascii="Arial" w:hAnsi="Arial" w:cs="Arial"/>
                <w:sz w:val="18"/>
                <w:szCs w:val="18"/>
              </w:rPr>
            </w:pPr>
            <w:r w:rsidRPr="007248A4">
              <w:rPr>
                <w:rFonts w:ascii="Arial" w:hAnsi="Arial" w:cs="Arial"/>
                <w:sz w:val="18"/>
                <w:szCs w:val="18"/>
              </w:rPr>
              <w:lastRenderedPageBreak/>
              <w:t> </w:t>
            </w:r>
          </w:p>
        </w:tc>
        <w:tc>
          <w:tcPr>
            <w:tcW w:w="1619" w:type="dxa"/>
            <w:tcBorders>
              <w:top w:val="nil"/>
              <w:left w:val="nil"/>
              <w:bottom w:val="single" w:sz="4" w:space="0" w:color="auto"/>
              <w:right w:val="single" w:sz="4" w:space="0" w:color="auto"/>
            </w:tcBorders>
            <w:shd w:val="clear" w:color="auto" w:fill="auto"/>
            <w:vAlign w:val="center"/>
            <w:hideMark/>
          </w:tcPr>
          <w:p w14:paraId="1AC4B28E"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Développer et renforcer les capacités de négociation, de suivi et de </w:t>
            </w:r>
            <w:proofErr w:type="gramStart"/>
            <w:r w:rsidRPr="007248A4">
              <w:rPr>
                <w:rFonts w:ascii="Arial" w:hAnsi="Arial" w:cs="Arial"/>
                <w:sz w:val="18"/>
                <w:szCs w:val="18"/>
              </w:rPr>
              <w:t>contrôle  des</w:t>
            </w:r>
            <w:proofErr w:type="gramEnd"/>
            <w:r w:rsidRPr="007248A4">
              <w:rPr>
                <w:rFonts w:ascii="Arial" w:hAnsi="Arial" w:cs="Arial"/>
                <w:sz w:val="18"/>
                <w:szCs w:val="18"/>
              </w:rPr>
              <w:t xml:space="preserve">  communautés hôtes des zones minières et pétrolières</w:t>
            </w:r>
          </w:p>
        </w:tc>
        <w:tc>
          <w:tcPr>
            <w:tcW w:w="1067" w:type="dxa"/>
            <w:tcBorders>
              <w:top w:val="nil"/>
              <w:left w:val="nil"/>
              <w:bottom w:val="single" w:sz="4" w:space="0" w:color="auto"/>
              <w:right w:val="single" w:sz="4" w:space="0" w:color="auto"/>
            </w:tcBorders>
            <w:shd w:val="clear" w:color="auto" w:fill="auto"/>
            <w:vAlign w:val="center"/>
            <w:hideMark/>
          </w:tcPr>
          <w:p w14:paraId="0702AA16" w14:textId="370A990C"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2 000 000   </w:t>
            </w:r>
          </w:p>
        </w:tc>
        <w:tc>
          <w:tcPr>
            <w:tcW w:w="1359" w:type="dxa"/>
            <w:tcBorders>
              <w:top w:val="nil"/>
              <w:left w:val="nil"/>
              <w:bottom w:val="single" w:sz="4" w:space="0" w:color="auto"/>
              <w:right w:val="single" w:sz="4" w:space="0" w:color="auto"/>
            </w:tcBorders>
            <w:shd w:val="clear" w:color="auto" w:fill="auto"/>
            <w:vAlign w:val="center"/>
            <w:hideMark/>
          </w:tcPr>
          <w:p w14:paraId="0C43BFD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1E22AD1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1 250 000   </w:t>
            </w:r>
          </w:p>
        </w:tc>
        <w:tc>
          <w:tcPr>
            <w:tcW w:w="1109" w:type="dxa"/>
            <w:tcBorders>
              <w:top w:val="nil"/>
              <w:left w:val="nil"/>
              <w:bottom w:val="single" w:sz="4" w:space="0" w:color="auto"/>
              <w:right w:val="single" w:sz="4" w:space="0" w:color="auto"/>
            </w:tcBorders>
            <w:shd w:val="clear" w:color="auto" w:fill="auto"/>
            <w:vAlign w:val="center"/>
            <w:hideMark/>
          </w:tcPr>
          <w:p w14:paraId="3357F28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4FFEDE7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1 250 000   </w:t>
            </w:r>
          </w:p>
        </w:tc>
        <w:tc>
          <w:tcPr>
            <w:tcW w:w="1360" w:type="dxa"/>
            <w:tcBorders>
              <w:top w:val="nil"/>
              <w:left w:val="nil"/>
              <w:bottom w:val="single" w:sz="4" w:space="0" w:color="auto"/>
              <w:right w:val="single" w:sz="4" w:space="0" w:color="auto"/>
            </w:tcBorders>
            <w:shd w:val="clear" w:color="auto" w:fill="auto"/>
            <w:vAlign w:val="center"/>
            <w:hideMark/>
          </w:tcPr>
          <w:p w14:paraId="7FAA078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750 000   </w:t>
            </w:r>
          </w:p>
        </w:tc>
        <w:tc>
          <w:tcPr>
            <w:tcW w:w="1044" w:type="dxa"/>
            <w:tcBorders>
              <w:top w:val="nil"/>
              <w:left w:val="nil"/>
              <w:bottom w:val="single" w:sz="4" w:space="0" w:color="auto"/>
              <w:right w:val="single" w:sz="4" w:space="0" w:color="auto"/>
            </w:tcBorders>
            <w:shd w:val="clear" w:color="auto" w:fill="auto"/>
            <w:vAlign w:val="center"/>
            <w:hideMark/>
          </w:tcPr>
          <w:p w14:paraId="38F0712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7B31E99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44DA37F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02A0F17F" w14:textId="5B117938"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750 000   </w:t>
            </w:r>
          </w:p>
        </w:tc>
      </w:tr>
      <w:tr w:rsidR="007248A4" w:rsidRPr="007248A4" w14:paraId="33FF4005" w14:textId="77777777" w:rsidTr="002607E5">
        <w:trPr>
          <w:trHeight w:val="1020"/>
        </w:trPr>
        <w:tc>
          <w:tcPr>
            <w:tcW w:w="1708" w:type="dxa"/>
            <w:tcBorders>
              <w:top w:val="nil"/>
              <w:left w:val="single" w:sz="4" w:space="0" w:color="auto"/>
              <w:bottom w:val="nil"/>
              <w:right w:val="single" w:sz="4" w:space="0" w:color="auto"/>
            </w:tcBorders>
            <w:shd w:val="clear" w:color="auto" w:fill="auto"/>
            <w:hideMark/>
          </w:tcPr>
          <w:p w14:paraId="5A75BAB4"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619" w:type="dxa"/>
            <w:tcBorders>
              <w:top w:val="nil"/>
              <w:left w:val="nil"/>
              <w:bottom w:val="nil"/>
              <w:right w:val="single" w:sz="4" w:space="0" w:color="auto"/>
            </w:tcBorders>
            <w:shd w:val="clear" w:color="auto" w:fill="auto"/>
            <w:vAlign w:val="center"/>
            <w:hideMark/>
          </w:tcPr>
          <w:p w14:paraId="71886C1F" w14:textId="77777777" w:rsidR="001731C1" w:rsidRPr="007248A4" w:rsidRDefault="001731C1" w:rsidP="001731C1">
            <w:pPr>
              <w:rPr>
                <w:rFonts w:ascii="Arial" w:hAnsi="Arial" w:cs="Arial"/>
                <w:sz w:val="18"/>
                <w:szCs w:val="18"/>
              </w:rPr>
            </w:pPr>
            <w:r w:rsidRPr="007248A4">
              <w:rPr>
                <w:rFonts w:ascii="Arial" w:hAnsi="Arial" w:cs="Arial"/>
                <w:sz w:val="18"/>
                <w:szCs w:val="18"/>
              </w:rPr>
              <w:t>Développer des stratégies de maximisation de la participation de l’Etat dans le capital des sociétés minières</w:t>
            </w:r>
          </w:p>
        </w:tc>
        <w:tc>
          <w:tcPr>
            <w:tcW w:w="1067" w:type="dxa"/>
            <w:tcBorders>
              <w:top w:val="nil"/>
              <w:left w:val="nil"/>
              <w:bottom w:val="nil"/>
              <w:right w:val="single" w:sz="4" w:space="0" w:color="auto"/>
            </w:tcBorders>
            <w:shd w:val="clear" w:color="auto" w:fill="auto"/>
            <w:vAlign w:val="center"/>
            <w:hideMark/>
          </w:tcPr>
          <w:p w14:paraId="19A8CE36" w14:textId="4D38065D"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6 000 000   </w:t>
            </w:r>
          </w:p>
        </w:tc>
        <w:tc>
          <w:tcPr>
            <w:tcW w:w="1359" w:type="dxa"/>
            <w:tcBorders>
              <w:top w:val="nil"/>
              <w:left w:val="nil"/>
              <w:bottom w:val="nil"/>
              <w:right w:val="single" w:sz="4" w:space="0" w:color="auto"/>
            </w:tcBorders>
            <w:shd w:val="clear" w:color="auto" w:fill="auto"/>
            <w:vAlign w:val="center"/>
            <w:hideMark/>
          </w:tcPr>
          <w:p w14:paraId="7BFBA54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nil"/>
              <w:right w:val="single" w:sz="4" w:space="0" w:color="auto"/>
            </w:tcBorders>
            <w:shd w:val="clear" w:color="auto" w:fill="auto"/>
            <w:vAlign w:val="center"/>
            <w:hideMark/>
          </w:tcPr>
          <w:p w14:paraId="0000E02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2 700 000   </w:t>
            </w:r>
          </w:p>
        </w:tc>
        <w:tc>
          <w:tcPr>
            <w:tcW w:w="1109" w:type="dxa"/>
            <w:tcBorders>
              <w:top w:val="nil"/>
              <w:left w:val="nil"/>
              <w:bottom w:val="nil"/>
              <w:right w:val="single" w:sz="4" w:space="0" w:color="auto"/>
            </w:tcBorders>
            <w:shd w:val="clear" w:color="auto" w:fill="auto"/>
            <w:vAlign w:val="center"/>
            <w:hideMark/>
          </w:tcPr>
          <w:p w14:paraId="3CA3EAB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77716C2A"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2 700 000   </w:t>
            </w:r>
          </w:p>
        </w:tc>
        <w:tc>
          <w:tcPr>
            <w:tcW w:w="1360" w:type="dxa"/>
            <w:tcBorders>
              <w:top w:val="nil"/>
              <w:left w:val="nil"/>
              <w:bottom w:val="nil"/>
              <w:right w:val="single" w:sz="4" w:space="0" w:color="auto"/>
            </w:tcBorders>
            <w:shd w:val="clear" w:color="auto" w:fill="auto"/>
            <w:vAlign w:val="center"/>
            <w:hideMark/>
          </w:tcPr>
          <w:p w14:paraId="554F798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3 300 000   </w:t>
            </w:r>
          </w:p>
        </w:tc>
        <w:tc>
          <w:tcPr>
            <w:tcW w:w="1044" w:type="dxa"/>
            <w:tcBorders>
              <w:top w:val="nil"/>
              <w:left w:val="nil"/>
              <w:bottom w:val="nil"/>
              <w:right w:val="single" w:sz="4" w:space="0" w:color="auto"/>
            </w:tcBorders>
            <w:shd w:val="clear" w:color="auto" w:fill="auto"/>
            <w:vAlign w:val="center"/>
            <w:hideMark/>
          </w:tcPr>
          <w:p w14:paraId="64F5E3A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986" w:type="dxa"/>
            <w:tcBorders>
              <w:top w:val="nil"/>
              <w:left w:val="nil"/>
              <w:bottom w:val="nil"/>
              <w:right w:val="single" w:sz="4" w:space="0" w:color="auto"/>
            </w:tcBorders>
            <w:shd w:val="clear" w:color="auto" w:fill="auto"/>
            <w:vAlign w:val="center"/>
            <w:hideMark/>
          </w:tcPr>
          <w:p w14:paraId="482BF6B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12" w:type="dxa"/>
            <w:tcBorders>
              <w:top w:val="nil"/>
              <w:left w:val="nil"/>
              <w:bottom w:val="nil"/>
              <w:right w:val="single" w:sz="4" w:space="0" w:color="auto"/>
            </w:tcBorders>
            <w:shd w:val="clear" w:color="auto" w:fill="auto"/>
            <w:vAlign w:val="center"/>
            <w:hideMark/>
          </w:tcPr>
          <w:p w14:paraId="59A53514"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14:paraId="31F2359B" w14:textId="73D9F2C4"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3 300 000   </w:t>
            </w:r>
          </w:p>
        </w:tc>
      </w:tr>
      <w:tr w:rsidR="007248A4" w:rsidRPr="007248A4" w14:paraId="7325098A" w14:textId="77777777" w:rsidTr="002607E5">
        <w:trPr>
          <w:trHeight w:val="480"/>
        </w:trPr>
        <w:tc>
          <w:tcPr>
            <w:tcW w:w="1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7C8F2" w14:textId="77777777" w:rsidR="001731C1" w:rsidRPr="007248A4" w:rsidRDefault="001731C1" w:rsidP="001731C1">
            <w:pPr>
              <w:rPr>
                <w:rFonts w:ascii="Arial" w:hAnsi="Arial" w:cs="Arial"/>
                <w:sz w:val="18"/>
                <w:szCs w:val="18"/>
              </w:rPr>
            </w:pPr>
            <w:r w:rsidRPr="007248A4">
              <w:rPr>
                <w:rFonts w:ascii="Arial" w:hAnsi="Arial" w:cs="Arial"/>
                <w:sz w:val="18"/>
                <w:szCs w:val="18"/>
              </w:rPr>
              <w:t>Sous total axe 1</w:t>
            </w:r>
          </w:p>
        </w:tc>
        <w:tc>
          <w:tcPr>
            <w:tcW w:w="1619" w:type="dxa"/>
            <w:tcBorders>
              <w:top w:val="single" w:sz="4" w:space="0" w:color="auto"/>
              <w:left w:val="nil"/>
              <w:bottom w:val="single" w:sz="4" w:space="0" w:color="auto"/>
              <w:right w:val="single" w:sz="4" w:space="0" w:color="auto"/>
            </w:tcBorders>
            <w:shd w:val="clear" w:color="auto" w:fill="auto"/>
            <w:vAlign w:val="center"/>
            <w:hideMark/>
          </w:tcPr>
          <w:p w14:paraId="76F4D08A"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14:paraId="28F13C2A" w14:textId="438C961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20 000 000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499DDED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2 779 972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879BD4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7 950 000   </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0160612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697D079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10 729 972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C99ED1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9 270 028   </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3828CB7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0118A4A"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0BF3035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14:paraId="04D4CF65" w14:textId="6CCC54A2"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9 270 028   </w:t>
            </w:r>
          </w:p>
        </w:tc>
      </w:tr>
      <w:tr w:rsidR="007248A4" w:rsidRPr="007248A4" w14:paraId="110C0080" w14:textId="77777777" w:rsidTr="002607E5">
        <w:trPr>
          <w:trHeight w:val="342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6EEBE7A5"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Axe Stratégique 2 : Système d’Information géo-scientifique : Doter le Mali d’une base et d’un système d’informations géo scientifiques performant, en vue d’une optimisation de l’exploitation du potentiel minier malien dans l’espace et dans le temps </w:t>
            </w:r>
          </w:p>
        </w:tc>
        <w:tc>
          <w:tcPr>
            <w:tcW w:w="1619" w:type="dxa"/>
            <w:tcBorders>
              <w:top w:val="nil"/>
              <w:left w:val="nil"/>
              <w:bottom w:val="single" w:sz="4" w:space="0" w:color="auto"/>
              <w:right w:val="single" w:sz="4" w:space="0" w:color="auto"/>
            </w:tcBorders>
            <w:shd w:val="clear" w:color="auto" w:fill="auto"/>
            <w:vAlign w:val="center"/>
            <w:hideMark/>
          </w:tcPr>
          <w:p w14:paraId="6B229029"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Poursuivre des travaux de recherche sur les gisements connus </w:t>
            </w:r>
          </w:p>
        </w:tc>
        <w:tc>
          <w:tcPr>
            <w:tcW w:w="1067" w:type="dxa"/>
            <w:tcBorders>
              <w:top w:val="nil"/>
              <w:left w:val="nil"/>
              <w:bottom w:val="single" w:sz="4" w:space="0" w:color="auto"/>
              <w:right w:val="single" w:sz="4" w:space="0" w:color="auto"/>
            </w:tcBorders>
            <w:shd w:val="clear" w:color="auto" w:fill="auto"/>
            <w:vAlign w:val="center"/>
            <w:hideMark/>
          </w:tcPr>
          <w:p w14:paraId="28017267" w14:textId="7B6F017B"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43 195 000   </w:t>
            </w:r>
          </w:p>
        </w:tc>
        <w:tc>
          <w:tcPr>
            <w:tcW w:w="1359" w:type="dxa"/>
            <w:tcBorders>
              <w:top w:val="nil"/>
              <w:left w:val="nil"/>
              <w:bottom w:val="single" w:sz="4" w:space="0" w:color="auto"/>
              <w:right w:val="single" w:sz="4" w:space="0" w:color="auto"/>
            </w:tcBorders>
            <w:shd w:val="clear" w:color="auto" w:fill="auto"/>
            <w:vAlign w:val="center"/>
            <w:hideMark/>
          </w:tcPr>
          <w:p w14:paraId="5A8E967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4 287 495   </w:t>
            </w:r>
          </w:p>
        </w:tc>
        <w:tc>
          <w:tcPr>
            <w:tcW w:w="1418" w:type="dxa"/>
            <w:tcBorders>
              <w:top w:val="nil"/>
              <w:left w:val="nil"/>
              <w:bottom w:val="single" w:sz="4" w:space="0" w:color="auto"/>
              <w:right w:val="single" w:sz="4" w:space="0" w:color="auto"/>
            </w:tcBorders>
            <w:shd w:val="clear" w:color="auto" w:fill="auto"/>
            <w:vAlign w:val="center"/>
            <w:hideMark/>
          </w:tcPr>
          <w:p w14:paraId="2B2FEE5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4 100 000   </w:t>
            </w:r>
          </w:p>
        </w:tc>
        <w:tc>
          <w:tcPr>
            <w:tcW w:w="1109" w:type="dxa"/>
            <w:tcBorders>
              <w:top w:val="nil"/>
              <w:left w:val="nil"/>
              <w:bottom w:val="single" w:sz="4" w:space="0" w:color="auto"/>
              <w:right w:val="single" w:sz="4" w:space="0" w:color="auto"/>
            </w:tcBorders>
            <w:shd w:val="clear" w:color="auto" w:fill="auto"/>
            <w:vAlign w:val="center"/>
            <w:hideMark/>
          </w:tcPr>
          <w:p w14:paraId="68D62FA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7BEFFE0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8 387 495   </w:t>
            </w:r>
          </w:p>
        </w:tc>
        <w:tc>
          <w:tcPr>
            <w:tcW w:w="1360" w:type="dxa"/>
            <w:tcBorders>
              <w:top w:val="nil"/>
              <w:left w:val="nil"/>
              <w:bottom w:val="single" w:sz="4" w:space="0" w:color="auto"/>
              <w:right w:val="single" w:sz="4" w:space="0" w:color="auto"/>
            </w:tcBorders>
            <w:shd w:val="clear" w:color="auto" w:fill="auto"/>
            <w:vAlign w:val="center"/>
            <w:hideMark/>
          </w:tcPr>
          <w:p w14:paraId="40F127E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24 807 505   </w:t>
            </w:r>
          </w:p>
        </w:tc>
        <w:tc>
          <w:tcPr>
            <w:tcW w:w="1044" w:type="dxa"/>
            <w:tcBorders>
              <w:top w:val="nil"/>
              <w:left w:val="nil"/>
              <w:bottom w:val="single" w:sz="4" w:space="0" w:color="auto"/>
              <w:right w:val="single" w:sz="4" w:space="0" w:color="auto"/>
            </w:tcBorders>
            <w:shd w:val="clear" w:color="auto" w:fill="auto"/>
            <w:vAlign w:val="center"/>
            <w:hideMark/>
          </w:tcPr>
          <w:p w14:paraId="7E94051B" w14:textId="1F5E3ABE"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10 000 000   </w:t>
            </w:r>
          </w:p>
        </w:tc>
        <w:tc>
          <w:tcPr>
            <w:tcW w:w="986" w:type="dxa"/>
            <w:tcBorders>
              <w:top w:val="nil"/>
              <w:left w:val="nil"/>
              <w:bottom w:val="single" w:sz="4" w:space="0" w:color="auto"/>
              <w:right w:val="single" w:sz="4" w:space="0" w:color="auto"/>
            </w:tcBorders>
            <w:shd w:val="clear" w:color="auto" w:fill="auto"/>
            <w:vAlign w:val="center"/>
            <w:hideMark/>
          </w:tcPr>
          <w:p w14:paraId="0F94CE4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5AB9476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10F48E83" w14:textId="72949C12"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34 807 505   </w:t>
            </w:r>
          </w:p>
        </w:tc>
      </w:tr>
      <w:tr w:rsidR="007248A4" w:rsidRPr="007248A4" w14:paraId="164A20A3" w14:textId="77777777" w:rsidTr="002607E5">
        <w:trPr>
          <w:trHeight w:val="1043"/>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147BD7D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14:paraId="6E14F6F3"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Approfondir l’analyse des indices déjà mis en évidence </w:t>
            </w:r>
          </w:p>
        </w:tc>
        <w:tc>
          <w:tcPr>
            <w:tcW w:w="1067" w:type="dxa"/>
            <w:tcBorders>
              <w:top w:val="nil"/>
              <w:left w:val="nil"/>
              <w:bottom w:val="single" w:sz="4" w:space="0" w:color="auto"/>
              <w:right w:val="single" w:sz="4" w:space="0" w:color="auto"/>
            </w:tcBorders>
            <w:shd w:val="clear" w:color="auto" w:fill="auto"/>
            <w:vAlign w:val="center"/>
            <w:hideMark/>
          </w:tcPr>
          <w:p w14:paraId="3552B4ED" w14:textId="3A48BEBE"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15 400 000   </w:t>
            </w:r>
          </w:p>
        </w:tc>
        <w:tc>
          <w:tcPr>
            <w:tcW w:w="1359" w:type="dxa"/>
            <w:tcBorders>
              <w:top w:val="nil"/>
              <w:left w:val="nil"/>
              <w:bottom w:val="single" w:sz="4" w:space="0" w:color="auto"/>
              <w:right w:val="single" w:sz="4" w:space="0" w:color="auto"/>
            </w:tcBorders>
            <w:shd w:val="clear" w:color="auto" w:fill="auto"/>
            <w:vAlign w:val="center"/>
            <w:hideMark/>
          </w:tcPr>
          <w:p w14:paraId="40F3AA4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856 000   </w:t>
            </w:r>
          </w:p>
        </w:tc>
        <w:tc>
          <w:tcPr>
            <w:tcW w:w="1418" w:type="dxa"/>
            <w:tcBorders>
              <w:top w:val="nil"/>
              <w:left w:val="nil"/>
              <w:bottom w:val="single" w:sz="4" w:space="0" w:color="auto"/>
              <w:right w:val="single" w:sz="4" w:space="0" w:color="auto"/>
            </w:tcBorders>
            <w:shd w:val="clear" w:color="auto" w:fill="auto"/>
            <w:vAlign w:val="center"/>
            <w:hideMark/>
          </w:tcPr>
          <w:p w14:paraId="5ED78EBA"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2 500 000   </w:t>
            </w:r>
          </w:p>
        </w:tc>
        <w:tc>
          <w:tcPr>
            <w:tcW w:w="1109" w:type="dxa"/>
            <w:tcBorders>
              <w:top w:val="nil"/>
              <w:left w:val="nil"/>
              <w:bottom w:val="single" w:sz="4" w:space="0" w:color="auto"/>
              <w:right w:val="single" w:sz="4" w:space="0" w:color="auto"/>
            </w:tcBorders>
            <w:shd w:val="clear" w:color="auto" w:fill="auto"/>
            <w:vAlign w:val="center"/>
            <w:hideMark/>
          </w:tcPr>
          <w:p w14:paraId="0E8B4CD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1110853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3 356 000   </w:t>
            </w:r>
          </w:p>
        </w:tc>
        <w:tc>
          <w:tcPr>
            <w:tcW w:w="1360" w:type="dxa"/>
            <w:tcBorders>
              <w:top w:val="nil"/>
              <w:left w:val="nil"/>
              <w:bottom w:val="single" w:sz="4" w:space="0" w:color="auto"/>
              <w:right w:val="single" w:sz="4" w:space="0" w:color="auto"/>
            </w:tcBorders>
            <w:shd w:val="clear" w:color="auto" w:fill="auto"/>
            <w:vAlign w:val="center"/>
            <w:hideMark/>
          </w:tcPr>
          <w:p w14:paraId="41D35B0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12 044 000   </w:t>
            </w:r>
          </w:p>
        </w:tc>
        <w:tc>
          <w:tcPr>
            <w:tcW w:w="1044" w:type="dxa"/>
            <w:tcBorders>
              <w:top w:val="nil"/>
              <w:left w:val="nil"/>
              <w:bottom w:val="single" w:sz="4" w:space="0" w:color="auto"/>
              <w:right w:val="single" w:sz="4" w:space="0" w:color="auto"/>
            </w:tcBorders>
            <w:shd w:val="clear" w:color="auto" w:fill="auto"/>
            <w:vAlign w:val="center"/>
            <w:hideMark/>
          </w:tcPr>
          <w:p w14:paraId="645829C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2546C7E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276EB26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5CBE943F" w14:textId="57C242E4"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12 044 000   </w:t>
            </w:r>
          </w:p>
        </w:tc>
      </w:tr>
      <w:tr w:rsidR="007248A4" w:rsidRPr="007248A4" w14:paraId="48E41D06" w14:textId="77777777" w:rsidTr="002607E5">
        <w:trPr>
          <w:trHeight w:val="818"/>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34D2C85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14:paraId="155C4AC9" w14:textId="77777777" w:rsidR="001731C1" w:rsidRPr="007248A4" w:rsidRDefault="001731C1" w:rsidP="001731C1">
            <w:pPr>
              <w:rPr>
                <w:rFonts w:ascii="Arial" w:hAnsi="Arial" w:cs="Arial"/>
                <w:sz w:val="18"/>
                <w:szCs w:val="18"/>
              </w:rPr>
            </w:pPr>
            <w:r w:rsidRPr="007248A4">
              <w:rPr>
                <w:rFonts w:ascii="Arial" w:hAnsi="Arial" w:cs="Arial"/>
                <w:sz w:val="18"/>
                <w:szCs w:val="18"/>
              </w:rPr>
              <w:t>Informatisation de l’information géologique</w:t>
            </w:r>
          </w:p>
        </w:tc>
        <w:tc>
          <w:tcPr>
            <w:tcW w:w="1067" w:type="dxa"/>
            <w:tcBorders>
              <w:top w:val="nil"/>
              <w:left w:val="nil"/>
              <w:bottom w:val="single" w:sz="4" w:space="0" w:color="auto"/>
              <w:right w:val="single" w:sz="4" w:space="0" w:color="auto"/>
            </w:tcBorders>
            <w:shd w:val="clear" w:color="auto" w:fill="auto"/>
            <w:vAlign w:val="center"/>
            <w:hideMark/>
          </w:tcPr>
          <w:p w14:paraId="10ADB5B3" w14:textId="2612D2A9"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15 000 000   </w:t>
            </w:r>
          </w:p>
        </w:tc>
        <w:tc>
          <w:tcPr>
            <w:tcW w:w="1359" w:type="dxa"/>
            <w:tcBorders>
              <w:top w:val="nil"/>
              <w:left w:val="nil"/>
              <w:bottom w:val="single" w:sz="4" w:space="0" w:color="auto"/>
              <w:right w:val="single" w:sz="4" w:space="0" w:color="auto"/>
            </w:tcBorders>
            <w:shd w:val="clear" w:color="auto" w:fill="auto"/>
            <w:vAlign w:val="center"/>
            <w:hideMark/>
          </w:tcPr>
          <w:p w14:paraId="73203BB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823 000   </w:t>
            </w:r>
          </w:p>
        </w:tc>
        <w:tc>
          <w:tcPr>
            <w:tcW w:w="1418" w:type="dxa"/>
            <w:tcBorders>
              <w:top w:val="nil"/>
              <w:left w:val="nil"/>
              <w:bottom w:val="single" w:sz="4" w:space="0" w:color="auto"/>
              <w:right w:val="single" w:sz="4" w:space="0" w:color="auto"/>
            </w:tcBorders>
            <w:shd w:val="clear" w:color="auto" w:fill="auto"/>
            <w:vAlign w:val="center"/>
            <w:hideMark/>
          </w:tcPr>
          <w:p w14:paraId="36A0A5D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2 500 000   </w:t>
            </w:r>
          </w:p>
        </w:tc>
        <w:tc>
          <w:tcPr>
            <w:tcW w:w="1109" w:type="dxa"/>
            <w:tcBorders>
              <w:top w:val="nil"/>
              <w:left w:val="nil"/>
              <w:bottom w:val="single" w:sz="4" w:space="0" w:color="auto"/>
              <w:right w:val="single" w:sz="4" w:space="0" w:color="auto"/>
            </w:tcBorders>
            <w:shd w:val="clear" w:color="auto" w:fill="auto"/>
            <w:vAlign w:val="center"/>
            <w:hideMark/>
          </w:tcPr>
          <w:p w14:paraId="4C06FD6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4334192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3 323 000   </w:t>
            </w:r>
          </w:p>
        </w:tc>
        <w:tc>
          <w:tcPr>
            <w:tcW w:w="1360" w:type="dxa"/>
            <w:tcBorders>
              <w:top w:val="nil"/>
              <w:left w:val="nil"/>
              <w:bottom w:val="single" w:sz="4" w:space="0" w:color="auto"/>
              <w:right w:val="single" w:sz="4" w:space="0" w:color="auto"/>
            </w:tcBorders>
            <w:shd w:val="clear" w:color="auto" w:fill="auto"/>
            <w:vAlign w:val="center"/>
            <w:hideMark/>
          </w:tcPr>
          <w:p w14:paraId="40B5EAF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11 677 000   </w:t>
            </w:r>
          </w:p>
        </w:tc>
        <w:tc>
          <w:tcPr>
            <w:tcW w:w="1044" w:type="dxa"/>
            <w:tcBorders>
              <w:top w:val="nil"/>
              <w:left w:val="nil"/>
              <w:bottom w:val="single" w:sz="4" w:space="0" w:color="auto"/>
              <w:right w:val="single" w:sz="4" w:space="0" w:color="auto"/>
            </w:tcBorders>
            <w:shd w:val="clear" w:color="auto" w:fill="auto"/>
            <w:vAlign w:val="center"/>
            <w:hideMark/>
          </w:tcPr>
          <w:p w14:paraId="1E042B5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20FED2F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6AF00FF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16A16674" w14:textId="296CF8D8"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11 677 000   </w:t>
            </w:r>
          </w:p>
        </w:tc>
      </w:tr>
      <w:tr w:rsidR="007248A4" w:rsidRPr="007248A4" w14:paraId="4E9720E5" w14:textId="77777777" w:rsidTr="002607E5">
        <w:trPr>
          <w:trHeight w:val="623"/>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723A417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lastRenderedPageBreak/>
              <w:t xml:space="preserve"> Sous total axe 2 </w:t>
            </w:r>
          </w:p>
        </w:tc>
        <w:tc>
          <w:tcPr>
            <w:tcW w:w="1619" w:type="dxa"/>
            <w:tcBorders>
              <w:top w:val="nil"/>
              <w:left w:val="nil"/>
              <w:bottom w:val="single" w:sz="4" w:space="0" w:color="auto"/>
              <w:right w:val="single" w:sz="4" w:space="0" w:color="auto"/>
            </w:tcBorders>
            <w:shd w:val="clear" w:color="auto" w:fill="auto"/>
            <w:vAlign w:val="center"/>
            <w:hideMark/>
          </w:tcPr>
          <w:p w14:paraId="3FEDC38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067" w:type="dxa"/>
            <w:tcBorders>
              <w:top w:val="nil"/>
              <w:left w:val="nil"/>
              <w:bottom w:val="single" w:sz="4" w:space="0" w:color="auto"/>
              <w:right w:val="single" w:sz="4" w:space="0" w:color="auto"/>
            </w:tcBorders>
            <w:shd w:val="clear" w:color="auto" w:fill="auto"/>
            <w:vAlign w:val="center"/>
            <w:hideMark/>
          </w:tcPr>
          <w:p w14:paraId="1F73CBEB" w14:textId="5E250E43"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73 595 000   </w:t>
            </w:r>
          </w:p>
        </w:tc>
        <w:tc>
          <w:tcPr>
            <w:tcW w:w="1359" w:type="dxa"/>
            <w:tcBorders>
              <w:top w:val="nil"/>
              <w:left w:val="nil"/>
              <w:bottom w:val="single" w:sz="4" w:space="0" w:color="auto"/>
              <w:right w:val="single" w:sz="4" w:space="0" w:color="auto"/>
            </w:tcBorders>
            <w:shd w:val="clear" w:color="auto" w:fill="auto"/>
            <w:vAlign w:val="center"/>
            <w:hideMark/>
          </w:tcPr>
          <w:p w14:paraId="3862CC1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5 966 495   </w:t>
            </w:r>
          </w:p>
        </w:tc>
        <w:tc>
          <w:tcPr>
            <w:tcW w:w="1418" w:type="dxa"/>
            <w:tcBorders>
              <w:top w:val="nil"/>
              <w:left w:val="nil"/>
              <w:bottom w:val="single" w:sz="4" w:space="0" w:color="auto"/>
              <w:right w:val="single" w:sz="4" w:space="0" w:color="auto"/>
            </w:tcBorders>
            <w:shd w:val="clear" w:color="auto" w:fill="auto"/>
            <w:vAlign w:val="center"/>
            <w:hideMark/>
          </w:tcPr>
          <w:p w14:paraId="413C606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9 100 000   </w:t>
            </w:r>
          </w:p>
        </w:tc>
        <w:tc>
          <w:tcPr>
            <w:tcW w:w="1109" w:type="dxa"/>
            <w:tcBorders>
              <w:top w:val="nil"/>
              <w:left w:val="nil"/>
              <w:bottom w:val="single" w:sz="4" w:space="0" w:color="auto"/>
              <w:right w:val="single" w:sz="4" w:space="0" w:color="auto"/>
            </w:tcBorders>
            <w:shd w:val="clear" w:color="auto" w:fill="auto"/>
            <w:vAlign w:val="center"/>
            <w:hideMark/>
          </w:tcPr>
          <w:p w14:paraId="444B254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11E2418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15 066 495   </w:t>
            </w:r>
          </w:p>
        </w:tc>
        <w:tc>
          <w:tcPr>
            <w:tcW w:w="1360" w:type="dxa"/>
            <w:tcBorders>
              <w:top w:val="nil"/>
              <w:left w:val="nil"/>
              <w:bottom w:val="single" w:sz="4" w:space="0" w:color="auto"/>
              <w:right w:val="single" w:sz="4" w:space="0" w:color="auto"/>
            </w:tcBorders>
            <w:shd w:val="clear" w:color="auto" w:fill="auto"/>
            <w:vAlign w:val="center"/>
            <w:hideMark/>
          </w:tcPr>
          <w:p w14:paraId="2FF7BF7E"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48 528 505   </w:t>
            </w:r>
          </w:p>
        </w:tc>
        <w:tc>
          <w:tcPr>
            <w:tcW w:w="1044" w:type="dxa"/>
            <w:tcBorders>
              <w:top w:val="nil"/>
              <w:left w:val="nil"/>
              <w:bottom w:val="single" w:sz="4" w:space="0" w:color="auto"/>
              <w:right w:val="single" w:sz="4" w:space="0" w:color="auto"/>
            </w:tcBorders>
            <w:shd w:val="clear" w:color="auto" w:fill="auto"/>
            <w:vAlign w:val="center"/>
            <w:hideMark/>
          </w:tcPr>
          <w:p w14:paraId="4E79FF24" w14:textId="242E905C"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10 000 000   </w:t>
            </w:r>
          </w:p>
        </w:tc>
        <w:tc>
          <w:tcPr>
            <w:tcW w:w="986" w:type="dxa"/>
            <w:tcBorders>
              <w:top w:val="nil"/>
              <w:left w:val="nil"/>
              <w:bottom w:val="single" w:sz="4" w:space="0" w:color="auto"/>
              <w:right w:val="single" w:sz="4" w:space="0" w:color="auto"/>
            </w:tcBorders>
            <w:shd w:val="clear" w:color="auto" w:fill="auto"/>
            <w:vAlign w:val="center"/>
            <w:hideMark/>
          </w:tcPr>
          <w:p w14:paraId="393DF50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12" w:type="dxa"/>
            <w:tcBorders>
              <w:top w:val="nil"/>
              <w:left w:val="nil"/>
              <w:bottom w:val="single" w:sz="4" w:space="0" w:color="auto"/>
              <w:right w:val="single" w:sz="4" w:space="0" w:color="auto"/>
            </w:tcBorders>
            <w:shd w:val="clear" w:color="auto" w:fill="auto"/>
            <w:vAlign w:val="center"/>
            <w:hideMark/>
          </w:tcPr>
          <w:p w14:paraId="18EDC51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14:paraId="74ADE780" w14:textId="2105B844"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58 528 505   </w:t>
            </w:r>
          </w:p>
        </w:tc>
      </w:tr>
      <w:tr w:rsidR="007248A4" w:rsidRPr="007248A4" w14:paraId="0FBD67AC" w14:textId="77777777" w:rsidTr="002607E5">
        <w:trPr>
          <w:trHeight w:val="1710"/>
        </w:trPr>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16D5D3BA"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Axe stratégique 3 : </w:t>
            </w:r>
            <w:r w:rsidRPr="007248A4">
              <w:rPr>
                <w:rFonts w:ascii="Arial" w:hAnsi="Arial" w:cs="Arial"/>
                <w:b/>
                <w:bCs/>
                <w:sz w:val="18"/>
                <w:szCs w:val="18"/>
              </w:rPr>
              <w:t>Infrastructures</w:t>
            </w:r>
            <w:r w:rsidRPr="007248A4">
              <w:rPr>
                <w:rFonts w:ascii="Arial" w:hAnsi="Arial" w:cs="Arial"/>
                <w:sz w:val="18"/>
                <w:szCs w:val="18"/>
              </w:rPr>
              <w:t> : Doter le Mali d’infrastructures de base nécessaires à la mise en œuvre de sa nouvelle vision et au développement de son secteur</w:t>
            </w:r>
            <w:r w:rsidRPr="007248A4">
              <w:rPr>
                <w:rFonts w:ascii="Arial" w:hAnsi="Arial" w:cs="Arial"/>
                <w:sz w:val="18"/>
                <w:szCs w:val="18"/>
              </w:rPr>
              <w:br/>
              <w:t xml:space="preserve">minier et pétrolier et le développement </w:t>
            </w:r>
            <w:r w:rsidRPr="007248A4">
              <w:rPr>
                <w:rFonts w:ascii="Arial" w:hAnsi="Arial" w:cs="Arial"/>
                <w:sz w:val="18"/>
                <w:szCs w:val="18"/>
              </w:rPr>
              <w:br/>
              <w:t xml:space="preserve">socioéconomique en général </w:t>
            </w:r>
          </w:p>
        </w:tc>
        <w:tc>
          <w:tcPr>
            <w:tcW w:w="1619" w:type="dxa"/>
            <w:tcBorders>
              <w:top w:val="nil"/>
              <w:left w:val="nil"/>
              <w:bottom w:val="single" w:sz="4" w:space="0" w:color="auto"/>
              <w:right w:val="single" w:sz="4" w:space="0" w:color="auto"/>
            </w:tcBorders>
            <w:shd w:val="clear" w:color="auto" w:fill="auto"/>
            <w:vAlign w:val="center"/>
            <w:hideMark/>
          </w:tcPr>
          <w:p w14:paraId="24283494" w14:textId="77777777" w:rsidR="001731C1" w:rsidRPr="007248A4" w:rsidRDefault="001731C1" w:rsidP="001731C1">
            <w:pPr>
              <w:rPr>
                <w:rFonts w:ascii="Arial" w:hAnsi="Arial" w:cs="Arial"/>
                <w:sz w:val="18"/>
                <w:szCs w:val="18"/>
              </w:rPr>
            </w:pPr>
            <w:r w:rsidRPr="007248A4">
              <w:rPr>
                <w:rFonts w:ascii="Arial" w:hAnsi="Arial" w:cs="Arial"/>
                <w:sz w:val="18"/>
                <w:szCs w:val="18"/>
              </w:rPr>
              <w:t>Mettre progressivement à niveau les infrastructures énergétiques par rapport aux besoins de la vision et de la stratégie minière nationale</w:t>
            </w:r>
          </w:p>
        </w:tc>
        <w:tc>
          <w:tcPr>
            <w:tcW w:w="1067" w:type="dxa"/>
            <w:tcBorders>
              <w:top w:val="nil"/>
              <w:left w:val="nil"/>
              <w:bottom w:val="single" w:sz="4" w:space="0" w:color="auto"/>
              <w:right w:val="single" w:sz="4" w:space="0" w:color="auto"/>
            </w:tcBorders>
            <w:shd w:val="clear" w:color="auto" w:fill="auto"/>
            <w:vAlign w:val="center"/>
            <w:hideMark/>
          </w:tcPr>
          <w:p w14:paraId="3575D97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PM </w:t>
            </w:r>
          </w:p>
        </w:tc>
        <w:tc>
          <w:tcPr>
            <w:tcW w:w="1359" w:type="dxa"/>
            <w:tcBorders>
              <w:top w:val="nil"/>
              <w:left w:val="nil"/>
              <w:bottom w:val="single" w:sz="4" w:space="0" w:color="auto"/>
              <w:right w:val="single" w:sz="4" w:space="0" w:color="auto"/>
            </w:tcBorders>
            <w:shd w:val="clear" w:color="auto" w:fill="auto"/>
            <w:vAlign w:val="center"/>
            <w:hideMark/>
          </w:tcPr>
          <w:p w14:paraId="0524CA4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6F70DF0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09" w:type="dxa"/>
            <w:tcBorders>
              <w:top w:val="nil"/>
              <w:left w:val="nil"/>
              <w:bottom w:val="single" w:sz="4" w:space="0" w:color="auto"/>
              <w:right w:val="single" w:sz="4" w:space="0" w:color="auto"/>
            </w:tcBorders>
            <w:shd w:val="clear" w:color="auto" w:fill="auto"/>
            <w:vAlign w:val="center"/>
            <w:hideMark/>
          </w:tcPr>
          <w:p w14:paraId="58291C8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3C396E1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360" w:type="dxa"/>
            <w:tcBorders>
              <w:top w:val="nil"/>
              <w:left w:val="nil"/>
              <w:bottom w:val="single" w:sz="4" w:space="0" w:color="auto"/>
              <w:right w:val="single" w:sz="4" w:space="0" w:color="auto"/>
            </w:tcBorders>
            <w:shd w:val="clear" w:color="auto" w:fill="auto"/>
            <w:vAlign w:val="center"/>
            <w:hideMark/>
          </w:tcPr>
          <w:p w14:paraId="024167E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14:paraId="223B28CA"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52987F2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3F52439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51F71A6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r>
      <w:tr w:rsidR="007248A4" w:rsidRPr="007248A4" w14:paraId="5F988D9B" w14:textId="77777777" w:rsidTr="002607E5">
        <w:trPr>
          <w:trHeight w:val="1725"/>
        </w:trPr>
        <w:tc>
          <w:tcPr>
            <w:tcW w:w="1708" w:type="dxa"/>
            <w:vMerge/>
            <w:tcBorders>
              <w:top w:val="nil"/>
              <w:left w:val="single" w:sz="4" w:space="0" w:color="auto"/>
              <w:bottom w:val="single" w:sz="4" w:space="0" w:color="000000"/>
              <w:right w:val="single" w:sz="4" w:space="0" w:color="auto"/>
            </w:tcBorders>
            <w:vAlign w:val="center"/>
            <w:hideMark/>
          </w:tcPr>
          <w:p w14:paraId="703EDB11" w14:textId="77777777" w:rsidR="001731C1" w:rsidRPr="007248A4" w:rsidRDefault="001731C1" w:rsidP="001731C1">
            <w:pPr>
              <w:rPr>
                <w:rFonts w:ascii="Arial" w:hAnsi="Arial" w:cs="Arial"/>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14:paraId="3667141C" w14:textId="77777777" w:rsidR="001731C1" w:rsidRPr="007248A4" w:rsidRDefault="001731C1" w:rsidP="001731C1">
            <w:pPr>
              <w:rPr>
                <w:rFonts w:ascii="Arial" w:hAnsi="Arial" w:cs="Arial"/>
                <w:sz w:val="18"/>
                <w:szCs w:val="18"/>
              </w:rPr>
            </w:pPr>
            <w:r w:rsidRPr="007248A4">
              <w:rPr>
                <w:rFonts w:ascii="Arial" w:hAnsi="Arial" w:cs="Arial"/>
                <w:sz w:val="18"/>
                <w:szCs w:val="18"/>
              </w:rPr>
              <w:t>Impliquer le secteur privé dans la mise en œuvre des projets d’infrastructures en favorisant une approche PPP (Partenariat Public Privé).</w:t>
            </w:r>
          </w:p>
        </w:tc>
        <w:tc>
          <w:tcPr>
            <w:tcW w:w="1067" w:type="dxa"/>
            <w:tcBorders>
              <w:top w:val="nil"/>
              <w:left w:val="nil"/>
              <w:bottom w:val="single" w:sz="4" w:space="0" w:color="auto"/>
              <w:right w:val="single" w:sz="4" w:space="0" w:color="auto"/>
            </w:tcBorders>
            <w:shd w:val="clear" w:color="auto" w:fill="auto"/>
            <w:vAlign w:val="center"/>
            <w:hideMark/>
          </w:tcPr>
          <w:p w14:paraId="2B7B569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PM </w:t>
            </w:r>
          </w:p>
        </w:tc>
        <w:tc>
          <w:tcPr>
            <w:tcW w:w="1359" w:type="dxa"/>
            <w:tcBorders>
              <w:top w:val="nil"/>
              <w:left w:val="nil"/>
              <w:bottom w:val="single" w:sz="4" w:space="0" w:color="auto"/>
              <w:right w:val="single" w:sz="4" w:space="0" w:color="auto"/>
            </w:tcBorders>
            <w:shd w:val="clear" w:color="auto" w:fill="auto"/>
            <w:vAlign w:val="center"/>
            <w:hideMark/>
          </w:tcPr>
          <w:p w14:paraId="35B6496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2D29FC9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09" w:type="dxa"/>
            <w:tcBorders>
              <w:top w:val="nil"/>
              <w:left w:val="nil"/>
              <w:bottom w:val="single" w:sz="4" w:space="0" w:color="auto"/>
              <w:right w:val="single" w:sz="4" w:space="0" w:color="auto"/>
            </w:tcBorders>
            <w:shd w:val="clear" w:color="auto" w:fill="auto"/>
            <w:vAlign w:val="center"/>
            <w:hideMark/>
          </w:tcPr>
          <w:p w14:paraId="3ECCB58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4E5BDE9E"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360" w:type="dxa"/>
            <w:tcBorders>
              <w:top w:val="nil"/>
              <w:left w:val="nil"/>
              <w:bottom w:val="single" w:sz="4" w:space="0" w:color="auto"/>
              <w:right w:val="single" w:sz="4" w:space="0" w:color="auto"/>
            </w:tcBorders>
            <w:shd w:val="clear" w:color="auto" w:fill="auto"/>
            <w:vAlign w:val="center"/>
            <w:hideMark/>
          </w:tcPr>
          <w:p w14:paraId="35783B8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14:paraId="6091562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42A21BE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60149C8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11C577F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r>
      <w:tr w:rsidR="007248A4" w:rsidRPr="007248A4" w14:paraId="1B7C2EC8" w14:textId="77777777" w:rsidTr="002607E5">
        <w:trPr>
          <w:trHeight w:val="612"/>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7A7D60B3" w14:textId="77777777" w:rsidR="001731C1" w:rsidRPr="007248A4" w:rsidRDefault="001731C1" w:rsidP="001731C1">
            <w:pPr>
              <w:rPr>
                <w:rFonts w:ascii="Arial" w:hAnsi="Arial" w:cs="Arial"/>
                <w:sz w:val="18"/>
                <w:szCs w:val="18"/>
              </w:rPr>
            </w:pPr>
            <w:r w:rsidRPr="007248A4">
              <w:rPr>
                <w:rFonts w:ascii="Arial" w:hAnsi="Arial" w:cs="Arial"/>
                <w:sz w:val="18"/>
                <w:szCs w:val="18"/>
              </w:rPr>
              <w:t>Sous total axe 3</w:t>
            </w:r>
          </w:p>
        </w:tc>
        <w:tc>
          <w:tcPr>
            <w:tcW w:w="1619" w:type="dxa"/>
            <w:tcBorders>
              <w:top w:val="nil"/>
              <w:left w:val="nil"/>
              <w:bottom w:val="single" w:sz="4" w:space="0" w:color="auto"/>
              <w:right w:val="single" w:sz="4" w:space="0" w:color="auto"/>
            </w:tcBorders>
            <w:shd w:val="clear" w:color="auto" w:fill="auto"/>
            <w:vAlign w:val="center"/>
            <w:hideMark/>
          </w:tcPr>
          <w:p w14:paraId="36F3BAB9"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067" w:type="dxa"/>
            <w:tcBorders>
              <w:top w:val="nil"/>
              <w:left w:val="nil"/>
              <w:bottom w:val="single" w:sz="4" w:space="0" w:color="auto"/>
              <w:right w:val="single" w:sz="4" w:space="0" w:color="auto"/>
            </w:tcBorders>
            <w:shd w:val="clear" w:color="auto" w:fill="auto"/>
            <w:vAlign w:val="center"/>
            <w:hideMark/>
          </w:tcPr>
          <w:p w14:paraId="3F4F2340"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359" w:type="dxa"/>
            <w:tcBorders>
              <w:top w:val="nil"/>
              <w:left w:val="nil"/>
              <w:bottom w:val="single" w:sz="4" w:space="0" w:color="auto"/>
              <w:right w:val="single" w:sz="4" w:space="0" w:color="auto"/>
            </w:tcBorders>
            <w:shd w:val="clear" w:color="auto" w:fill="auto"/>
            <w:vAlign w:val="center"/>
            <w:hideMark/>
          </w:tcPr>
          <w:p w14:paraId="5A081222" w14:textId="77777777" w:rsidR="001731C1" w:rsidRPr="007248A4" w:rsidRDefault="001731C1" w:rsidP="001731C1">
            <w:pPr>
              <w:jc w:val="right"/>
              <w:rPr>
                <w:rFonts w:ascii="Arial" w:hAnsi="Arial" w:cs="Arial"/>
                <w:sz w:val="18"/>
                <w:szCs w:val="18"/>
              </w:rPr>
            </w:pPr>
            <w:r w:rsidRPr="007248A4">
              <w:rPr>
                <w:rFonts w:ascii="Arial" w:hAnsi="Arial" w:cs="Arial"/>
                <w:sz w:val="18"/>
                <w:szCs w:val="18"/>
              </w:rPr>
              <w:t>0</w:t>
            </w:r>
          </w:p>
        </w:tc>
        <w:tc>
          <w:tcPr>
            <w:tcW w:w="1418" w:type="dxa"/>
            <w:tcBorders>
              <w:top w:val="nil"/>
              <w:left w:val="nil"/>
              <w:bottom w:val="single" w:sz="4" w:space="0" w:color="auto"/>
              <w:right w:val="single" w:sz="4" w:space="0" w:color="auto"/>
            </w:tcBorders>
            <w:shd w:val="clear" w:color="auto" w:fill="auto"/>
            <w:vAlign w:val="center"/>
            <w:hideMark/>
          </w:tcPr>
          <w:p w14:paraId="02AC91ED" w14:textId="77777777" w:rsidR="001731C1" w:rsidRPr="007248A4" w:rsidRDefault="001731C1" w:rsidP="001731C1">
            <w:pPr>
              <w:jc w:val="right"/>
              <w:rPr>
                <w:rFonts w:ascii="Arial" w:hAnsi="Arial" w:cs="Arial"/>
                <w:sz w:val="18"/>
                <w:szCs w:val="18"/>
              </w:rPr>
            </w:pPr>
            <w:r w:rsidRPr="007248A4">
              <w:rPr>
                <w:rFonts w:ascii="Arial" w:hAnsi="Arial" w:cs="Arial"/>
                <w:sz w:val="18"/>
                <w:szCs w:val="18"/>
              </w:rPr>
              <w:t>0</w:t>
            </w:r>
          </w:p>
        </w:tc>
        <w:tc>
          <w:tcPr>
            <w:tcW w:w="1109" w:type="dxa"/>
            <w:tcBorders>
              <w:top w:val="nil"/>
              <w:left w:val="nil"/>
              <w:bottom w:val="single" w:sz="4" w:space="0" w:color="auto"/>
              <w:right w:val="single" w:sz="4" w:space="0" w:color="auto"/>
            </w:tcBorders>
            <w:shd w:val="clear" w:color="auto" w:fill="auto"/>
            <w:vAlign w:val="center"/>
            <w:hideMark/>
          </w:tcPr>
          <w:p w14:paraId="3166CFF8"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504530A4" w14:textId="77777777" w:rsidR="001731C1" w:rsidRPr="007248A4" w:rsidRDefault="001731C1" w:rsidP="001731C1">
            <w:pPr>
              <w:jc w:val="right"/>
              <w:rPr>
                <w:rFonts w:ascii="Arial" w:hAnsi="Arial" w:cs="Arial"/>
                <w:sz w:val="18"/>
                <w:szCs w:val="18"/>
              </w:rPr>
            </w:pPr>
            <w:r w:rsidRPr="007248A4">
              <w:rPr>
                <w:rFonts w:ascii="Arial" w:hAnsi="Arial" w:cs="Arial"/>
                <w:sz w:val="18"/>
                <w:szCs w:val="18"/>
              </w:rPr>
              <w:t>0</w:t>
            </w:r>
          </w:p>
        </w:tc>
        <w:tc>
          <w:tcPr>
            <w:tcW w:w="1360" w:type="dxa"/>
            <w:tcBorders>
              <w:top w:val="nil"/>
              <w:left w:val="nil"/>
              <w:bottom w:val="single" w:sz="4" w:space="0" w:color="auto"/>
              <w:right w:val="single" w:sz="4" w:space="0" w:color="auto"/>
            </w:tcBorders>
            <w:shd w:val="clear" w:color="auto" w:fill="auto"/>
            <w:vAlign w:val="center"/>
            <w:hideMark/>
          </w:tcPr>
          <w:p w14:paraId="0967E25E"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14:paraId="7163DB01"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1ED5B1AC"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070DD427"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38908647" w14:textId="77777777" w:rsidR="001731C1" w:rsidRPr="007248A4" w:rsidRDefault="001731C1" w:rsidP="001731C1">
            <w:pPr>
              <w:jc w:val="right"/>
              <w:rPr>
                <w:rFonts w:ascii="Arial" w:hAnsi="Arial" w:cs="Arial"/>
                <w:sz w:val="18"/>
                <w:szCs w:val="18"/>
              </w:rPr>
            </w:pPr>
            <w:r w:rsidRPr="007248A4">
              <w:rPr>
                <w:rFonts w:ascii="Arial" w:hAnsi="Arial" w:cs="Arial"/>
                <w:sz w:val="18"/>
                <w:szCs w:val="18"/>
              </w:rPr>
              <w:t>0</w:t>
            </w:r>
          </w:p>
        </w:tc>
      </w:tr>
      <w:tr w:rsidR="007248A4" w:rsidRPr="007248A4" w14:paraId="5D8FB465" w14:textId="77777777" w:rsidTr="002607E5">
        <w:trPr>
          <w:trHeight w:val="863"/>
        </w:trPr>
        <w:tc>
          <w:tcPr>
            <w:tcW w:w="1708" w:type="dxa"/>
            <w:vMerge w:val="restart"/>
            <w:tcBorders>
              <w:top w:val="nil"/>
              <w:left w:val="nil"/>
              <w:bottom w:val="single" w:sz="4" w:space="0" w:color="000000"/>
              <w:right w:val="single" w:sz="4" w:space="0" w:color="auto"/>
            </w:tcBorders>
            <w:shd w:val="clear" w:color="auto" w:fill="auto"/>
            <w:vAlign w:val="center"/>
            <w:hideMark/>
          </w:tcPr>
          <w:p w14:paraId="061B721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Axe stratégique 4 : Organisation et encadrement de l’Orpaillage : Organiser et encadrer le secteur de l’orpaillage pour un meilleur respect des réglementations et normes ainsi que la préservation du </w:t>
            </w:r>
            <w:r w:rsidRPr="007248A4">
              <w:rPr>
                <w:rFonts w:ascii="Arial" w:hAnsi="Arial" w:cs="Arial"/>
                <w:b/>
                <w:bCs/>
                <w:sz w:val="18"/>
                <w:szCs w:val="18"/>
              </w:rPr>
              <w:lastRenderedPageBreak/>
              <w:t xml:space="preserve">bien-être des acteurs locaux et des populations </w:t>
            </w:r>
          </w:p>
        </w:tc>
        <w:tc>
          <w:tcPr>
            <w:tcW w:w="1619" w:type="dxa"/>
            <w:tcBorders>
              <w:top w:val="nil"/>
              <w:left w:val="nil"/>
              <w:bottom w:val="single" w:sz="4" w:space="0" w:color="auto"/>
              <w:right w:val="single" w:sz="4" w:space="0" w:color="auto"/>
            </w:tcBorders>
            <w:shd w:val="clear" w:color="auto" w:fill="auto"/>
            <w:vAlign w:val="center"/>
            <w:hideMark/>
          </w:tcPr>
          <w:p w14:paraId="65F4C87A" w14:textId="77777777" w:rsidR="001731C1" w:rsidRPr="007248A4" w:rsidRDefault="001731C1" w:rsidP="001731C1">
            <w:pPr>
              <w:rPr>
                <w:rFonts w:ascii="Arial" w:hAnsi="Arial" w:cs="Arial"/>
                <w:sz w:val="18"/>
                <w:szCs w:val="18"/>
              </w:rPr>
            </w:pPr>
            <w:r w:rsidRPr="007248A4">
              <w:rPr>
                <w:rFonts w:ascii="Arial" w:hAnsi="Arial" w:cs="Arial"/>
                <w:sz w:val="18"/>
                <w:szCs w:val="18"/>
              </w:rPr>
              <w:lastRenderedPageBreak/>
              <w:t xml:space="preserve">Recenser les opérateurs miniers traditionnels </w:t>
            </w:r>
          </w:p>
        </w:tc>
        <w:tc>
          <w:tcPr>
            <w:tcW w:w="1067" w:type="dxa"/>
            <w:tcBorders>
              <w:top w:val="nil"/>
              <w:left w:val="nil"/>
              <w:bottom w:val="single" w:sz="4" w:space="0" w:color="auto"/>
              <w:right w:val="single" w:sz="4" w:space="0" w:color="auto"/>
            </w:tcBorders>
            <w:shd w:val="clear" w:color="auto" w:fill="auto"/>
            <w:vAlign w:val="center"/>
            <w:hideMark/>
          </w:tcPr>
          <w:p w14:paraId="7ABBCE47" w14:textId="580D4FF6"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1 200 000   </w:t>
            </w:r>
          </w:p>
        </w:tc>
        <w:tc>
          <w:tcPr>
            <w:tcW w:w="1359" w:type="dxa"/>
            <w:tcBorders>
              <w:top w:val="nil"/>
              <w:left w:val="nil"/>
              <w:bottom w:val="nil"/>
              <w:right w:val="single" w:sz="4" w:space="0" w:color="auto"/>
            </w:tcBorders>
            <w:shd w:val="clear" w:color="auto" w:fill="auto"/>
            <w:vAlign w:val="center"/>
            <w:hideMark/>
          </w:tcPr>
          <w:p w14:paraId="11E5717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nil"/>
              <w:right w:val="single" w:sz="4" w:space="0" w:color="auto"/>
            </w:tcBorders>
            <w:shd w:val="clear" w:color="auto" w:fill="auto"/>
            <w:vAlign w:val="center"/>
            <w:hideMark/>
          </w:tcPr>
          <w:p w14:paraId="2A3E4C2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1 000 000   </w:t>
            </w:r>
          </w:p>
        </w:tc>
        <w:tc>
          <w:tcPr>
            <w:tcW w:w="1109" w:type="dxa"/>
            <w:tcBorders>
              <w:top w:val="nil"/>
              <w:left w:val="nil"/>
              <w:bottom w:val="nil"/>
              <w:right w:val="single" w:sz="4" w:space="0" w:color="auto"/>
            </w:tcBorders>
            <w:shd w:val="clear" w:color="auto" w:fill="auto"/>
            <w:vAlign w:val="center"/>
            <w:hideMark/>
          </w:tcPr>
          <w:p w14:paraId="32FB516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6E6F885A"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1 000 000   </w:t>
            </w:r>
          </w:p>
        </w:tc>
        <w:tc>
          <w:tcPr>
            <w:tcW w:w="1360" w:type="dxa"/>
            <w:tcBorders>
              <w:top w:val="nil"/>
              <w:left w:val="nil"/>
              <w:bottom w:val="nil"/>
              <w:right w:val="single" w:sz="4" w:space="0" w:color="auto"/>
            </w:tcBorders>
            <w:shd w:val="clear" w:color="auto" w:fill="auto"/>
            <w:vAlign w:val="center"/>
            <w:hideMark/>
          </w:tcPr>
          <w:p w14:paraId="47CEE90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200 000   </w:t>
            </w:r>
          </w:p>
        </w:tc>
        <w:tc>
          <w:tcPr>
            <w:tcW w:w="1044" w:type="dxa"/>
            <w:tcBorders>
              <w:top w:val="nil"/>
              <w:left w:val="nil"/>
              <w:bottom w:val="nil"/>
              <w:right w:val="single" w:sz="4" w:space="0" w:color="auto"/>
            </w:tcBorders>
            <w:shd w:val="clear" w:color="auto" w:fill="auto"/>
            <w:vAlign w:val="center"/>
            <w:hideMark/>
          </w:tcPr>
          <w:p w14:paraId="67CE364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nil"/>
              <w:right w:val="single" w:sz="4" w:space="0" w:color="auto"/>
            </w:tcBorders>
            <w:shd w:val="clear" w:color="auto" w:fill="auto"/>
            <w:vAlign w:val="center"/>
            <w:hideMark/>
          </w:tcPr>
          <w:p w14:paraId="6D04932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nil"/>
              <w:right w:val="single" w:sz="4" w:space="0" w:color="auto"/>
            </w:tcBorders>
            <w:shd w:val="clear" w:color="auto" w:fill="auto"/>
            <w:vAlign w:val="center"/>
            <w:hideMark/>
          </w:tcPr>
          <w:p w14:paraId="638F730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113C9E40" w14:textId="1ED4E68C"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200 000   </w:t>
            </w:r>
          </w:p>
        </w:tc>
      </w:tr>
      <w:tr w:rsidR="007248A4" w:rsidRPr="007248A4" w14:paraId="295CEC4F" w14:textId="77777777" w:rsidTr="002607E5">
        <w:trPr>
          <w:trHeight w:val="2025"/>
        </w:trPr>
        <w:tc>
          <w:tcPr>
            <w:tcW w:w="1708" w:type="dxa"/>
            <w:vMerge/>
            <w:tcBorders>
              <w:top w:val="nil"/>
              <w:left w:val="nil"/>
              <w:bottom w:val="single" w:sz="4" w:space="0" w:color="000000"/>
              <w:right w:val="single" w:sz="4" w:space="0" w:color="auto"/>
            </w:tcBorders>
            <w:vAlign w:val="center"/>
            <w:hideMark/>
          </w:tcPr>
          <w:p w14:paraId="6D087AE7" w14:textId="77777777" w:rsidR="001731C1" w:rsidRPr="007248A4" w:rsidRDefault="001731C1" w:rsidP="001731C1">
            <w:pPr>
              <w:rPr>
                <w:rFonts w:ascii="Arial" w:hAnsi="Arial" w:cs="Arial"/>
                <w:b/>
                <w:bCs/>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14:paraId="795FE58D" w14:textId="77777777" w:rsidR="001731C1" w:rsidRPr="007248A4" w:rsidRDefault="001731C1" w:rsidP="001731C1">
            <w:pPr>
              <w:rPr>
                <w:rFonts w:ascii="Arial" w:hAnsi="Arial" w:cs="Arial"/>
                <w:sz w:val="18"/>
                <w:szCs w:val="18"/>
              </w:rPr>
            </w:pPr>
            <w:r w:rsidRPr="007248A4">
              <w:rPr>
                <w:rFonts w:ascii="Arial" w:hAnsi="Arial" w:cs="Arial"/>
                <w:sz w:val="18"/>
                <w:szCs w:val="18"/>
              </w:rPr>
              <w:t>Rendre disponible et mieux gérer les couloirs d’orpaillage afin de réduire les conflits potentiels entre exploitants traditionnels et opérateurs industriels</w:t>
            </w:r>
          </w:p>
        </w:tc>
        <w:tc>
          <w:tcPr>
            <w:tcW w:w="1067" w:type="dxa"/>
            <w:tcBorders>
              <w:top w:val="nil"/>
              <w:left w:val="nil"/>
              <w:bottom w:val="single" w:sz="4" w:space="0" w:color="auto"/>
              <w:right w:val="single" w:sz="4" w:space="0" w:color="auto"/>
            </w:tcBorders>
            <w:shd w:val="clear" w:color="auto" w:fill="auto"/>
            <w:vAlign w:val="center"/>
            <w:hideMark/>
          </w:tcPr>
          <w:p w14:paraId="6EF65951" w14:textId="1F8B69ED"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1 500 000   </w:t>
            </w:r>
          </w:p>
        </w:tc>
        <w:tc>
          <w:tcPr>
            <w:tcW w:w="1359" w:type="dxa"/>
            <w:tcBorders>
              <w:top w:val="single" w:sz="4" w:space="0" w:color="auto"/>
              <w:left w:val="nil"/>
              <w:bottom w:val="nil"/>
              <w:right w:val="single" w:sz="4" w:space="0" w:color="auto"/>
            </w:tcBorders>
            <w:shd w:val="clear" w:color="auto" w:fill="auto"/>
            <w:vAlign w:val="center"/>
            <w:hideMark/>
          </w:tcPr>
          <w:p w14:paraId="7BCD657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435 000   </w:t>
            </w:r>
          </w:p>
        </w:tc>
        <w:tc>
          <w:tcPr>
            <w:tcW w:w="1418" w:type="dxa"/>
            <w:tcBorders>
              <w:top w:val="single" w:sz="4" w:space="0" w:color="auto"/>
              <w:left w:val="nil"/>
              <w:bottom w:val="nil"/>
              <w:right w:val="single" w:sz="4" w:space="0" w:color="auto"/>
            </w:tcBorders>
            <w:shd w:val="clear" w:color="auto" w:fill="auto"/>
            <w:vAlign w:val="center"/>
            <w:hideMark/>
          </w:tcPr>
          <w:p w14:paraId="11B9AB5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617 000   </w:t>
            </w:r>
          </w:p>
        </w:tc>
        <w:tc>
          <w:tcPr>
            <w:tcW w:w="1109" w:type="dxa"/>
            <w:tcBorders>
              <w:top w:val="single" w:sz="4" w:space="0" w:color="auto"/>
              <w:left w:val="nil"/>
              <w:bottom w:val="nil"/>
              <w:right w:val="single" w:sz="4" w:space="0" w:color="auto"/>
            </w:tcBorders>
            <w:shd w:val="clear" w:color="auto" w:fill="auto"/>
            <w:vAlign w:val="center"/>
            <w:hideMark/>
          </w:tcPr>
          <w:p w14:paraId="1AEF1C3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621A749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1 052 000   </w:t>
            </w:r>
          </w:p>
        </w:tc>
        <w:tc>
          <w:tcPr>
            <w:tcW w:w="1360" w:type="dxa"/>
            <w:tcBorders>
              <w:top w:val="single" w:sz="4" w:space="0" w:color="auto"/>
              <w:left w:val="nil"/>
              <w:bottom w:val="nil"/>
              <w:right w:val="single" w:sz="4" w:space="0" w:color="auto"/>
            </w:tcBorders>
            <w:shd w:val="clear" w:color="auto" w:fill="auto"/>
            <w:vAlign w:val="center"/>
            <w:hideMark/>
          </w:tcPr>
          <w:p w14:paraId="2BF7ECC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410 400   </w:t>
            </w:r>
          </w:p>
        </w:tc>
        <w:tc>
          <w:tcPr>
            <w:tcW w:w="1044" w:type="dxa"/>
            <w:tcBorders>
              <w:top w:val="single" w:sz="4" w:space="0" w:color="auto"/>
              <w:left w:val="nil"/>
              <w:bottom w:val="nil"/>
              <w:right w:val="single" w:sz="4" w:space="0" w:color="auto"/>
            </w:tcBorders>
            <w:shd w:val="clear" w:color="auto" w:fill="auto"/>
            <w:vAlign w:val="center"/>
            <w:hideMark/>
          </w:tcPr>
          <w:p w14:paraId="61431D94"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single" w:sz="4" w:space="0" w:color="auto"/>
              <w:left w:val="nil"/>
              <w:bottom w:val="nil"/>
              <w:right w:val="single" w:sz="4" w:space="0" w:color="auto"/>
            </w:tcBorders>
            <w:shd w:val="clear" w:color="auto" w:fill="auto"/>
            <w:vAlign w:val="center"/>
            <w:hideMark/>
          </w:tcPr>
          <w:p w14:paraId="66D292B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single" w:sz="4" w:space="0" w:color="auto"/>
              <w:left w:val="nil"/>
              <w:bottom w:val="nil"/>
              <w:right w:val="single" w:sz="4" w:space="0" w:color="auto"/>
            </w:tcBorders>
            <w:shd w:val="clear" w:color="auto" w:fill="auto"/>
            <w:vAlign w:val="center"/>
            <w:hideMark/>
          </w:tcPr>
          <w:p w14:paraId="3752D85C" w14:textId="4E8A6065"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37 600   </w:t>
            </w:r>
          </w:p>
        </w:tc>
        <w:tc>
          <w:tcPr>
            <w:tcW w:w="1162" w:type="dxa"/>
            <w:tcBorders>
              <w:top w:val="nil"/>
              <w:left w:val="nil"/>
              <w:bottom w:val="single" w:sz="4" w:space="0" w:color="auto"/>
              <w:right w:val="single" w:sz="4" w:space="0" w:color="auto"/>
            </w:tcBorders>
            <w:shd w:val="clear" w:color="auto" w:fill="auto"/>
            <w:vAlign w:val="center"/>
            <w:hideMark/>
          </w:tcPr>
          <w:p w14:paraId="00431A84" w14:textId="3AD37933"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448 000   </w:t>
            </w:r>
          </w:p>
        </w:tc>
      </w:tr>
      <w:tr w:rsidR="007248A4" w:rsidRPr="007248A4" w14:paraId="6F05E45F" w14:textId="77777777" w:rsidTr="002607E5">
        <w:trPr>
          <w:trHeight w:val="2715"/>
        </w:trPr>
        <w:tc>
          <w:tcPr>
            <w:tcW w:w="1708" w:type="dxa"/>
            <w:vMerge/>
            <w:tcBorders>
              <w:top w:val="nil"/>
              <w:left w:val="nil"/>
              <w:bottom w:val="single" w:sz="4" w:space="0" w:color="000000"/>
              <w:right w:val="single" w:sz="4" w:space="0" w:color="auto"/>
            </w:tcBorders>
            <w:vAlign w:val="center"/>
            <w:hideMark/>
          </w:tcPr>
          <w:p w14:paraId="6CE24892" w14:textId="77777777" w:rsidR="001731C1" w:rsidRPr="007248A4" w:rsidRDefault="001731C1" w:rsidP="001731C1">
            <w:pPr>
              <w:rPr>
                <w:rFonts w:ascii="Arial" w:hAnsi="Arial" w:cs="Arial"/>
                <w:b/>
                <w:bCs/>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14:paraId="40070845"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 Mettre en œuvre de programmes d’information et de sensibilisation sur les enjeux individuels et communautaires et sur l’importance du respect des règlements en vigueur (y compris la fiscalité), des normes et de l’écosystème </w:t>
            </w:r>
          </w:p>
        </w:tc>
        <w:tc>
          <w:tcPr>
            <w:tcW w:w="1067" w:type="dxa"/>
            <w:tcBorders>
              <w:top w:val="nil"/>
              <w:left w:val="nil"/>
              <w:bottom w:val="single" w:sz="4" w:space="0" w:color="auto"/>
              <w:right w:val="single" w:sz="4" w:space="0" w:color="auto"/>
            </w:tcBorders>
            <w:shd w:val="clear" w:color="auto" w:fill="auto"/>
            <w:vAlign w:val="center"/>
            <w:hideMark/>
          </w:tcPr>
          <w:p w14:paraId="68D50306" w14:textId="5AD72872"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1 500 000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4EE1F3B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489 100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D4F9AF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01F87CE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34DD545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489 100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29FA131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1 010 900   </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79BBE0C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37AC0B3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5E360DD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5ABF1142" w14:textId="263676A8"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1 010 900   </w:t>
            </w:r>
          </w:p>
        </w:tc>
      </w:tr>
      <w:tr w:rsidR="007248A4" w:rsidRPr="007248A4" w14:paraId="2985B3FF" w14:textId="77777777" w:rsidTr="002607E5">
        <w:trPr>
          <w:trHeight w:val="2730"/>
        </w:trPr>
        <w:tc>
          <w:tcPr>
            <w:tcW w:w="1708" w:type="dxa"/>
            <w:vMerge/>
            <w:tcBorders>
              <w:top w:val="nil"/>
              <w:left w:val="nil"/>
              <w:bottom w:val="single" w:sz="4" w:space="0" w:color="000000"/>
              <w:right w:val="single" w:sz="4" w:space="0" w:color="auto"/>
            </w:tcBorders>
            <w:vAlign w:val="center"/>
            <w:hideMark/>
          </w:tcPr>
          <w:p w14:paraId="5016F0B8" w14:textId="77777777" w:rsidR="001731C1" w:rsidRPr="007248A4" w:rsidRDefault="001731C1" w:rsidP="001731C1">
            <w:pPr>
              <w:rPr>
                <w:rFonts w:ascii="Arial" w:hAnsi="Arial" w:cs="Arial"/>
                <w:b/>
                <w:bCs/>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14:paraId="1B1DA561" w14:textId="77777777" w:rsidR="001731C1" w:rsidRPr="007248A4" w:rsidRDefault="001731C1" w:rsidP="001731C1">
            <w:pPr>
              <w:rPr>
                <w:rFonts w:ascii="Arial" w:hAnsi="Arial" w:cs="Arial"/>
                <w:sz w:val="18"/>
                <w:szCs w:val="18"/>
              </w:rPr>
            </w:pPr>
            <w:r w:rsidRPr="007248A4">
              <w:rPr>
                <w:rFonts w:ascii="Arial" w:hAnsi="Arial" w:cs="Arial"/>
                <w:sz w:val="18"/>
                <w:szCs w:val="18"/>
              </w:rPr>
              <w:t>Mettre en place des organisations professionnelles et/ou coopératives ayant des rôles de représentation, de défense des intérêts individuels et collectifs de leurs membres, de sensibilisation, de formation et d’appui aux membres</w:t>
            </w:r>
          </w:p>
        </w:tc>
        <w:tc>
          <w:tcPr>
            <w:tcW w:w="1067" w:type="dxa"/>
            <w:tcBorders>
              <w:top w:val="nil"/>
              <w:left w:val="nil"/>
              <w:bottom w:val="single" w:sz="4" w:space="0" w:color="auto"/>
              <w:right w:val="single" w:sz="4" w:space="0" w:color="auto"/>
            </w:tcBorders>
            <w:shd w:val="clear" w:color="auto" w:fill="auto"/>
            <w:vAlign w:val="center"/>
            <w:hideMark/>
          </w:tcPr>
          <w:p w14:paraId="5B5E283E" w14:textId="7D9982BE"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1 500 000   </w:t>
            </w:r>
          </w:p>
        </w:tc>
        <w:tc>
          <w:tcPr>
            <w:tcW w:w="1359" w:type="dxa"/>
            <w:tcBorders>
              <w:top w:val="nil"/>
              <w:left w:val="nil"/>
              <w:bottom w:val="nil"/>
              <w:right w:val="single" w:sz="4" w:space="0" w:color="auto"/>
            </w:tcBorders>
            <w:shd w:val="clear" w:color="auto" w:fill="auto"/>
            <w:vAlign w:val="center"/>
            <w:hideMark/>
          </w:tcPr>
          <w:p w14:paraId="463AC09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nil"/>
              <w:right w:val="single" w:sz="4" w:space="0" w:color="auto"/>
            </w:tcBorders>
            <w:shd w:val="clear" w:color="auto" w:fill="auto"/>
            <w:vAlign w:val="center"/>
            <w:hideMark/>
          </w:tcPr>
          <w:p w14:paraId="56FB5A8A"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09" w:type="dxa"/>
            <w:tcBorders>
              <w:top w:val="nil"/>
              <w:left w:val="nil"/>
              <w:bottom w:val="nil"/>
              <w:right w:val="single" w:sz="4" w:space="0" w:color="auto"/>
            </w:tcBorders>
            <w:shd w:val="clear" w:color="auto" w:fill="auto"/>
            <w:vAlign w:val="center"/>
            <w:hideMark/>
          </w:tcPr>
          <w:p w14:paraId="03CD396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731ED82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360" w:type="dxa"/>
            <w:tcBorders>
              <w:top w:val="nil"/>
              <w:left w:val="nil"/>
              <w:bottom w:val="nil"/>
              <w:right w:val="single" w:sz="4" w:space="0" w:color="auto"/>
            </w:tcBorders>
            <w:shd w:val="clear" w:color="auto" w:fill="auto"/>
            <w:vAlign w:val="center"/>
            <w:hideMark/>
          </w:tcPr>
          <w:p w14:paraId="0157974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1 000 000   </w:t>
            </w:r>
          </w:p>
        </w:tc>
        <w:tc>
          <w:tcPr>
            <w:tcW w:w="1044" w:type="dxa"/>
            <w:tcBorders>
              <w:top w:val="nil"/>
              <w:left w:val="nil"/>
              <w:bottom w:val="nil"/>
              <w:right w:val="single" w:sz="4" w:space="0" w:color="auto"/>
            </w:tcBorders>
            <w:shd w:val="clear" w:color="auto" w:fill="auto"/>
            <w:vAlign w:val="center"/>
            <w:hideMark/>
          </w:tcPr>
          <w:p w14:paraId="185263E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nil"/>
              <w:right w:val="single" w:sz="4" w:space="0" w:color="auto"/>
            </w:tcBorders>
            <w:shd w:val="clear" w:color="auto" w:fill="auto"/>
            <w:vAlign w:val="center"/>
            <w:hideMark/>
          </w:tcPr>
          <w:p w14:paraId="2BCFF6E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nil"/>
              <w:right w:val="single" w:sz="4" w:space="0" w:color="auto"/>
            </w:tcBorders>
            <w:shd w:val="clear" w:color="auto" w:fill="auto"/>
            <w:vAlign w:val="center"/>
            <w:hideMark/>
          </w:tcPr>
          <w:p w14:paraId="643FDAAA" w14:textId="7F135E94"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500 000   </w:t>
            </w:r>
          </w:p>
        </w:tc>
        <w:tc>
          <w:tcPr>
            <w:tcW w:w="1162" w:type="dxa"/>
            <w:tcBorders>
              <w:top w:val="nil"/>
              <w:left w:val="nil"/>
              <w:bottom w:val="single" w:sz="4" w:space="0" w:color="auto"/>
              <w:right w:val="single" w:sz="4" w:space="0" w:color="auto"/>
            </w:tcBorders>
            <w:shd w:val="clear" w:color="auto" w:fill="auto"/>
            <w:vAlign w:val="center"/>
            <w:hideMark/>
          </w:tcPr>
          <w:p w14:paraId="00B48CAF" w14:textId="0AF73985"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1 500 000   </w:t>
            </w:r>
          </w:p>
        </w:tc>
      </w:tr>
      <w:tr w:rsidR="007248A4" w:rsidRPr="007248A4" w14:paraId="4510DE35" w14:textId="77777777" w:rsidTr="002607E5">
        <w:trPr>
          <w:trHeight w:val="2445"/>
        </w:trPr>
        <w:tc>
          <w:tcPr>
            <w:tcW w:w="1708" w:type="dxa"/>
            <w:vMerge/>
            <w:tcBorders>
              <w:top w:val="nil"/>
              <w:left w:val="nil"/>
              <w:bottom w:val="single" w:sz="4" w:space="0" w:color="000000"/>
              <w:right w:val="single" w:sz="4" w:space="0" w:color="auto"/>
            </w:tcBorders>
            <w:vAlign w:val="center"/>
            <w:hideMark/>
          </w:tcPr>
          <w:p w14:paraId="09570DBD" w14:textId="77777777" w:rsidR="001731C1" w:rsidRPr="007248A4" w:rsidRDefault="001731C1" w:rsidP="001731C1">
            <w:pPr>
              <w:rPr>
                <w:rFonts w:ascii="Arial" w:hAnsi="Arial" w:cs="Arial"/>
                <w:b/>
                <w:bCs/>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14:paraId="6BB6D14E" w14:textId="77777777" w:rsidR="001731C1" w:rsidRPr="007248A4" w:rsidRDefault="001731C1" w:rsidP="001731C1">
            <w:pPr>
              <w:rPr>
                <w:rFonts w:ascii="Arial" w:hAnsi="Arial" w:cs="Arial"/>
                <w:sz w:val="18"/>
                <w:szCs w:val="18"/>
              </w:rPr>
            </w:pPr>
            <w:r w:rsidRPr="007248A4">
              <w:rPr>
                <w:rFonts w:ascii="Arial" w:hAnsi="Arial" w:cs="Arial"/>
                <w:sz w:val="18"/>
                <w:szCs w:val="18"/>
              </w:rPr>
              <w:t>Formaliser des cadres de concertations entre les collectivités et les groupements des orpailleurs dans le cadre de l’amélioration de la gouvernance dans l’orpaillage, l’artisanat minier et la petite mine</w:t>
            </w:r>
          </w:p>
        </w:tc>
        <w:tc>
          <w:tcPr>
            <w:tcW w:w="1067" w:type="dxa"/>
            <w:tcBorders>
              <w:top w:val="nil"/>
              <w:left w:val="nil"/>
              <w:bottom w:val="single" w:sz="4" w:space="0" w:color="auto"/>
              <w:right w:val="single" w:sz="4" w:space="0" w:color="auto"/>
            </w:tcBorders>
            <w:shd w:val="clear" w:color="auto" w:fill="auto"/>
            <w:vAlign w:val="center"/>
            <w:hideMark/>
          </w:tcPr>
          <w:p w14:paraId="5F888406" w14:textId="28BC6BA9"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500 000   </w:t>
            </w:r>
          </w:p>
        </w:tc>
        <w:tc>
          <w:tcPr>
            <w:tcW w:w="1359" w:type="dxa"/>
            <w:tcBorders>
              <w:top w:val="single" w:sz="4" w:space="0" w:color="auto"/>
              <w:left w:val="nil"/>
              <w:bottom w:val="nil"/>
              <w:right w:val="single" w:sz="4" w:space="0" w:color="auto"/>
            </w:tcBorders>
            <w:shd w:val="clear" w:color="auto" w:fill="auto"/>
            <w:vAlign w:val="center"/>
            <w:hideMark/>
          </w:tcPr>
          <w:p w14:paraId="133DC4F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single" w:sz="4" w:space="0" w:color="auto"/>
              <w:left w:val="nil"/>
              <w:bottom w:val="nil"/>
              <w:right w:val="single" w:sz="4" w:space="0" w:color="auto"/>
            </w:tcBorders>
            <w:shd w:val="clear" w:color="auto" w:fill="auto"/>
            <w:vAlign w:val="center"/>
            <w:hideMark/>
          </w:tcPr>
          <w:p w14:paraId="43B9984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09" w:type="dxa"/>
            <w:tcBorders>
              <w:top w:val="single" w:sz="4" w:space="0" w:color="auto"/>
              <w:left w:val="nil"/>
              <w:bottom w:val="nil"/>
              <w:right w:val="single" w:sz="4" w:space="0" w:color="auto"/>
            </w:tcBorders>
            <w:shd w:val="clear" w:color="auto" w:fill="auto"/>
            <w:vAlign w:val="center"/>
            <w:hideMark/>
          </w:tcPr>
          <w:p w14:paraId="4213111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7083758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360" w:type="dxa"/>
            <w:tcBorders>
              <w:top w:val="single" w:sz="4" w:space="0" w:color="auto"/>
              <w:left w:val="nil"/>
              <w:bottom w:val="nil"/>
              <w:right w:val="single" w:sz="4" w:space="0" w:color="auto"/>
            </w:tcBorders>
            <w:shd w:val="clear" w:color="auto" w:fill="auto"/>
            <w:vAlign w:val="center"/>
            <w:hideMark/>
          </w:tcPr>
          <w:p w14:paraId="7E406B2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400 000   </w:t>
            </w:r>
          </w:p>
        </w:tc>
        <w:tc>
          <w:tcPr>
            <w:tcW w:w="1044" w:type="dxa"/>
            <w:tcBorders>
              <w:top w:val="single" w:sz="4" w:space="0" w:color="auto"/>
              <w:left w:val="nil"/>
              <w:bottom w:val="nil"/>
              <w:right w:val="single" w:sz="4" w:space="0" w:color="auto"/>
            </w:tcBorders>
            <w:shd w:val="clear" w:color="auto" w:fill="auto"/>
            <w:vAlign w:val="center"/>
            <w:hideMark/>
          </w:tcPr>
          <w:p w14:paraId="085C5A9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single" w:sz="4" w:space="0" w:color="auto"/>
              <w:left w:val="nil"/>
              <w:bottom w:val="nil"/>
              <w:right w:val="single" w:sz="4" w:space="0" w:color="auto"/>
            </w:tcBorders>
            <w:shd w:val="clear" w:color="auto" w:fill="auto"/>
            <w:vAlign w:val="center"/>
            <w:hideMark/>
          </w:tcPr>
          <w:p w14:paraId="5A0B2F9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single" w:sz="4" w:space="0" w:color="auto"/>
              <w:left w:val="nil"/>
              <w:bottom w:val="nil"/>
              <w:right w:val="single" w:sz="4" w:space="0" w:color="auto"/>
            </w:tcBorders>
            <w:shd w:val="clear" w:color="auto" w:fill="auto"/>
            <w:vAlign w:val="center"/>
            <w:hideMark/>
          </w:tcPr>
          <w:p w14:paraId="7A2D6F32" w14:textId="5577DCCF"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100 000   </w:t>
            </w:r>
          </w:p>
        </w:tc>
        <w:tc>
          <w:tcPr>
            <w:tcW w:w="1162" w:type="dxa"/>
            <w:tcBorders>
              <w:top w:val="nil"/>
              <w:left w:val="nil"/>
              <w:bottom w:val="single" w:sz="4" w:space="0" w:color="auto"/>
              <w:right w:val="single" w:sz="4" w:space="0" w:color="auto"/>
            </w:tcBorders>
            <w:shd w:val="clear" w:color="auto" w:fill="auto"/>
            <w:vAlign w:val="center"/>
            <w:hideMark/>
          </w:tcPr>
          <w:p w14:paraId="3C0FCBF9" w14:textId="04BB1AA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500 000   </w:t>
            </w:r>
          </w:p>
        </w:tc>
      </w:tr>
      <w:tr w:rsidR="007248A4" w:rsidRPr="007248A4" w14:paraId="7533A648" w14:textId="77777777" w:rsidTr="002607E5">
        <w:trPr>
          <w:trHeight w:val="1815"/>
        </w:trPr>
        <w:tc>
          <w:tcPr>
            <w:tcW w:w="1708" w:type="dxa"/>
            <w:vMerge/>
            <w:tcBorders>
              <w:top w:val="nil"/>
              <w:left w:val="nil"/>
              <w:bottom w:val="single" w:sz="4" w:space="0" w:color="000000"/>
              <w:right w:val="single" w:sz="4" w:space="0" w:color="auto"/>
            </w:tcBorders>
            <w:vAlign w:val="center"/>
            <w:hideMark/>
          </w:tcPr>
          <w:p w14:paraId="33296D6C" w14:textId="77777777" w:rsidR="001731C1" w:rsidRPr="007248A4" w:rsidRDefault="001731C1" w:rsidP="001731C1">
            <w:pPr>
              <w:rPr>
                <w:rFonts w:ascii="Arial" w:hAnsi="Arial" w:cs="Arial"/>
                <w:b/>
                <w:bCs/>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14:paraId="57579DBA" w14:textId="77777777" w:rsidR="001731C1" w:rsidRPr="007248A4" w:rsidRDefault="001731C1" w:rsidP="001731C1">
            <w:pPr>
              <w:rPr>
                <w:rFonts w:ascii="Arial" w:hAnsi="Arial" w:cs="Arial"/>
                <w:sz w:val="18"/>
                <w:szCs w:val="18"/>
              </w:rPr>
            </w:pPr>
            <w:r w:rsidRPr="007248A4">
              <w:rPr>
                <w:rFonts w:ascii="Arial" w:hAnsi="Arial" w:cs="Arial"/>
                <w:sz w:val="18"/>
                <w:szCs w:val="18"/>
              </w:rPr>
              <w:t>Mettre en place un mécanisme d’appui et de renforcement de capacité des collectivités locales en matière de suivi et de contrôle des activités d’orpaillage</w:t>
            </w:r>
          </w:p>
        </w:tc>
        <w:tc>
          <w:tcPr>
            <w:tcW w:w="1067" w:type="dxa"/>
            <w:tcBorders>
              <w:top w:val="nil"/>
              <w:left w:val="nil"/>
              <w:bottom w:val="single" w:sz="4" w:space="0" w:color="auto"/>
              <w:right w:val="single" w:sz="4" w:space="0" w:color="auto"/>
            </w:tcBorders>
            <w:shd w:val="clear" w:color="auto" w:fill="auto"/>
            <w:vAlign w:val="center"/>
            <w:hideMark/>
          </w:tcPr>
          <w:p w14:paraId="574ACC13" w14:textId="04A64A6D"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750 000   </w:t>
            </w:r>
          </w:p>
        </w:tc>
        <w:tc>
          <w:tcPr>
            <w:tcW w:w="1359" w:type="dxa"/>
            <w:tcBorders>
              <w:top w:val="single" w:sz="4" w:space="0" w:color="auto"/>
              <w:left w:val="nil"/>
              <w:bottom w:val="nil"/>
              <w:right w:val="single" w:sz="4" w:space="0" w:color="auto"/>
            </w:tcBorders>
            <w:shd w:val="clear" w:color="auto" w:fill="auto"/>
            <w:vAlign w:val="center"/>
            <w:hideMark/>
          </w:tcPr>
          <w:p w14:paraId="6B83D72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single" w:sz="4" w:space="0" w:color="auto"/>
              <w:left w:val="nil"/>
              <w:bottom w:val="nil"/>
              <w:right w:val="single" w:sz="4" w:space="0" w:color="auto"/>
            </w:tcBorders>
            <w:shd w:val="clear" w:color="auto" w:fill="auto"/>
            <w:vAlign w:val="center"/>
            <w:hideMark/>
          </w:tcPr>
          <w:p w14:paraId="3BE1123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500 000   </w:t>
            </w:r>
          </w:p>
        </w:tc>
        <w:tc>
          <w:tcPr>
            <w:tcW w:w="1109" w:type="dxa"/>
            <w:tcBorders>
              <w:top w:val="single" w:sz="4" w:space="0" w:color="auto"/>
              <w:left w:val="nil"/>
              <w:bottom w:val="nil"/>
              <w:right w:val="single" w:sz="4" w:space="0" w:color="auto"/>
            </w:tcBorders>
            <w:shd w:val="clear" w:color="auto" w:fill="auto"/>
            <w:vAlign w:val="center"/>
            <w:hideMark/>
          </w:tcPr>
          <w:p w14:paraId="448479F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29478BC4"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500 000   </w:t>
            </w:r>
          </w:p>
        </w:tc>
        <w:tc>
          <w:tcPr>
            <w:tcW w:w="1360" w:type="dxa"/>
            <w:tcBorders>
              <w:top w:val="single" w:sz="4" w:space="0" w:color="auto"/>
              <w:left w:val="nil"/>
              <w:bottom w:val="nil"/>
              <w:right w:val="single" w:sz="4" w:space="0" w:color="auto"/>
            </w:tcBorders>
            <w:shd w:val="clear" w:color="auto" w:fill="auto"/>
            <w:vAlign w:val="center"/>
            <w:hideMark/>
          </w:tcPr>
          <w:p w14:paraId="38C996E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250 000   </w:t>
            </w:r>
          </w:p>
        </w:tc>
        <w:tc>
          <w:tcPr>
            <w:tcW w:w="1044" w:type="dxa"/>
            <w:tcBorders>
              <w:top w:val="single" w:sz="4" w:space="0" w:color="auto"/>
              <w:left w:val="nil"/>
              <w:bottom w:val="nil"/>
              <w:right w:val="single" w:sz="4" w:space="0" w:color="auto"/>
            </w:tcBorders>
            <w:shd w:val="clear" w:color="auto" w:fill="auto"/>
            <w:vAlign w:val="center"/>
            <w:hideMark/>
          </w:tcPr>
          <w:p w14:paraId="28AFC8D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single" w:sz="4" w:space="0" w:color="auto"/>
              <w:left w:val="nil"/>
              <w:bottom w:val="nil"/>
              <w:right w:val="single" w:sz="4" w:space="0" w:color="auto"/>
            </w:tcBorders>
            <w:shd w:val="clear" w:color="auto" w:fill="auto"/>
            <w:vAlign w:val="center"/>
            <w:hideMark/>
          </w:tcPr>
          <w:p w14:paraId="7AB858D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single" w:sz="4" w:space="0" w:color="auto"/>
              <w:left w:val="nil"/>
              <w:bottom w:val="nil"/>
              <w:right w:val="single" w:sz="4" w:space="0" w:color="auto"/>
            </w:tcBorders>
            <w:shd w:val="clear" w:color="auto" w:fill="auto"/>
            <w:vAlign w:val="center"/>
            <w:hideMark/>
          </w:tcPr>
          <w:p w14:paraId="0D34F23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433C23BB" w14:textId="25E603CB"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250 000   </w:t>
            </w:r>
          </w:p>
        </w:tc>
      </w:tr>
      <w:tr w:rsidR="007248A4" w:rsidRPr="007248A4" w14:paraId="716221C4" w14:textId="77777777" w:rsidTr="002607E5">
        <w:trPr>
          <w:trHeight w:val="612"/>
        </w:trPr>
        <w:tc>
          <w:tcPr>
            <w:tcW w:w="1708" w:type="dxa"/>
            <w:vMerge/>
            <w:tcBorders>
              <w:top w:val="nil"/>
              <w:left w:val="nil"/>
              <w:bottom w:val="single" w:sz="4" w:space="0" w:color="000000"/>
              <w:right w:val="single" w:sz="4" w:space="0" w:color="auto"/>
            </w:tcBorders>
            <w:vAlign w:val="center"/>
            <w:hideMark/>
          </w:tcPr>
          <w:p w14:paraId="597F00D4" w14:textId="77777777" w:rsidR="001731C1" w:rsidRPr="007248A4" w:rsidRDefault="001731C1" w:rsidP="001731C1">
            <w:pPr>
              <w:rPr>
                <w:rFonts w:ascii="Arial" w:hAnsi="Arial" w:cs="Arial"/>
                <w:b/>
                <w:bCs/>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14:paraId="784FBBC6" w14:textId="77777777" w:rsidR="001731C1" w:rsidRPr="007248A4" w:rsidRDefault="001731C1" w:rsidP="001731C1">
            <w:pPr>
              <w:rPr>
                <w:rFonts w:ascii="Arial" w:hAnsi="Arial" w:cs="Arial"/>
                <w:sz w:val="18"/>
                <w:szCs w:val="18"/>
              </w:rPr>
            </w:pPr>
            <w:r w:rsidRPr="007248A4">
              <w:rPr>
                <w:rFonts w:ascii="Arial" w:hAnsi="Arial" w:cs="Arial"/>
                <w:sz w:val="18"/>
                <w:szCs w:val="18"/>
              </w:rPr>
              <w:t>Faciliter l’octroi des titres d’exploitation</w:t>
            </w:r>
          </w:p>
        </w:tc>
        <w:tc>
          <w:tcPr>
            <w:tcW w:w="1067" w:type="dxa"/>
            <w:tcBorders>
              <w:top w:val="nil"/>
              <w:left w:val="nil"/>
              <w:bottom w:val="single" w:sz="4" w:space="0" w:color="auto"/>
              <w:right w:val="single" w:sz="4" w:space="0" w:color="auto"/>
            </w:tcBorders>
            <w:shd w:val="clear" w:color="auto" w:fill="auto"/>
            <w:vAlign w:val="center"/>
            <w:hideMark/>
          </w:tcPr>
          <w:p w14:paraId="25E39750" w14:textId="1E19A7BA"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350 000   </w:t>
            </w:r>
          </w:p>
        </w:tc>
        <w:tc>
          <w:tcPr>
            <w:tcW w:w="1359" w:type="dxa"/>
            <w:tcBorders>
              <w:top w:val="single" w:sz="4" w:space="0" w:color="auto"/>
              <w:left w:val="nil"/>
              <w:bottom w:val="nil"/>
              <w:right w:val="single" w:sz="4" w:space="0" w:color="auto"/>
            </w:tcBorders>
            <w:shd w:val="clear" w:color="auto" w:fill="auto"/>
            <w:vAlign w:val="center"/>
            <w:hideMark/>
          </w:tcPr>
          <w:p w14:paraId="27309F9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105 000   </w:t>
            </w:r>
          </w:p>
        </w:tc>
        <w:tc>
          <w:tcPr>
            <w:tcW w:w="1418" w:type="dxa"/>
            <w:tcBorders>
              <w:top w:val="single" w:sz="4" w:space="0" w:color="auto"/>
              <w:left w:val="nil"/>
              <w:bottom w:val="nil"/>
              <w:right w:val="single" w:sz="4" w:space="0" w:color="auto"/>
            </w:tcBorders>
            <w:shd w:val="clear" w:color="auto" w:fill="auto"/>
            <w:vAlign w:val="center"/>
            <w:hideMark/>
          </w:tcPr>
          <w:p w14:paraId="0F685C2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150 000   </w:t>
            </w:r>
          </w:p>
        </w:tc>
        <w:tc>
          <w:tcPr>
            <w:tcW w:w="1109" w:type="dxa"/>
            <w:tcBorders>
              <w:top w:val="single" w:sz="4" w:space="0" w:color="auto"/>
              <w:left w:val="nil"/>
              <w:bottom w:val="nil"/>
              <w:right w:val="single" w:sz="4" w:space="0" w:color="auto"/>
            </w:tcBorders>
            <w:shd w:val="clear" w:color="auto" w:fill="auto"/>
            <w:vAlign w:val="center"/>
            <w:hideMark/>
          </w:tcPr>
          <w:p w14:paraId="31A3D8E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75C5BBA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255 000   </w:t>
            </w:r>
          </w:p>
        </w:tc>
        <w:tc>
          <w:tcPr>
            <w:tcW w:w="1360" w:type="dxa"/>
            <w:tcBorders>
              <w:top w:val="single" w:sz="4" w:space="0" w:color="auto"/>
              <w:left w:val="nil"/>
              <w:bottom w:val="nil"/>
              <w:right w:val="single" w:sz="4" w:space="0" w:color="auto"/>
            </w:tcBorders>
            <w:shd w:val="clear" w:color="auto" w:fill="auto"/>
            <w:vAlign w:val="center"/>
            <w:hideMark/>
          </w:tcPr>
          <w:p w14:paraId="3DBC374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95 000   </w:t>
            </w:r>
          </w:p>
        </w:tc>
        <w:tc>
          <w:tcPr>
            <w:tcW w:w="1044" w:type="dxa"/>
            <w:tcBorders>
              <w:top w:val="single" w:sz="4" w:space="0" w:color="auto"/>
              <w:left w:val="nil"/>
              <w:bottom w:val="nil"/>
              <w:right w:val="single" w:sz="4" w:space="0" w:color="auto"/>
            </w:tcBorders>
            <w:shd w:val="clear" w:color="auto" w:fill="auto"/>
            <w:vAlign w:val="center"/>
            <w:hideMark/>
          </w:tcPr>
          <w:p w14:paraId="78A086C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986" w:type="dxa"/>
            <w:tcBorders>
              <w:top w:val="single" w:sz="4" w:space="0" w:color="auto"/>
              <w:left w:val="nil"/>
              <w:bottom w:val="nil"/>
              <w:right w:val="single" w:sz="4" w:space="0" w:color="auto"/>
            </w:tcBorders>
            <w:shd w:val="clear" w:color="auto" w:fill="auto"/>
            <w:vAlign w:val="center"/>
            <w:hideMark/>
          </w:tcPr>
          <w:p w14:paraId="415ED1F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12" w:type="dxa"/>
            <w:tcBorders>
              <w:top w:val="single" w:sz="4" w:space="0" w:color="auto"/>
              <w:left w:val="nil"/>
              <w:bottom w:val="nil"/>
              <w:right w:val="single" w:sz="4" w:space="0" w:color="auto"/>
            </w:tcBorders>
            <w:shd w:val="clear" w:color="auto" w:fill="auto"/>
            <w:vAlign w:val="center"/>
            <w:hideMark/>
          </w:tcPr>
          <w:p w14:paraId="6DAAA72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14:paraId="46DB97FA" w14:textId="5995A613"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95 000   </w:t>
            </w:r>
          </w:p>
        </w:tc>
      </w:tr>
      <w:tr w:rsidR="007248A4" w:rsidRPr="007248A4" w14:paraId="2B50AB80" w14:textId="77777777" w:rsidTr="002607E5">
        <w:trPr>
          <w:trHeight w:val="889"/>
        </w:trPr>
        <w:tc>
          <w:tcPr>
            <w:tcW w:w="1708" w:type="dxa"/>
            <w:vMerge/>
            <w:tcBorders>
              <w:top w:val="nil"/>
              <w:left w:val="nil"/>
              <w:bottom w:val="single" w:sz="4" w:space="0" w:color="000000"/>
              <w:right w:val="single" w:sz="4" w:space="0" w:color="auto"/>
            </w:tcBorders>
            <w:vAlign w:val="center"/>
            <w:hideMark/>
          </w:tcPr>
          <w:p w14:paraId="5CB65523" w14:textId="77777777" w:rsidR="001731C1" w:rsidRPr="007248A4" w:rsidRDefault="001731C1" w:rsidP="001731C1">
            <w:pPr>
              <w:rPr>
                <w:rFonts w:ascii="Arial" w:hAnsi="Arial" w:cs="Arial"/>
                <w:b/>
                <w:bCs/>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14:paraId="59ED0025" w14:textId="77777777" w:rsidR="001731C1" w:rsidRPr="007248A4" w:rsidRDefault="001731C1" w:rsidP="001731C1">
            <w:pPr>
              <w:rPr>
                <w:rFonts w:ascii="Arial" w:hAnsi="Arial" w:cs="Arial"/>
                <w:sz w:val="18"/>
                <w:szCs w:val="18"/>
              </w:rPr>
            </w:pPr>
            <w:r w:rsidRPr="007248A4">
              <w:rPr>
                <w:rFonts w:ascii="Arial" w:hAnsi="Arial" w:cs="Arial"/>
                <w:sz w:val="18"/>
                <w:szCs w:val="18"/>
              </w:rPr>
              <w:t>Favoriser l’installation des comptoirs d’achats dans le secteur de l’orpaillage</w:t>
            </w:r>
          </w:p>
        </w:tc>
        <w:tc>
          <w:tcPr>
            <w:tcW w:w="1067" w:type="dxa"/>
            <w:tcBorders>
              <w:top w:val="nil"/>
              <w:left w:val="nil"/>
              <w:bottom w:val="single" w:sz="4" w:space="0" w:color="auto"/>
              <w:right w:val="single" w:sz="4" w:space="0" w:color="auto"/>
            </w:tcBorders>
            <w:shd w:val="clear" w:color="auto" w:fill="auto"/>
            <w:vAlign w:val="center"/>
            <w:hideMark/>
          </w:tcPr>
          <w:p w14:paraId="742B82E0" w14:textId="5BC6F98E"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605 000   </w:t>
            </w:r>
          </w:p>
        </w:tc>
        <w:tc>
          <w:tcPr>
            <w:tcW w:w="1359" w:type="dxa"/>
            <w:tcBorders>
              <w:top w:val="single" w:sz="4" w:space="0" w:color="auto"/>
              <w:left w:val="nil"/>
              <w:bottom w:val="nil"/>
              <w:right w:val="single" w:sz="4" w:space="0" w:color="auto"/>
            </w:tcBorders>
            <w:shd w:val="clear" w:color="auto" w:fill="auto"/>
            <w:vAlign w:val="center"/>
            <w:hideMark/>
          </w:tcPr>
          <w:p w14:paraId="4448B9B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274 000   </w:t>
            </w:r>
          </w:p>
        </w:tc>
        <w:tc>
          <w:tcPr>
            <w:tcW w:w="1418" w:type="dxa"/>
            <w:tcBorders>
              <w:top w:val="single" w:sz="4" w:space="0" w:color="auto"/>
              <w:left w:val="nil"/>
              <w:bottom w:val="nil"/>
              <w:right w:val="single" w:sz="4" w:space="0" w:color="auto"/>
            </w:tcBorders>
            <w:shd w:val="clear" w:color="auto" w:fill="auto"/>
            <w:vAlign w:val="center"/>
            <w:hideMark/>
          </w:tcPr>
          <w:p w14:paraId="350A9D4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09" w:type="dxa"/>
            <w:tcBorders>
              <w:top w:val="single" w:sz="4" w:space="0" w:color="auto"/>
              <w:left w:val="nil"/>
              <w:bottom w:val="nil"/>
              <w:right w:val="single" w:sz="4" w:space="0" w:color="auto"/>
            </w:tcBorders>
            <w:shd w:val="clear" w:color="auto" w:fill="auto"/>
            <w:vAlign w:val="center"/>
            <w:hideMark/>
          </w:tcPr>
          <w:p w14:paraId="734115F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22F4AF2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274 000   </w:t>
            </w:r>
          </w:p>
        </w:tc>
        <w:tc>
          <w:tcPr>
            <w:tcW w:w="1360" w:type="dxa"/>
            <w:tcBorders>
              <w:top w:val="single" w:sz="4" w:space="0" w:color="auto"/>
              <w:left w:val="nil"/>
              <w:bottom w:val="nil"/>
              <w:right w:val="single" w:sz="4" w:space="0" w:color="auto"/>
            </w:tcBorders>
            <w:shd w:val="clear" w:color="auto" w:fill="auto"/>
            <w:vAlign w:val="center"/>
            <w:hideMark/>
          </w:tcPr>
          <w:p w14:paraId="1FEF24F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200 000   </w:t>
            </w:r>
          </w:p>
        </w:tc>
        <w:tc>
          <w:tcPr>
            <w:tcW w:w="1044" w:type="dxa"/>
            <w:tcBorders>
              <w:top w:val="single" w:sz="4" w:space="0" w:color="auto"/>
              <w:left w:val="nil"/>
              <w:bottom w:val="nil"/>
              <w:right w:val="single" w:sz="4" w:space="0" w:color="auto"/>
            </w:tcBorders>
            <w:shd w:val="clear" w:color="auto" w:fill="auto"/>
            <w:vAlign w:val="center"/>
            <w:hideMark/>
          </w:tcPr>
          <w:p w14:paraId="346AA08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single" w:sz="4" w:space="0" w:color="auto"/>
              <w:left w:val="nil"/>
              <w:bottom w:val="nil"/>
              <w:right w:val="single" w:sz="4" w:space="0" w:color="auto"/>
            </w:tcBorders>
            <w:shd w:val="clear" w:color="auto" w:fill="auto"/>
            <w:vAlign w:val="center"/>
            <w:hideMark/>
          </w:tcPr>
          <w:p w14:paraId="799D31B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single" w:sz="4" w:space="0" w:color="auto"/>
              <w:left w:val="nil"/>
              <w:bottom w:val="nil"/>
              <w:right w:val="single" w:sz="4" w:space="0" w:color="auto"/>
            </w:tcBorders>
            <w:shd w:val="clear" w:color="auto" w:fill="auto"/>
            <w:vAlign w:val="center"/>
            <w:hideMark/>
          </w:tcPr>
          <w:p w14:paraId="1E89D935" w14:textId="1BD7DA0E"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131 000   </w:t>
            </w:r>
          </w:p>
        </w:tc>
        <w:tc>
          <w:tcPr>
            <w:tcW w:w="1162" w:type="dxa"/>
            <w:tcBorders>
              <w:top w:val="nil"/>
              <w:left w:val="nil"/>
              <w:bottom w:val="single" w:sz="4" w:space="0" w:color="auto"/>
              <w:right w:val="single" w:sz="4" w:space="0" w:color="auto"/>
            </w:tcBorders>
            <w:shd w:val="clear" w:color="auto" w:fill="auto"/>
            <w:vAlign w:val="center"/>
            <w:hideMark/>
          </w:tcPr>
          <w:p w14:paraId="295E8CEA" w14:textId="2C21CAED"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331 000   </w:t>
            </w:r>
          </w:p>
        </w:tc>
      </w:tr>
      <w:tr w:rsidR="007248A4" w:rsidRPr="007248A4" w14:paraId="11B5654F" w14:textId="77777777" w:rsidTr="002607E5">
        <w:trPr>
          <w:trHeight w:val="552"/>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50D013B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Sous total axe 4 </w:t>
            </w:r>
          </w:p>
        </w:tc>
        <w:tc>
          <w:tcPr>
            <w:tcW w:w="1619" w:type="dxa"/>
            <w:tcBorders>
              <w:top w:val="nil"/>
              <w:left w:val="nil"/>
              <w:bottom w:val="single" w:sz="4" w:space="0" w:color="auto"/>
              <w:right w:val="single" w:sz="4" w:space="0" w:color="auto"/>
            </w:tcBorders>
            <w:shd w:val="clear" w:color="auto" w:fill="auto"/>
            <w:vAlign w:val="center"/>
            <w:hideMark/>
          </w:tcPr>
          <w:p w14:paraId="5990E82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067" w:type="dxa"/>
            <w:tcBorders>
              <w:top w:val="nil"/>
              <w:left w:val="nil"/>
              <w:bottom w:val="single" w:sz="4" w:space="0" w:color="auto"/>
              <w:right w:val="single" w:sz="4" w:space="0" w:color="auto"/>
            </w:tcBorders>
            <w:shd w:val="clear" w:color="auto" w:fill="auto"/>
            <w:vAlign w:val="center"/>
            <w:hideMark/>
          </w:tcPr>
          <w:p w14:paraId="27274BD5" w14:textId="51E420D3"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7 905 000   </w:t>
            </w:r>
          </w:p>
        </w:tc>
        <w:tc>
          <w:tcPr>
            <w:tcW w:w="1359" w:type="dxa"/>
            <w:tcBorders>
              <w:top w:val="single" w:sz="4" w:space="0" w:color="auto"/>
              <w:left w:val="nil"/>
              <w:bottom w:val="single" w:sz="4" w:space="0" w:color="auto"/>
              <w:right w:val="single" w:sz="4" w:space="0" w:color="auto"/>
            </w:tcBorders>
            <w:shd w:val="clear" w:color="auto" w:fill="auto"/>
            <w:vAlign w:val="center"/>
            <w:hideMark/>
          </w:tcPr>
          <w:p w14:paraId="2994E32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1 303 100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FDC030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2 267 000   </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14:paraId="466DCB0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7D13E74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3 570 100   </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7F9C46B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3 566 300   </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14:paraId="2950BB4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986" w:type="dxa"/>
            <w:tcBorders>
              <w:top w:val="single" w:sz="4" w:space="0" w:color="auto"/>
              <w:left w:val="nil"/>
              <w:bottom w:val="single" w:sz="4" w:space="0" w:color="auto"/>
              <w:right w:val="single" w:sz="4" w:space="0" w:color="auto"/>
            </w:tcBorders>
            <w:shd w:val="clear" w:color="auto" w:fill="auto"/>
            <w:vAlign w:val="center"/>
            <w:hideMark/>
          </w:tcPr>
          <w:p w14:paraId="192CAD6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12" w:type="dxa"/>
            <w:tcBorders>
              <w:top w:val="single" w:sz="4" w:space="0" w:color="auto"/>
              <w:left w:val="nil"/>
              <w:bottom w:val="single" w:sz="4" w:space="0" w:color="auto"/>
              <w:right w:val="single" w:sz="4" w:space="0" w:color="auto"/>
            </w:tcBorders>
            <w:shd w:val="clear" w:color="auto" w:fill="auto"/>
            <w:vAlign w:val="center"/>
            <w:hideMark/>
          </w:tcPr>
          <w:p w14:paraId="62059E90" w14:textId="11259E99"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768 600   </w:t>
            </w:r>
          </w:p>
        </w:tc>
        <w:tc>
          <w:tcPr>
            <w:tcW w:w="1162" w:type="dxa"/>
            <w:tcBorders>
              <w:top w:val="nil"/>
              <w:left w:val="nil"/>
              <w:bottom w:val="single" w:sz="4" w:space="0" w:color="auto"/>
              <w:right w:val="single" w:sz="4" w:space="0" w:color="auto"/>
            </w:tcBorders>
            <w:shd w:val="clear" w:color="auto" w:fill="auto"/>
            <w:vAlign w:val="center"/>
            <w:hideMark/>
          </w:tcPr>
          <w:p w14:paraId="0CA0D91A" w14:textId="6B0ECCE6"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4 334 900   </w:t>
            </w:r>
          </w:p>
        </w:tc>
      </w:tr>
      <w:tr w:rsidR="007248A4" w:rsidRPr="007248A4" w14:paraId="186CEEA8" w14:textId="77777777" w:rsidTr="002607E5">
        <w:trPr>
          <w:trHeight w:val="3105"/>
        </w:trPr>
        <w:tc>
          <w:tcPr>
            <w:tcW w:w="1708" w:type="dxa"/>
            <w:vMerge w:val="restart"/>
            <w:tcBorders>
              <w:top w:val="nil"/>
              <w:left w:val="single" w:sz="4" w:space="0" w:color="auto"/>
              <w:bottom w:val="single" w:sz="4" w:space="0" w:color="000000"/>
              <w:right w:val="single" w:sz="4" w:space="0" w:color="auto"/>
            </w:tcBorders>
            <w:shd w:val="clear" w:color="auto" w:fill="auto"/>
            <w:vAlign w:val="center"/>
            <w:hideMark/>
          </w:tcPr>
          <w:p w14:paraId="76FC374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Axe stratégique 5 : Ressources humaines :</w:t>
            </w:r>
            <w:r w:rsidRPr="007248A4">
              <w:rPr>
                <w:rFonts w:ascii="Arial" w:hAnsi="Arial" w:cs="Arial"/>
                <w:sz w:val="18"/>
                <w:szCs w:val="18"/>
              </w:rPr>
              <w:t xml:space="preserve"> Améliorer la qualité de la ressource humaine sur toute la chaîne de valeur verticale et horizontale de l'industrie minière </w:t>
            </w:r>
          </w:p>
        </w:tc>
        <w:tc>
          <w:tcPr>
            <w:tcW w:w="1619" w:type="dxa"/>
            <w:tcBorders>
              <w:top w:val="nil"/>
              <w:left w:val="nil"/>
              <w:bottom w:val="single" w:sz="4" w:space="0" w:color="auto"/>
              <w:right w:val="single" w:sz="4" w:space="0" w:color="auto"/>
            </w:tcBorders>
            <w:shd w:val="clear" w:color="auto" w:fill="auto"/>
            <w:vAlign w:val="center"/>
            <w:hideMark/>
          </w:tcPr>
          <w:p w14:paraId="44E185BF" w14:textId="77777777" w:rsidR="001731C1" w:rsidRPr="007248A4" w:rsidRDefault="001731C1" w:rsidP="001731C1">
            <w:pPr>
              <w:rPr>
                <w:rFonts w:ascii="Arial" w:hAnsi="Arial" w:cs="Arial"/>
                <w:sz w:val="18"/>
                <w:szCs w:val="18"/>
              </w:rPr>
            </w:pPr>
            <w:r w:rsidRPr="007248A4">
              <w:rPr>
                <w:rFonts w:ascii="Arial" w:hAnsi="Arial" w:cs="Arial"/>
                <w:sz w:val="18"/>
                <w:szCs w:val="18"/>
              </w:rPr>
              <w:t>Faire une évaluation détaillée des besoins du secteur minier et pétrolier malien, en ressources humaines en volume, en qualité et dans son évolution en fonction de la politique et des stratégies adoptées pour son développement</w:t>
            </w:r>
          </w:p>
        </w:tc>
        <w:tc>
          <w:tcPr>
            <w:tcW w:w="1067" w:type="dxa"/>
            <w:tcBorders>
              <w:top w:val="nil"/>
              <w:left w:val="nil"/>
              <w:bottom w:val="single" w:sz="4" w:space="0" w:color="auto"/>
              <w:right w:val="single" w:sz="4" w:space="0" w:color="auto"/>
            </w:tcBorders>
            <w:shd w:val="clear" w:color="auto" w:fill="auto"/>
            <w:vAlign w:val="center"/>
            <w:hideMark/>
          </w:tcPr>
          <w:p w14:paraId="1AD4BA0B" w14:textId="10D2CB33"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500 000   </w:t>
            </w:r>
          </w:p>
        </w:tc>
        <w:tc>
          <w:tcPr>
            <w:tcW w:w="1359" w:type="dxa"/>
            <w:tcBorders>
              <w:top w:val="nil"/>
              <w:left w:val="nil"/>
              <w:bottom w:val="single" w:sz="4" w:space="0" w:color="auto"/>
              <w:right w:val="single" w:sz="4" w:space="0" w:color="auto"/>
            </w:tcBorders>
            <w:shd w:val="clear" w:color="auto" w:fill="auto"/>
            <w:vAlign w:val="center"/>
            <w:hideMark/>
          </w:tcPr>
          <w:p w14:paraId="6DF200A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300 000   </w:t>
            </w:r>
          </w:p>
        </w:tc>
        <w:tc>
          <w:tcPr>
            <w:tcW w:w="1418" w:type="dxa"/>
            <w:tcBorders>
              <w:top w:val="nil"/>
              <w:left w:val="nil"/>
              <w:bottom w:val="single" w:sz="4" w:space="0" w:color="auto"/>
              <w:right w:val="single" w:sz="4" w:space="0" w:color="auto"/>
            </w:tcBorders>
            <w:shd w:val="clear" w:color="auto" w:fill="auto"/>
            <w:vAlign w:val="center"/>
            <w:hideMark/>
          </w:tcPr>
          <w:p w14:paraId="7810CE0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09" w:type="dxa"/>
            <w:tcBorders>
              <w:top w:val="nil"/>
              <w:left w:val="nil"/>
              <w:bottom w:val="single" w:sz="4" w:space="0" w:color="auto"/>
              <w:right w:val="single" w:sz="4" w:space="0" w:color="auto"/>
            </w:tcBorders>
            <w:shd w:val="clear" w:color="auto" w:fill="auto"/>
            <w:vAlign w:val="center"/>
            <w:hideMark/>
          </w:tcPr>
          <w:p w14:paraId="37BCD30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61F7E64A"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300 000   </w:t>
            </w:r>
          </w:p>
        </w:tc>
        <w:tc>
          <w:tcPr>
            <w:tcW w:w="1360" w:type="dxa"/>
            <w:tcBorders>
              <w:top w:val="nil"/>
              <w:left w:val="nil"/>
              <w:bottom w:val="single" w:sz="4" w:space="0" w:color="auto"/>
              <w:right w:val="single" w:sz="4" w:space="0" w:color="auto"/>
            </w:tcBorders>
            <w:shd w:val="clear" w:color="auto" w:fill="auto"/>
            <w:vAlign w:val="center"/>
            <w:hideMark/>
          </w:tcPr>
          <w:p w14:paraId="7E4A9AA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200 000   </w:t>
            </w:r>
          </w:p>
        </w:tc>
        <w:tc>
          <w:tcPr>
            <w:tcW w:w="1044" w:type="dxa"/>
            <w:tcBorders>
              <w:top w:val="nil"/>
              <w:left w:val="nil"/>
              <w:bottom w:val="single" w:sz="4" w:space="0" w:color="auto"/>
              <w:right w:val="single" w:sz="4" w:space="0" w:color="auto"/>
            </w:tcBorders>
            <w:shd w:val="clear" w:color="auto" w:fill="auto"/>
            <w:vAlign w:val="center"/>
            <w:hideMark/>
          </w:tcPr>
          <w:p w14:paraId="0F1C80A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537FEA6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6D50F8B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56626942" w14:textId="612AE60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200 000   </w:t>
            </w:r>
          </w:p>
        </w:tc>
      </w:tr>
      <w:tr w:rsidR="007248A4" w:rsidRPr="007248A4" w14:paraId="62E96A00" w14:textId="77777777" w:rsidTr="002607E5">
        <w:trPr>
          <w:trHeight w:val="2220"/>
        </w:trPr>
        <w:tc>
          <w:tcPr>
            <w:tcW w:w="1708" w:type="dxa"/>
            <w:vMerge/>
            <w:tcBorders>
              <w:top w:val="nil"/>
              <w:left w:val="single" w:sz="4" w:space="0" w:color="auto"/>
              <w:bottom w:val="single" w:sz="4" w:space="0" w:color="000000"/>
              <w:right w:val="single" w:sz="4" w:space="0" w:color="auto"/>
            </w:tcBorders>
            <w:vAlign w:val="center"/>
            <w:hideMark/>
          </w:tcPr>
          <w:p w14:paraId="260C692B" w14:textId="77777777" w:rsidR="001731C1" w:rsidRPr="007248A4" w:rsidRDefault="001731C1" w:rsidP="001731C1">
            <w:pPr>
              <w:rPr>
                <w:rFonts w:ascii="Arial" w:hAnsi="Arial" w:cs="Arial"/>
                <w:b/>
                <w:bCs/>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14:paraId="452B4AB2" w14:textId="77777777" w:rsidR="001731C1" w:rsidRPr="007248A4" w:rsidRDefault="001731C1" w:rsidP="001731C1">
            <w:pPr>
              <w:rPr>
                <w:rFonts w:ascii="Arial" w:hAnsi="Arial" w:cs="Arial"/>
                <w:sz w:val="18"/>
                <w:szCs w:val="18"/>
              </w:rPr>
            </w:pPr>
            <w:r w:rsidRPr="007248A4">
              <w:rPr>
                <w:rFonts w:ascii="Arial" w:hAnsi="Arial" w:cs="Arial"/>
                <w:sz w:val="18"/>
                <w:szCs w:val="18"/>
              </w:rPr>
              <w:t>Renforcer les acteurs nationaux en termes de capacité de négociation de contrats, accords et avantages de développement communautaire</w:t>
            </w:r>
          </w:p>
        </w:tc>
        <w:tc>
          <w:tcPr>
            <w:tcW w:w="1067" w:type="dxa"/>
            <w:tcBorders>
              <w:top w:val="nil"/>
              <w:left w:val="nil"/>
              <w:bottom w:val="single" w:sz="4" w:space="0" w:color="auto"/>
              <w:right w:val="single" w:sz="4" w:space="0" w:color="auto"/>
            </w:tcBorders>
            <w:shd w:val="clear" w:color="auto" w:fill="auto"/>
            <w:vAlign w:val="center"/>
            <w:hideMark/>
          </w:tcPr>
          <w:p w14:paraId="28DD71B9" w14:textId="5E09AD6A"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1 300 000   </w:t>
            </w:r>
          </w:p>
        </w:tc>
        <w:tc>
          <w:tcPr>
            <w:tcW w:w="1359" w:type="dxa"/>
            <w:tcBorders>
              <w:top w:val="nil"/>
              <w:left w:val="nil"/>
              <w:bottom w:val="single" w:sz="4" w:space="0" w:color="auto"/>
              <w:right w:val="single" w:sz="4" w:space="0" w:color="auto"/>
            </w:tcBorders>
            <w:shd w:val="clear" w:color="auto" w:fill="auto"/>
            <w:vAlign w:val="center"/>
            <w:hideMark/>
          </w:tcPr>
          <w:p w14:paraId="52607EA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850 000   </w:t>
            </w:r>
          </w:p>
        </w:tc>
        <w:tc>
          <w:tcPr>
            <w:tcW w:w="1418" w:type="dxa"/>
            <w:tcBorders>
              <w:top w:val="nil"/>
              <w:left w:val="nil"/>
              <w:bottom w:val="single" w:sz="4" w:space="0" w:color="auto"/>
              <w:right w:val="single" w:sz="4" w:space="0" w:color="auto"/>
            </w:tcBorders>
            <w:shd w:val="clear" w:color="auto" w:fill="auto"/>
            <w:vAlign w:val="center"/>
            <w:hideMark/>
          </w:tcPr>
          <w:p w14:paraId="5AE6B7B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300 000   </w:t>
            </w:r>
          </w:p>
        </w:tc>
        <w:tc>
          <w:tcPr>
            <w:tcW w:w="1109" w:type="dxa"/>
            <w:tcBorders>
              <w:top w:val="nil"/>
              <w:left w:val="nil"/>
              <w:bottom w:val="single" w:sz="4" w:space="0" w:color="auto"/>
              <w:right w:val="single" w:sz="4" w:space="0" w:color="auto"/>
            </w:tcBorders>
            <w:shd w:val="clear" w:color="auto" w:fill="auto"/>
            <w:vAlign w:val="center"/>
            <w:hideMark/>
          </w:tcPr>
          <w:p w14:paraId="6022970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2A0A016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1 150 000   </w:t>
            </w:r>
          </w:p>
        </w:tc>
        <w:tc>
          <w:tcPr>
            <w:tcW w:w="1360" w:type="dxa"/>
            <w:tcBorders>
              <w:top w:val="nil"/>
              <w:left w:val="nil"/>
              <w:bottom w:val="single" w:sz="4" w:space="0" w:color="auto"/>
              <w:right w:val="single" w:sz="4" w:space="0" w:color="auto"/>
            </w:tcBorders>
            <w:shd w:val="clear" w:color="auto" w:fill="auto"/>
            <w:vAlign w:val="center"/>
            <w:hideMark/>
          </w:tcPr>
          <w:p w14:paraId="5CE495E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150 000   </w:t>
            </w:r>
          </w:p>
        </w:tc>
        <w:tc>
          <w:tcPr>
            <w:tcW w:w="1044" w:type="dxa"/>
            <w:tcBorders>
              <w:top w:val="nil"/>
              <w:left w:val="nil"/>
              <w:bottom w:val="single" w:sz="4" w:space="0" w:color="auto"/>
              <w:right w:val="single" w:sz="4" w:space="0" w:color="auto"/>
            </w:tcBorders>
            <w:shd w:val="clear" w:color="auto" w:fill="auto"/>
            <w:vAlign w:val="center"/>
            <w:hideMark/>
          </w:tcPr>
          <w:p w14:paraId="48585FD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0161A48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19F1BEB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6A2D3223" w14:textId="4FDB4D28"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150 000   </w:t>
            </w:r>
          </w:p>
        </w:tc>
      </w:tr>
      <w:tr w:rsidR="007248A4" w:rsidRPr="007248A4" w14:paraId="4BF4399A" w14:textId="77777777" w:rsidTr="002607E5">
        <w:trPr>
          <w:trHeight w:val="612"/>
        </w:trPr>
        <w:tc>
          <w:tcPr>
            <w:tcW w:w="1708" w:type="dxa"/>
            <w:vMerge/>
            <w:tcBorders>
              <w:top w:val="nil"/>
              <w:left w:val="single" w:sz="4" w:space="0" w:color="auto"/>
              <w:bottom w:val="single" w:sz="4" w:space="0" w:color="000000"/>
              <w:right w:val="single" w:sz="4" w:space="0" w:color="auto"/>
            </w:tcBorders>
            <w:vAlign w:val="center"/>
            <w:hideMark/>
          </w:tcPr>
          <w:p w14:paraId="2F947F22" w14:textId="77777777" w:rsidR="001731C1" w:rsidRPr="007248A4" w:rsidRDefault="001731C1" w:rsidP="001731C1">
            <w:pPr>
              <w:rPr>
                <w:rFonts w:ascii="Arial" w:hAnsi="Arial" w:cs="Arial"/>
                <w:b/>
                <w:bCs/>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14:paraId="6EDDFBDD"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Créer l’Ecole des Mines </w:t>
            </w:r>
          </w:p>
        </w:tc>
        <w:tc>
          <w:tcPr>
            <w:tcW w:w="1067" w:type="dxa"/>
            <w:tcBorders>
              <w:top w:val="nil"/>
              <w:left w:val="nil"/>
              <w:bottom w:val="single" w:sz="4" w:space="0" w:color="auto"/>
              <w:right w:val="single" w:sz="4" w:space="0" w:color="auto"/>
            </w:tcBorders>
            <w:shd w:val="clear" w:color="auto" w:fill="auto"/>
            <w:vAlign w:val="center"/>
            <w:hideMark/>
          </w:tcPr>
          <w:p w14:paraId="5514362F" w14:textId="6E0B0CF5"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15 400 000   </w:t>
            </w:r>
          </w:p>
        </w:tc>
        <w:tc>
          <w:tcPr>
            <w:tcW w:w="1359" w:type="dxa"/>
            <w:tcBorders>
              <w:top w:val="nil"/>
              <w:left w:val="nil"/>
              <w:bottom w:val="single" w:sz="4" w:space="0" w:color="auto"/>
              <w:right w:val="single" w:sz="4" w:space="0" w:color="auto"/>
            </w:tcBorders>
            <w:shd w:val="clear" w:color="auto" w:fill="auto"/>
            <w:vAlign w:val="center"/>
            <w:hideMark/>
          </w:tcPr>
          <w:p w14:paraId="036F8E4E"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3 000 000   </w:t>
            </w:r>
          </w:p>
        </w:tc>
        <w:tc>
          <w:tcPr>
            <w:tcW w:w="1418" w:type="dxa"/>
            <w:tcBorders>
              <w:top w:val="nil"/>
              <w:left w:val="nil"/>
              <w:bottom w:val="single" w:sz="4" w:space="0" w:color="auto"/>
              <w:right w:val="single" w:sz="4" w:space="0" w:color="auto"/>
            </w:tcBorders>
            <w:shd w:val="clear" w:color="auto" w:fill="auto"/>
            <w:vAlign w:val="center"/>
            <w:hideMark/>
          </w:tcPr>
          <w:p w14:paraId="69B3090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1 000 000   </w:t>
            </w:r>
          </w:p>
        </w:tc>
        <w:tc>
          <w:tcPr>
            <w:tcW w:w="1109" w:type="dxa"/>
            <w:tcBorders>
              <w:top w:val="nil"/>
              <w:left w:val="nil"/>
              <w:bottom w:val="single" w:sz="4" w:space="0" w:color="auto"/>
              <w:right w:val="single" w:sz="4" w:space="0" w:color="auto"/>
            </w:tcBorders>
            <w:shd w:val="clear" w:color="auto" w:fill="auto"/>
            <w:vAlign w:val="center"/>
            <w:hideMark/>
          </w:tcPr>
          <w:p w14:paraId="146DF7F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1 311 000   </w:t>
            </w:r>
          </w:p>
        </w:tc>
        <w:tc>
          <w:tcPr>
            <w:tcW w:w="1365" w:type="dxa"/>
            <w:tcBorders>
              <w:top w:val="nil"/>
              <w:left w:val="nil"/>
              <w:bottom w:val="single" w:sz="4" w:space="0" w:color="auto"/>
              <w:right w:val="single" w:sz="4" w:space="0" w:color="auto"/>
            </w:tcBorders>
            <w:shd w:val="clear" w:color="auto" w:fill="auto"/>
            <w:vAlign w:val="center"/>
            <w:hideMark/>
          </w:tcPr>
          <w:p w14:paraId="59CF38F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5 311 000   </w:t>
            </w:r>
          </w:p>
        </w:tc>
        <w:tc>
          <w:tcPr>
            <w:tcW w:w="1360" w:type="dxa"/>
            <w:tcBorders>
              <w:top w:val="nil"/>
              <w:left w:val="nil"/>
              <w:bottom w:val="single" w:sz="4" w:space="0" w:color="auto"/>
              <w:right w:val="single" w:sz="4" w:space="0" w:color="auto"/>
            </w:tcBorders>
            <w:shd w:val="clear" w:color="auto" w:fill="auto"/>
            <w:vAlign w:val="center"/>
            <w:hideMark/>
          </w:tcPr>
          <w:p w14:paraId="7DCA35D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4 035 600   </w:t>
            </w:r>
          </w:p>
        </w:tc>
        <w:tc>
          <w:tcPr>
            <w:tcW w:w="1044" w:type="dxa"/>
            <w:tcBorders>
              <w:top w:val="nil"/>
              <w:left w:val="nil"/>
              <w:bottom w:val="single" w:sz="4" w:space="0" w:color="auto"/>
              <w:right w:val="single" w:sz="4" w:space="0" w:color="auto"/>
            </w:tcBorders>
            <w:shd w:val="clear" w:color="auto" w:fill="auto"/>
            <w:vAlign w:val="center"/>
            <w:hideMark/>
          </w:tcPr>
          <w:p w14:paraId="517FB96A" w14:textId="1021CEC5"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2 017 800   </w:t>
            </w:r>
          </w:p>
        </w:tc>
        <w:tc>
          <w:tcPr>
            <w:tcW w:w="986" w:type="dxa"/>
            <w:tcBorders>
              <w:top w:val="nil"/>
              <w:left w:val="nil"/>
              <w:bottom w:val="single" w:sz="4" w:space="0" w:color="auto"/>
              <w:right w:val="single" w:sz="4" w:space="0" w:color="auto"/>
            </w:tcBorders>
            <w:shd w:val="clear" w:color="auto" w:fill="auto"/>
            <w:vAlign w:val="center"/>
            <w:hideMark/>
          </w:tcPr>
          <w:p w14:paraId="2BF908BA" w14:textId="5D19AFC9"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4 035 600   </w:t>
            </w:r>
          </w:p>
        </w:tc>
        <w:tc>
          <w:tcPr>
            <w:tcW w:w="1112" w:type="dxa"/>
            <w:tcBorders>
              <w:top w:val="nil"/>
              <w:left w:val="nil"/>
              <w:bottom w:val="single" w:sz="4" w:space="0" w:color="auto"/>
              <w:right w:val="single" w:sz="4" w:space="0" w:color="auto"/>
            </w:tcBorders>
            <w:shd w:val="clear" w:color="auto" w:fill="auto"/>
            <w:vAlign w:val="center"/>
            <w:hideMark/>
          </w:tcPr>
          <w:p w14:paraId="0BD08CA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14:paraId="5AB0CEA3" w14:textId="2374D84B"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10 089 000   </w:t>
            </w:r>
          </w:p>
        </w:tc>
      </w:tr>
      <w:tr w:rsidR="007248A4" w:rsidRPr="007248A4" w14:paraId="25A5DE9E" w14:textId="77777777" w:rsidTr="002607E5">
        <w:trPr>
          <w:trHeight w:val="1815"/>
        </w:trPr>
        <w:tc>
          <w:tcPr>
            <w:tcW w:w="1708" w:type="dxa"/>
            <w:vMerge/>
            <w:tcBorders>
              <w:top w:val="nil"/>
              <w:left w:val="single" w:sz="4" w:space="0" w:color="auto"/>
              <w:bottom w:val="single" w:sz="4" w:space="0" w:color="000000"/>
              <w:right w:val="single" w:sz="4" w:space="0" w:color="auto"/>
            </w:tcBorders>
            <w:vAlign w:val="center"/>
            <w:hideMark/>
          </w:tcPr>
          <w:p w14:paraId="7352A27B" w14:textId="77777777" w:rsidR="001731C1" w:rsidRPr="007248A4" w:rsidRDefault="001731C1" w:rsidP="001731C1">
            <w:pPr>
              <w:rPr>
                <w:rFonts w:ascii="Arial" w:hAnsi="Arial" w:cs="Arial"/>
                <w:b/>
                <w:bCs/>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14:paraId="44304B35" w14:textId="77777777" w:rsidR="001731C1" w:rsidRPr="007248A4" w:rsidRDefault="001731C1" w:rsidP="001731C1">
            <w:pPr>
              <w:rPr>
                <w:rFonts w:ascii="Arial" w:hAnsi="Arial" w:cs="Arial"/>
                <w:sz w:val="18"/>
                <w:szCs w:val="18"/>
              </w:rPr>
            </w:pPr>
            <w:r w:rsidRPr="007248A4">
              <w:rPr>
                <w:rFonts w:ascii="Arial" w:hAnsi="Arial" w:cs="Arial"/>
                <w:sz w:val="18"/>
                <w:szCs w:val="18"/>
              </w:rPr>
              <w:t>Doter les établissements d’enseignement supérieur de filières conformes aux besoins du secteur minier et pétrolier</w:t>
            </w:r>
          </w:p>
        </w:tc>
        <w:tc>
          <w:tcPr>
            <w:tcW w:w="1067" w:type="dxa"/>
            <w:tcBorders>
              <w:top w:val="nil"/>
              <w:left w:val="nil"/>
              <w:bottom w:val="single" w:sz="4" w:space="0" w:color="auto"/>
              <w:right w:val="single" w:sz="4" w:space="0" w:color="auto"/>
            </w:tcBorders>
            <w:shd w:val="clear" w:color="auto" w:fill="auto"/>
            <w:vAlign w:val="center"/>
            <w:hideMark/>
          </w:tcPr>
          <w:p w14:paraId="0BC21A48" w14:textId="679BD40C"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1 300 000   </w:t>
            </w:r>
          </w:p>
        </w:tc>
        <w:tc>
          <w:tcPr>
            <w:tcW w:w="1359" w:type="dxa"/>
            <w:tcBorders>
              <w:top w:val="nil"/>
              <w:left w:val="nil"/>
              <w:bottom w:val="single" w:sz="4" w:space="0" w:color="auto"/>
              <w:right w:val="single" w:sz="4" w:space="0" w:color="auto"/>
            </w:tcBorders>
            <w:shd w:val="clear" w:color="auto" w:fill="auto"/>
            <w:vAlign w:val="center"/>
            <w:hideMark/>
          </w:tcPr>
          <w:p w14:paraId="3076F07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5DF38A1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09" w:type="dxa"/>
            <w:tcBorders>
              <w:top w:val="nil"/>
              <w:left w:val="nil"/>
              <w:bottom w:val="single" w:sz="4" w:space="0" w:color="auto"/>
              <w:right w:val="single" w:sz="4" w:space="0" w:color="auto"/>
            </w:tcBorders>
            <w:shd w:val="clear" w:color="auto" w:fill="auto"/>
            <w:vAlign w:val="center"/>
            <w:hideMark/>
          </w:tcPr>
          <w:p w14:paraId="6305D9D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7283EBFE"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360" w:type="dxa"/>
            <w:tcBorders>
              <w:top w:val="nil"/>
              <w:left w:val="nil"/>
              <w:bottom w:val="single" w:sz="4" w:space="0" w:color="auto"/>
              <w:right w:val="single" w:sz="4" w:space="0" w:color="auto"/>
            </w:tcBorders>
            <w:shd w:val="clear" w:color="auto" w:fill="auto"/>
            <w:vAlign w:val="center"/>
            <w:hideMark/>
          </w:tcPr>
          <w:p w14:paraId="4A016104"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1 300 000   </w:t>
            </w:r>
          </w:p>
        </w:tc>
        <w:tc>
          <w:tcPr>
            <w:tcW w:w="1044" w:type="dxa"/>
            <w:tcBorders>
              <w:top w:val="nil"/>
              <w:left w:val="nil"/>
              <w:bottom w:val="single" w:sz="4" w:space="0" w:color="auto"/>
              <w:right w:val="single" w:sz="4" w:space="0" w:color="auto"/>
            </w:tcBorders>
            <w:shd w:val="clear" w:color="auto" w:fill="auto"/>
            <w:vAlign w:val="center"/>
            <w:hideMark/>
          </w:tcPr>
          <w:p w14:paraId="31F3A61A"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6B38108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60DE15A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42F0A990" w14:textId="2B7D465B"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1 300 000   </w:t>
            </w:r>
          </w:p>
        </w:tc>
      </w:tr>
      <w:tr w:rsidR="007248A4" w:rsidRPr="007248A4" w14:paraId="219AC8DC" w14:textId="77777777" w:rsidTr="002607E5">
        <w:trPr>
          <w:trHeight w:val="1905"/>
        </w:trPr>
        <w:tc>
          <w:tcPr>
            <w:tcW w:w="1708" w:type="dxa"/>
            <w:vMerge/>
            <w:tcBorders>
              <w:top w:val="nil"/>
              <w:left w:val="single" w:sz="4" w:space="0" w:color="auto"/>
              <w:bottom w:val="single" w:sz="4" w:space="0" w:color="000000"/>
              <w:right w:val="single" w:sz="4" w:space="0" w:color="auto"/>
            </w:tcBorders>
            <w:vAlign w:val="center"/>
            <w:hideMark/>
          </w:tcPr>
          <w:p w14:paraId="675A1D0D" w14:textId="77777777" w:rsidR="001731C1" w:rsidRPr="007248A4" w:rsidRDefault="001731C1" w:rsidP="001731C1">
            <w:pPr>
              <w:rPr>
                <w:rFonts w:ascii="Arial" w:hAnsi="Arial" w:cs="Arial"/>
                <w:b/>
                <w:bCs/>
                <w:sz w:val="18"/>
                <w:szCs w:val="18"/>
              </w:rPr>
            </w:pPr>
          </w:p>
        </w:tc>
        <w:tc>
          <w:tcPr>
            <w:tcW w:w="1619" w:type="dxa"/>
            <w:tcBorders>
              <w:top w:val="nil"/>
              <w:left w:val="nil"/>
              <w:bottom w:val="single" w:sz="4" w:space="0" w:color="auto"/>
              <w:right w:val="single" w:sz="4" w:space="0" w:color="auto"/>
            </w:tcBorders>
            <w:shd w:val="clear" w:color="auto" w:fill="auto"/>
            <w:vAlign w:val="center"/>
            <w:hideMark/>
          </w:tcPr>
          <w:p w14:paraId="07196AC5" w14:textId="77777777" w:rsidR="001731C1" w:rsidRPr="007248A4" w:rsidRDefault="001731C1" w:rsidP="001731C1">
            <w:pPr>
              <w:rPr>
                <w:rFonts w:ascii="Arial" w:hAnsi="Arial" w:cs="Arial"/>
                <w:sz w:val="18"/>
                <w:szCs w:val="18"/>
              </w:rPr>
            </w:pPr>
            <w:r w:rsidRPr="007248A4">
              <w:rPr>
                <w:rFonts w:ascii="Arial" w:hAnsi="Arial" w:cs="Arial"/>
                <w:sz w:val="18"/>
                <w:szCs w:val="18"/>
              </w:rPr>
              <w:t>Mettre en place une plateforme pour la promotion des nationaux en matière de recrutement auprès des sociétés minières et pétrolières</w:t>
            </w:r>
          </w:p>
        </w:tc>
        <w:tc>
          <w:tcPr>
            <w:tcW w:w="1067" w:type="dxa"/>
            <w:tcBorders>
              <w:top w:val="nil"/>
              <w:left w:val="nil"/>
              <w:bottom w:val="single" w:sz="4" w:space="0" w:color="auto"/>
              <w:right w:val="single" w:sz="4" w:space="0" w:color="auto"/>
            </w:tcBorders>
            <w:shd w:val="clear" w:color="auto" w:fill="auto"/>
            <w:vAlign w:val="center"/>
            <w:hideMark/>
          </w:tcPr>
          <w:p w14:paraId="7521C26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1 500 000   </w:t>
            </w:r>
          </w:p>
        </w:tc>
        <w:tc>
          <w:tcPr>
            <w:tcW w:w="1359" w:type="dxa"/>
            <w:tcBorders>
              <w:top w:val="nil"/>
              <w:left w:val="nil"/>
              <w:bottom w:val="single" w:sz="4" w:space="0" w:color="auto"/>
              <w:right w:val="single" w:sz="4" w:space="0" w:color="auto"/>
            </w:tcBorders>
            <w:shd w:val="clear" w:color="auto" w:fill="auto"/>
            <w:vAlign w:val="center"/>
            <w:hideMark/>
          </w:tcPr>
          <w:p w14:paraId="2B2B19F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2F9110C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09" w:type="dxa"/>
            <w:tcBorders>
              <w:top w:val="nil"/>
              <w:left w:val="nil"/>
              <w:bottom w:val="single" w:sz="4" w:space="0" w:color="auto"/>
              <w:right w:val="single" w:sz="4" w:space="0" w:color="auto"/>
            </w:tcBorders>
            <w:shd w:val="clear" w:color="auto" w:fill="auto"/>
            <w:vAlign w:val="center"/>
            <w:hideMark/>
          </w:tcPr>
          <w:p w14:paraId="6B3E2EA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4B91E1D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360" w:type="dxa"/>
            <w:tcBorders>
              <w:top w:val="nil"/>
              <w:left w:val="nil"/>
              <w:bottom w:val="single" w:sz="4" w:space="0" w:color="auto"/>
              <w:right w:val="single" w:sz="4" w:space="0" w:color="auto"/>
            </w:tcBorders>
            <w:shd w:val="clear" w:color="auto" w:fill="auto"/>
            <w:vAlign w:val="center"/>
            <w:hideMark/>
          </w:tcPr>
          <w:p w14:paraId="3691CF1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1 500 000   </w:t>
            </w:r>
          </w:p>
        </w:tc>
        <w:tc>
          <w:tcPr>
            <w:tcW w:w="1044" w:type="dxa"/>
            <w:tcBorders>
              <w:top w:val="nil"/>
              <w:left w:val="nil"/>
              <w:bottom w:val="single" w:sz="4" w:space="0" w:color="auto"/>
              <w:right w:val="single" w:sz="4" w:space="0" w:color="auto"/>
            </w:tcBorders>
            <w:shd w:val="clear" w:color="auto" w:fill="auto"/>
            <w:vAlign w:val="center"/>
            <w:hideMark/>
          </w:tcPr>
          <w:p w14:paraId="12C2AB5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513386AA"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40C1F6B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6C234F01" w14:textId="5682B24F"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1 500 000   </w:t>
            </w:r>
          </w:p>
        </w:tc>
      </w:tr>
      <w:tr w:rsidR="007248A4" w:rsidRPr="007248A4" w14:paraId="5E045169" w14:textId="77777777" w:rsidTr="002607E5">
        <w:trPr>
          <w:trHeight w:val="60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4A185E3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Sous total axe 5 </w:t>
            </w:r>
          </w:p>
        </w:tc>
        <w:tc>
          <w:tcPr>
            <w:tcW w:w="1619" w:type="dxa"/>
            <w:tcBorders>
              <w:top w:val="nil"/>
              <w:left w:val="nil"/>
              <w:bottom w:val="single" w:sz="4" w:space="0" w:color="auto"/>
              <w:right w:val="single" w:sz="4" w:space="0" w:color="auto"/>
            </w:tcBorders>
            <w:shd w:val="clear" w:color="auto" w:fill="auto"/>
            <w:vAlign w:val="center"/>
            <w:hideMark/>
          </w:tcPr>
          <w:p w14:paraId="23E22F1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067" w:type="dxa"/>
            <w:tcBorders>
              <w:top w:val="nil"/>
              <w:left w:val="nil"/>
              <w:bottom w:val="single" w:sz="4" w:space="0" w:color="auto"/>
              <w:right w:val="single" w:sz="4" w:space="0" w:color="auto"/>
            </w:tcBorders>
            <w:shd w:val="clear" w:color="auto" w:fill="auto"/>
            <w:vAlign w:val="center"/>
            <w:hideMark/>
          </w:tcPr>
          <w:p w14:paraId="3735E637" w14:textId="4C996365"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20 000 000   </w:t>
            </w:r>
          </w:p>
        </w:tc>
        <w:tc>
          <w:tcPr>
            <w:tcW w:w="1359" w:type="dxa"/>
            <w:tcBorders>
              <w:top w:val="nil"/>
              <w:left w:val="nil"/>
              <w:bottom w:val="single" w:sz="4" w:space="0" w:color="auto"/>
              <w:right w:val="single" w:sz="4" w:space="0" w:color="auto"/>
            </w:tcBorders>
            <w:shd w:val="clear" w:color="auto" w:fill="auto"/>
            <w:vAlign w:val="center"/>
            <w:hideMark/>
          </w:tcPr>
          <w:p w14:paraId="29CDA9C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4 150 000   </w:t>
            </w:r>
          </w:p>
        </w:tc>
        <w:tc>
          <w:tcPr>
            <w:tcW w:w="1418" w:type="dxa"/>
            <w:tcBorders>
              <w:top w:val="nil"/>
              <w:left w:val="nil"/>
              <w:bottom w:val="single" w:sz="4" w:space="0" w:color="auto"/>
              <w:right w:val="single" w:sz="4" w:space="0" w:color="auto"/>
            </w:tcBorders>
            <w:shd w:val="clear" w:color="auto" w:fill="auto"/>
            <w:vAlign w:val="center"/>
            <w:hideMark/>
          </w:tcPr>
          <w:p w14:paraId="51F7941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1 300 000   </w:t>
            </w:r>
          </w:p>
        </w:tc>
        <w:tc>
          <w:tcPr>
            <w:tcW w:w="1109" w:type="dxa"/>
            <w:tcBorders>
              <w:top w:val="nil"/>
              <w:left w:val="nil"/>
              <w:bottom w:val="single" w:sz="4" w:space="0" w:color="auto"/>
              <w:right w:val="single" w:sz="4" w:space="0" w:color="auto"/>
            </w:tcBorders>
            <w:shd w:val="clear" w:color="auto" w:fill="auto"/>
            <w:vAlign w:val="center"/>
            <w:hideMark/>
          </w:tcPr>
          <w:p w14:paraId="21F9B4F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1 311 000   </w:t>
            </w:r>
          </w:p>
        </w:tc>
        <w:tc>
          <w:tcPr>
            <w:tcW w:w="1365" w:type="dxa"/>
            <w:tcBorders>
              <w:top w:val="nil"/>
              <w:left w:val="nil"/>
              <w:bottom w:val="single" w:sz="4" w:space="0" w:color="auto"/>
              <w:right w:val="single" w:sz="4" w:space="0" w:color="auto"/>
            </w:tcBorders>
            <w:shd w:val="clear" w:color="auto" w:fill="auto"/>
            <w:vAlign w:val="center"/>
            <w:hideMark/>
          </w:tcPr>
          <w:p w14:paraId="03A02374"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6 761 000   </w:t>
            </w:r>
          </w:p>
        </w:tc>
        <w:tc>
          <w:tcPr>
            <w:tcW w:w="1360" w:type="dxa"/>
            <w:tcBorders>
              <w:top w:val="nil"/>
              <w:left w:val="nil"/>
              <w:bottom w:val="single" w:sz="4" w:space="0" w:color="auto"/>
              <w:right w:val="single" w:sz="4" w:space="0" w:color="auto"/>
            </w:tcBorders>
            <w:shd w:val="clear" w:color="auto" w:fill="auto"/>
            <w:vAlign w:val="center"/>
            <w:hideMark/>
          </w:tcPr>
          <w:p w14:paraId="317CC3B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7 185 600   </w:t>
            </w:r>
          </w:p>
        </w:tc>
        <w:tc>
          <w:tcPr>
            <w:tcW w:w="1044" w:type="dxa"/>
            <w:tcBorders>
              <w:top w:val="nil"/>
              <w:left w:val="nil"/>
              <w:bottom w:val="single" w:sz="4" w:space="0" w:color="auto"/>
              <w:right w:val="single" w:sz="4" w:space="0" w:color="auto"/>
            </w:tcBorders>
            <w:shd w:val="clear" w:color="auto" w:fill="auto"/>
            <w:vAlign w:val="center"/>
            <w:hideMark/>
          </w:tcPr>
          <w:p w14:paraId="1A6C8A76" w14:textId="0140CDB5"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2 017 800   </w:t>
            </w:r>
          </w:p>
        </w:tc>
        <w:tc>
          <w:tcPr>
            <w:tcW w:w="986" w:type="dxa"/>
            <w:tcBorders>
              <w:top w:val="nil"/>
              <w:left w:val="nil"/>
              <w:bottom w:val="single" w:sz="4" w:space="0" w:color="auto"/>
              <w:right w:val="single" w:sz="4" w:space="0" w:color="auto"/>
            </w:tcBorders>
            <w:shd w:val="clear" w:color="auto" w:fill="auto"/>
            <w:vAlign w:val="center"/>
            <w:hideMark/>
          </w:tcPr>
          <w:p w14:paraId="5108A1F0" w14:textId="3EBBA561"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4 035 600   </w:t>
            </w:r>
          </w:p>
        </w:tc>
        <w:tc>
          <w:tcPr>
            <w:tcW w:w="1112" w:type="dxa"/>
            <w:tcBorders>
              <w:top w:val="nil"/>
              <w:left w:val="nil"/>
              <w:bottom w:val="single" w:sz="4" w:space="0" w:color="auto"/>
              <w:right w:val="single" w:sz="4" w:space="0" w:color="auto"/>
            </w:tcBorders>
            <w:shd w:val="clear" w:color="auto" w:fill="auto"/>
            <w:vAlign w:val="center"/>
            <w:hideMark/>
          </w:tcPr>
          <w:p w14:paraId="5339628E"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14:paraId="5B86D0C7" w14:textId="45DFACD5"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13 239 000   </w:t>
            </w:r>
          </w:p>
        </w:tc>
      </w:tr>
      <w:tr w:rsidR="007248A4" w:rsidRPr="007248A4" w14:paraId="4AAE9094" w14:textId="77777777" w:rsidTr="002607E5">
        <w:trPr>
          <w:trHeight w:val="195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66B4114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Axe stratégique 6 : Intégration à l’économie :</w:t>
            </w:r>
            <w:r w:rsidRPr="007248A4">
              <w:rPr>
                <w:rFonts w:ascii="Arial" w:hAnsi="Arial" w:cs="Arial"/>
                <w:sz w:val="18"/>
                <w:szCs w:val="18"/>
              </w:rPr>
              <w:t xml:space="preserve"> Intégrer le secteur minier et pétrolier à l’ensemble de l’économie malienne </w:t>
            </w:r>
          </w:p>
        </w:tc>
        <w:tc>
          <w:tcPr>
            <w:tcW w:w="1619" w:type="dxa"/>
            <w:tcBorders>
              <w:top w:val="nil"/>
              <w:left w:val="nil"/>
              <w:bottom w:val="single" w:sz="4" w:space="0" w:color="auto"/>
              <w:right w:val="single" w:sz="4" w:space="0" w:color="auto"/>
            </w:tcBorders>
            <w:shd w:val="clear" w:color="auto" w:fill="auto"/>
            <w:vAlign w:val="center"/>
            <w:hideMark/>
          </w:tcPr>
          <w:p w14:paraId="25085685"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Promouvoir la sous-traitance </w:t>
            </w:r>
          </w:p>
        </w:tc>
        <w:tc>
          <w:tcPr>
            <w:tcW w:w="1067" w:type="dxa"/>
            <w:tcBorders>
              <w:top w:val="nil"/>
              <w:left w:val="nil"/>
              <w:bottom w:val="single" w:sz="4" w:space="0" w:color="auto"/>
              <w:right w:val="single" w:sz="4" w:space="0" w:color="auto"/>
            </w:tcBorders>
            <w:shd w:val="clear" w:color="auto" w:fill="auto"/>
            <w:vAlign w:val="center"/>
            <w:hideMark/>
          </w:tcPr>
          <w:p w14:paraId="4BEBF1D9" w14:textId="0015D3BC"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1 500 000   </w:t>
            </w:r>
          </w:p>
        </w:tc>
        <w:tc>
          <w:tcPr>
            <w:tcW w:w="1359" w:type="dxa"/>
            <w:tcBorders>
              <w:top w:val="nil"/>
              <w:left w:val="nil"/>
              <w:bottom w:val="single" w:sz="4" w:space="0" w:color="auto"/>
              <w:right w:val="single" w:sz="4" w:space="0" w:color="auto"/>
            </w:tcBorders>
            <w:shd w:val="clear" w:color="auto" w:fill="auto"/>
            <w:vAlign w:val="center"/>
            <w:hideMark/>
          </w:tcPr>
          <w:p w14:paraId="35AA014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55FED1E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1 200 000   </w:t>
            </w:r>
          </w:p>
        </w:tc>
        <w:tc>
          <w:tcPr>
            <w:tcW w:w="1109" w:type="dxa"/>
            <w:tcBorders>
              <w:top w:val="nil"/>
              <w:left w:val="nil"/>
              <w:bottom w:val="single" w:sz="4" w:space="0" w:color="auto"/>
              <w:right w:val="single" w:sz="4" w:space="0" w:color="auto"/>
            </w:tcBorders>
            <w:shd w:val="clear" w:color="auto" w:fill="auto"/>
            <w:vAlign w:val="center"/>
            <w:hideMark/>
          </w:tcPr>
          <w:p w14:paraId="2BC7B36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273B705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1 200 000   </w:t>
            </w:r>
          </w:p>
        </w:tc>
        <w:tc>
          <w:tcPr>
            <w:tcW w:w="1360" w:type="dxa"/>
            <w:tcBorders>
              <w:top w:val="nil"/>
              <w:left w:val="nil"/>
              <w:bottom w:val="single" w:sz="4" w:space="0" w:color="auto"/>
              <w:right w:val="single" w:sz="4" w:space="0" w:color="auto"/>
            </w:tcBorders>
            <w:shd w:val="clear" w:color="auto" w:fill="auto"/>
            <w:vAlign w:val="center"/>
            <w:hideMark/>
          </w:tcPr>
          <w:p w14:paraId="2E523464"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300 000   </w:t>
            </w:r>
          </w:p>
        </w:tc>
        <w:tc>
          <w:tcPr>
            <w:tcW w:w="1044" w:type="dxa"/>
            <w:tcBorders>
              <w:top w:val="nil"/>
              <w:left w:val="nil"/>
              <w:bottom w:val="single" w:sz="4" w:space="0" w:color="auto"/>
              <w:right w:val="single" w:sz="4" w:space="0" w:color="auto"/>
            </w:tcBorders>
            <w:shd w:val="clear" w:color="auto" w:fill="auto"/>
            <w:vAlign w:val="center"/>
            <w:hideMark/>
          </w:tcPr>
          <w:p w14:paraId="22B0B84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709AF88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043D205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380FA15F" w14:textId="29D4BD2D"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300 000   </w:t>
            </w:r>
          </w:p>
        </w:tc>
      </w:tr>
      <w:tr w:rsidR="007248A4" w:rsidRPr="007248A4" w14:paraId="34A750D3" w14:textId="77777777" w:rsidTr="002607E5">
        <w:trPr>
          <w:trHeight w:val="885"/>
        </w:trPr>
        <w:tc>
          <w:tcPr>
            <w:tcW w:w="1708" w:type="dxa"/>
            <w:tcBorders>
              <w:top w:val="nil"/>
              <w:left w:val="single" w:sz="4" w:space="0" w:color="auto"/>
              <w:bottom w:val="single" w:sz="4" w:space="0" w:color="auto"/>
              <w:right w:val="single" w:sz="4" w:space="0" w:color="auto"/>
            </w:tcBorders>
            <w:shd w:val="clear" w:color="auto" w:fill="auto"/>
            <w:hideMark/>
          </w:tcPr>
          <w:p w14:paraId="25ED5A27" w14:textId="77777777" w:rsidR="001731C1" w:rsidRPr="007248A4" w:rsidRDefault="001731C1" w:rsidP="001731C1">
            <w:pPr>
              <w:rPr>
                <w:rFonts w:ascii="Arial" w:hAnsi="Arial" w:cs="Arial"/>
                <w:sz w:val="18"/>
                <w:szCs w:val="18"/>
              </w:rPr>
            </w:pPr>
            <w:r w:rsidRPr="007248A4">
              <w:rPr>
                <w:rFonts w:ascii="Arial" w:hAnsi="Arial" w:cs="Arial"/>
                <w:sz w:val="18"/>
                <w:szCs w:val="18"/>
              </w:rPr>
              <w:lastRenderedPageBreak/>
              <w:t> </w:t>
            </w:r>
          </w:p>
        </w:tc>
        <w:tc>
          <w:tcPr>
            <w:tcW w:w="1619" w:type="dxa"/>
            <w:tcBorders>
              <w:top w:val="nil"/>
              <w:left w:val="nil"/>
              <w:bottom w:val="single" w:sz="4" w:space="0" w:color="auto"/>
              <w:right w:val="single" w:sz="4" w:space="0" w:color="auto"/>
            </w:tcBorders>
            <w:shd w:val="clear" w:color="auto" w:fill="auto"/>
            <w:vAlign w:val="center"/>
            <w:hideMark/>
          </w:tcPr>
          <w:p w14:paraId="1DA86296" w14:textId="77777777" w:rsidR="001731C1" w:rsidRPr="007248A4" w:rsidRDefault="001731C1" w:rsidP="001731C1">
            <w:pPr>
              <w:rPr>
                <w:rFonts w:ascii="Arial" w:hAnsi="Arial" w:cs="Arial"/>
                <w:sz w:val="18"/>
                <w:szCs w:val="18"/>
              </w:rPr>
            </w:pPr>
            <w:proofErr w:type="gramStart"/>
            <w:r w:rsidRPr="007248A4">
              <w:rPr>
                <w:rFonts w:ascii="Arial" w:hAnsi="Arial" w:cs="Arial"/>
                <w:sz w:val="18"/>
                <w:szCs w:val="18"/>
              </w:rPr>
              <w:t>promouvoir</w:t>
            </w:r>
            <w:proofErr w:type="gramEnd"/>
            <w:r w:rsidRPr="007248A4">
              <w:rPr>
                <w:rFonts w:ascii="Arial" w:hAnsi="Arial" w:cs="Arial"/>
                <w:sz w:val="18"/>
                <w:szCs w:val="18"/>
              </w:rPr>
              <w:t xml:space="preserve"> les achats locaux</w:t>
            </w:r>
          </w:p>
        </w:tc>
        <w:tc>
          <w:tcPr>
            <w:tcW w:w="1067" w:type="dxa"/>
            <w:tcBorders>
              <w:top w:val="nil"/>
              <w:left w:val="nil"/>
              <w:bottom w:val="single" w:sz="4" w:space="0" w:color="auto"/>
              <w:right w:val="single" w:sz="4" w:space="0" w:color="auto"/>
            </w:tcBorders>
            <w:shd w:val="clear" w:color="auto" w:fill="auto"/>
            <w:vAlign w:val="center"/>
            <w:hideMark/>
          </w:tcPr>
          <w:p w14:paraId="5FDAD4DB" w14:textId="63754FB1"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2 000 000   </w:t>
            </w:r>
          </w:p>
        </w:tc>
        <w:tc>
          <w:tcPr>
            <w:tcW w:w="1359" w:type="dxa"/>
            <w:tcBorders>
              <w:top w:val="nil"/>
              <w:left w:val="nil"/>
              <w:bottom w:val="single" w:sz="4" w:space="0" w:color="auto"/>
              <w:right w:val="single" w:sz="4" w:space="0" w:color="auto"/>
            </w:tcBorders>
            <w:shd w:val="clear" w:color="auto" w:fill="auto"/>
            <w:vAlign w:val="center"/>
            <w:hideMark/>
          </w:tcPr>
          <w:p w14:paraId="6924B08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3F94CBC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1 300 000   </w:t>
            </w:r>
          </w:p>
        </w:tc>
        <w:tc>
          <w:tcPr>
            <w:tcW w:w="1109" w:type="dxa"/>
            <w:tcBorders>
              <w:top w:val="nil"/>
              <w:left w:val="nil"/>
              <w:bottom w:val="single" w:sz="4" w:space="0" w:color="auto"/>
              <w:right w:val="single" w:sz="4" w:space="0" w:color="auto"/>
            </w:tcBorders>
            <w:shd w:val="clear" w:color="auto" w:fill="auto"/>
            <w:vAlign w:val="center"/>
            <w:hideMark/>
          </w:tcPr>
          <w:p w14:paraId="4A5AC65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17770BA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1 300 000   </w:t>
            </w:r>
          </w:p>
        </w:tc>
        <w:tc>
          <w:tcPr>
            <w:tcW w:w="1360" w:type="dxa"/>
            <w:tcBorders>
              <w:top w:val="nil"/>
              <w:left w:val="nil"/>
              <w:bottom w:val="single" w:sz="4" w:space="0" w:color="auto"/>
              <w:right w:val="single" w:sz="4" w:space="0" w:color="auto"/>
            </w:tcBorders>
            <w:shd w:val="clear" w:color="auto" w:fill="auto"/>
            <w:vAlign w:val="center"/>
            <w:hideMark/>
          </w:tcPr>
          <w:p w14:paraId="4D06298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500 000   </w:t>
            </w:r>
          </w:p>
        </w:tc>
        <w:tc>
          <w:tcPr>
            <w:tcW w:w="1044" w:type="dxa"/>
            <w:tcBorders>
              <w:top w:val="nil"/>
              <w:left w:val="nil"/>
              <w:bottom w:val="single" w:sz="4" w:space="0" w:color="auto"/>
              <w:right w:val="single" w:sz="4" w:space="0" w:color="auto"/>
            </w:tcBorders>
            <w:shd w:val="clear" w:color="auto" w:fill="auto"/>
            <w:vAlign w:val="center"/>
            <w:hideMark/>
          </w:tcPr>
          <w:p w14:paraId="00732A0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5D204B86" w14:textId="021D03B2"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129 000   </w:t>
            </w:r>
          </w:p>
        </w:tc>
        <w:tc>
          <w:tcPr>
            <w:tcW w:w="1112" w:type="dxa"/>
            <w:tcBorders>
              <w:top w:val="nil"/>
              <w:left w:val="nil"/>
              <w:bottom w:val="single" w:sz="4" w:space="0" w:color="auto"/>
              <w:right w:val="single" w:sz="4" w:space="0" w:color="auto"/>
            </w:tcBorders>
            <w:shd w:val="clear" w:color="auto" w:fill="auto"/>
            <w:vAlign w:val="center"/>
            <w:hideMark/>
          </w:tcPr>
          <w:p w14:paraId="3AFE2C9F" w14:textId="5F316541"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71 000   </w:t>
            </w:r>
          </w:p>
        </w:tc>
        <w:tc>
          <w:tcPr>
            <w:tcW w:w="1162" w:type="dxa"/>
            <w:tcBorders>
              <w:top w:val="nil"/>
              <w:left w:val="nil"/>
              <w:bottom w:val="single" w:sz="4" w:space="0" w:color="auto"/>
              <w:right w:val="single" w:sz="4" w:space="0" w:color="auto"/>
            </w:tcBorders>
            <w:shd w:val="clear" w:color="auto" w:fill="auto"/>
            <w:vAlign w:val="center"/>
            <w:hideMark/>
          </w:tcPr>
          <w:p w14:paraId="4402A601" w14:textId="6F7AB418"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700 000   </w:t>
            </w:r>
          </w:p>
        </w:tc>
      </w:tr>
      <w:tr w:rsidR="007248A4" w:rsidRPr="007248A4" w14:paraId="23456E1E" w14:textId="77777777" w:rsidTr="002607E5">
        <w:trPr>
          <w:trHeight w:val="1875"/>
        </w:trPr>
        <w:tc>
          <w:tcPr>
            <w:tcW w:w="1708" w:type="dxa"/>
            <w:tcBorders>
              <w:top w:val="nil"/>
              <w:left w:val="single" w:sz="4" w:space="0" w:color="auto"/>
              <w:bottom w:val="single" w:sz="4" w:space="0" w:color="auto"/>
              <w:right w:val="single" w:sz="4" w:space="0" w:color="auto"/>
            </w:tcBorders>
            <w:shd w:val="clear" w:color="auto" w:fill="auto"/>
            <w:hideMark/>
          </w:tcPr>
          <w:p w14:paraId="11D48E0A"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14:paraId="2259D1E1"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Soutenir l’initiative privée par la création de co-entreprise (joint-venture) avec des sociétés minières africaines ou internationales </w:t>
            </w:r>
          </w:p>
        </w:tc>
        <w:tc>
          <w:tcPr>
            <w:tcW w:w="1067" w:type="dxa"/>
            <w:tcBorders>
              <w:top w:val="nil"/>
              <w:left w:val="nil"/>
              <w:bottom w:val="single" w:sz="4" w:space="0" w:color="auto"/>
              <w:right w:val="single" w:sz="4" w:space="0" w:color="auto"/>
            </w:tcBorders>
            <w:shd w:val="clear" w:color="auto" w:fill="auto"/>
            <w:vAlign w:val="center"/>
            <w:hideMark/>
          </w:tcPr>
          <w:p w14:paraId="6AD559B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PM (cf. Sous-traitance)  </w:t>
            </w:r>
          </w:p>
        </w:tc>
        <w:tc>
          <w:tcPr>
            <w:tcW w:w="1359" w:type="dxa"/>
            <w:tcBorders>
              <w:top w:val="nil"/>
              <w:left w:val="nil"/>
              <w:bottom w:val="single" w:sz="4" w:space="0" w:color="auto"/>
              <w:right w:val="single" w:sz="4" w:space="0" w:color="auto"/>
            </w:tcBorders>
            <w:shd w:val="clear" w:color="auto" w:fill="auto"/>
            <w:vAlign w:val="center"/>
            <w:hideMark/>
          </w:tcPr>
          <w:p w14:paraId="15DF851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3B00B10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09" w:type="dxa"/>
            <w:tcBorders>
              <w:top w:val="nil"/>
              <w:left w:val="nil"/>
              <w:bottom w:val="single" w:sz="4" w:space="0" w:color="auto"/>
              <w:right w:val="single" w:sz="4" w:space="0" w:color="auto"/>
            </w:tcBorders>
            <w:shd w:val="clear" w:color="auto" w:fill="auto"/>
            <w:vAlign w:val="center"/>
            <w:hideMark/>
          </w:tcPr>
          <w:p w14:paraId="2493F07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5A7D1BC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360" w:type="dxa"/>
            <w:tcBorders>
              <w:top w:val="nil"/>
              <w:left w:val="nil"/>
              <w:bottom w:val="single" w:sz="4" w:space="0" w:color="auto"/>
              <w:right w:val="single" w:sz="4" w:space="0" w:color="auto"/>
            </w:tcBorders>
            <w:shd w:val="clear" w:color="auto" w:fill="auto"/>
            <w:vAlign w:val="center"/>
            <w:hideMark/>
          </w:tcPr>
          <w:p w14:paraId="0C9EDE7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14:paraId="45C9077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4C2F6B3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52301B4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1A9362E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r>
      <w:tr w:rsidR="007248A4" w:rsidRPr="007248A4" w14:paraId="1071CCFA" w14:textId="77777777" w:rsidTr="002607E5">
        <w:trPr>
          <w:trHeight w:val="1515"/>
        </w:trPr>
        <w:tc>
          <w:tcPr>
            <w:tcW w:w="1708" w:type="dxa"/>
            <w:tcBorders>
              <w:top w:val="nil"/>
              <w:left w:val="single" w:sz="4" w:space="0" w:color="auto"/>
              <w:bottom w:val="single" w:sz="4" w:space="0" w:color="auto"/>
              <w:right w:val="single" w:sz="4" w:space="0" w:color="auto"/>
            </w:tcBorders>
            <w:shd w:val="clear" w:color="auto" w:fill="auto"/>
            <w:hideMark/>
          </w:tcPr>
          <w:p w14:paraId="399E2B99"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14:paraId="03FB56FD"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Aider à développer un partenariat entre les sociétés minières et les banques et autres établissements financiers  </w:t>
            </w:r>
          </w:p>
        </w:tc>
        <w:tc>
          <w:tcPr>
            <w:tcW w:w="1067" w:type="dxa"/>
            <w:tcBorders>
              <w:top w:val="nil"/>
              <w:left w:val="nil"/>
              <w:bottom w:val="single" w:sz="4" w:space="0" w:color="auto"/>
              <w:right w:val="single" w:sz="4" w:space="0" w:color="auto"/>
            </w:tcBorders>
            <w:shd w:val="clear" w:color="auto" w:fill="auto"/>
            <w:vAlign w:val="center"/>
            <w:hideMark/>
          </w:tcPr>
          <w:p w14:paraId="5C44E98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PM (sous –</w:t>
            </w:r>
            <w:proofErr w:type="spellStart"/>
            <w:r w:rsidRPr="007248A4">
              <w:rPr>
                <w:rFonts w:ascii="Arial" w:hAnsi="Arial" w:cs="Arial"/>
                <w:b/>
                <w:bCs/>
                <w:sz w:val="18"/>
                <w:szCs w:val="18"/>
              </w:rPr>
              <w:t>traitance</w:t>
            </w:r>
            <w:proofErr w:type="spellEnd"/>
            <w:r w:rsidRPr="007248A4">
              <w:rPr>
                <w:rFonts w:ascii="Arial" w:hAnsi="Arial" w:cs="Arial"/>
                <w:b/>
                <w:bCs/>
                <w:sz w:val="18"/>
                <w:szCs w:val="18"/>
              </w:rPr>
              <w:t xml:space="preserve">) </w:t>
            </w:r>
          </w:p>
        </w:tc>
        <w:tc>
          <w:tcPr>
            <w:tcW w:w="1359" w:type="dxa"/>
            <w:tcBorders>
              <w:top w:val="nil"/>
              <w:left w:val="nil"/>
              <w:bottom w:val="single" w:sz="4" w:space="0" w:color="auto"/>
              <w:right w:val="single" w:sz="4" w:space="0" w:color="auto"/>
            </w:tcBorders>
            <w:shd w:val="clear" w:color="auto" w:fill="auto"/>
            <w:vAlign w:val="center"/>
            <w:hideMark/>
          </w:tcPr>
          <w:p w14:paraId="5AC07E3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25B611F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09" w:type="dxa"/>
            <w:tcBorders>
              <w:top w:val="nil"/>
              <w:left w:val="nil"/>
              <w:bottom w:val="single" w:sz="4" w:space="0" w:color="auto"/>
              <w:right w:val="single" w:sz="4" w:space="0" w:color="auto"/>
            </w:tcBorders>
            <w:shd w:val="clear" w:color="auto" w:fill="auto"/>
            <w:vAlign w:val="center"/>
            <w:hideMark/>
          </w:tcPr>
          <w:p w14:paraId="54DB12D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736F404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360" w:type="dxa"/>
            <w:tcBorders>
              <w:top w:val="nil"/>
              <w:left w:val="nil"/>
              <w:bottom w:val="single" w:sz="4" w:space="0" w:color="auto"/>
              <w:right w:val="single" w:sz="4" w:space="0" w:color="auto"/>
            </w:tcBorders>
            <w:shd w:val="clear" w:color="auto" w:fill="auto"/>
            <w:vAlign w:val="center"/>
            <w:hideMark/>
          </w:tcPr>
          <w:p w14:paraId="0E0128FA"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044" w:type="dxa"/>
            <w:tcBorders>
              <w:top w:val="nil"/>
              <w:left w:val="nil"/>
              <w:bottom w:val="single" w:sz="4" w:space="0" w:color="auto"/>
              <w:right w:val="single" w:sz="4" w:space="0" w:color="auto"/>
            </w:tcBorders>
            <w:shd w:val="clear" w:color="auto" w:fill="auto"/>
            <w:vAlign w:val="center"/>
            <w:hideMark/>
          </w:tcPr>
          <w:p w14:paraId="5D8DC22E"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225F43DE"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3BBB575E"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1D13821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r>
      <w:tr w:rsidR="007248A4" w:rsidRPr="007248A4" w14:paraId="391DCD43" w14:textId="77777777" w:rsidTr="002607E5">
        <w:trPr>
          <w:trHeight w:val="1545"/>
        </w:trPr>
        <w:tc>
          <w:tcPr>
            <w:tcW w:w="1708" w:type="dxa"/>
            <w:tcBorders>
              <w:top w:val="nil"/>
              <w:left w:val="single" w:sz="4" w:space="0" w:color="auto"/>
              <w:bottom w:val="single" w:sz="4" w:space="0" w:color="auto"/>
              <w:right w:val="single" w:sz="4" w:space="0" w:color="auto"/>
            </w:tcBorders>
            <w:shd w:val="clear" w:color="auto" w:fill="auto"/>
            <w:hideMark/>
          </w:tcPr>
          <w:p w14:paraId="78D13D87"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14:paraId="0E32526A" w14:textId="77777777" w:rsidR="001731C1" w:rsidRPr="007248A4" w:rsidRDefault="001731C1" w:rsidP="001731C1">
            <w:pPr>
              <w:rPr>
                <w:rFonts w:ascii="Arial" w:hAnsi="Arial" w:cs="Arial"/>
                <w:sz w:val="18"/>
                <w:szCs w:val="18"/>
              </w:rPr>
            </w:pPr>
            <w:r w:rsidRPr="007248A4">
              <w:rPr>
                <w:rFonts w:ascii="Arial" w:hAnsi="Arial" w:cs="Arial"/>
                <w:sz w:val="18"/>
                <w:szCs w:val="18"/>
              </w:rPr>
              <w:t>Création d’un fonds souverain pour soutenir le développement d’industrie de diverses natures</w:t>
            </w:r>
          </w:p>
        </w:tc>
        <w:tc>
          <w:tcPr>
            <w:tcW w:w="1067" w:type="dxa"/>
            <w:tcBorders>
              <w:top w:val="nil"/>
              <w:left w:val="nil"/>
              <w:bottom w:val="single" w:sz="4" w:space="0" w:color="auto"/>
              <w:right w:val="single" w:sz="4" w:space="0" w:color="auto"/>
            </w:tcBorders>
            <w:shd w:val="clear" w:color="auto" w:fill="auto"/>
            <w:vAlign w:val="center"/>
            <w:hideMark/>
          </w:tcPr>
          <w:p w14:paraId="3B90756A" w14:textId="77105EA8"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10 000 000   </w:t>
            </w:r>
          </w:p>
        </w:tc>
        <w:tc>
          <w:tcPr>
            <w:tcW w:w="1359" w:type="dxa"/>
            <w:tcBorders>
              <w:top w:val="nil"/>
              <w:left w:val="nil"/>
              <w:bottom w:val="single" w:sz="4" w:space="0" w:color="auto"/>
              <w:right w:val="single" w:sz="4" w:space="0" w:color="auto"/>
            </w:tcBorders>
            <w:shd w:val="clear" w:color="auto" w:fill="auto"/>
            <w:vAlign w:val="center"/>
            <w:hideMark/>
          </w:tcPr>
          <w:p w14:paraId="2FF5333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6CBB427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09" w:type="dxa"/>
            <w:tcBorders>
              <w:top w:val="nil"/>
              <w:left w:val="nil"/>
              <w:bottom w:val="single" w:sz="4" w:space="0" w:color="auto"/>
              <w:right w:val="single" w:sz="4" w:space="0" w:color="auto"/>
            </w:tcBorders>
            <w:shd w:val="clear" w:color="auto" w:fill="auto"/>
            <w:vAlign w:val="center"/>
            <w:hideMark/>
          </w:tcPr>
          <w:p w14:paraId="66F1958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5D01AB1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360" w:type="dxa"/>
            <w:tcBorders>
              <w:top w:val="nil"/>
              <w:left w:val="nil"/>
              <w:bottom w:val="single" w:sz="4" w:space="0" w:color="auto"/>
              <w:right w:val="single" w:sz="4" w:space="0" w:color="auto"/>
            </w:tcBorders>
            <w:shd w:val="clear" w:color="auto" w:fill="auto"/>
            <w:vAlign w:val="center"/>
            <w:hideMark/>
          </w:tcPr>
          <w:p w14:paraId="240E604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6 500 000   </w:t>
            </w:r>
          </w:p>
        </w:tc>
        <w:tc>
          <w:tcPr>
            <w:tcW w:w="1044" w:type="dxa"/>
            <w:tcBorders>
              <w:top w:val="nil"/>
              <w:left w:val="nil"/>
              <w:bottom w:val="single" w:sz="4" w:space="0" w:color="auto"/>
              <w:right w:val="single" w:sz="4" w:space="0" w:color="auto"/>
            </w:tcBorders>
            <w:shd w:val="clear" w:color="auto" w:fill="auto"/>
            <w:vAlign w:val="center"/>
            <w:hideMark/>
          </w:tcPr>
          <w:p w14:paraId="5690A7C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0682A17F" w14:textId="12E00805"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2 700 000   </w:t>
            </w:r>
          </w:p>
        </w:tc>
        <w:tc>
          <w:tcPr>
            <w:tcW w:w="1112" w:type="dxa"/>
            <w:tcBorders>
              <w:top w:val="nil"/>
              <w:left w:val="nil"/>
              <w:bottom w:val="single" w:sz="4" w:space="0" w:color="auto"/>
              <w:right w:val="single" w:sz="4" w:space="0" w:color="auto"/>
            </w:tcBorders>
            <w:shd w:val="clear" w:color="auto" w:fill="auto"/>
            <w:vAlign w:val="center"/>
            <w:hideMark/>
          </w:tcPr>
          <w:p w14:paraId="5C7A2AD3" w14:textId="3A1E4F2E"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800 000   </w:t>
            </w:r>
          </w:p>
        </w:tc>
        <w:tc>
          <w:tcPr>
            <w:tcW w:w="1162" w:type="dxa"/>
            <w:tcBorders>
              <w:top w:val="nil"/>
              <w:left w:val="nil"/>
              <w:bottom w:val="single" w:sz="4" w:space="0" w:color="auto"/>
              <w:right w:val="single" w:sz="4" w:space="0" w:color="auto"/>
            </w:tcBorders>
            <w:shd w:val="clear" w:color="auto" w:fill="auto"/>
            <w:vAlign w:val="center"/>
            <w:hideMark/>
          </w:tcPr>
          <w:p w14:paraId="55C9C880" w14:textId="091B95AD"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10 000 000   </w:t>
            </w:r>
          </w:p>
        </w:tc>
      </w:tr>
      <w:tr w:rsidR="007248A4" w:rsidRPr="007248A4" w14:paraId="1E2D6DF5" w14:textId="77777777" w:rsidTr="002607E5">
        <w:trPr>
          <w:trHeight w:val="48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4758595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Sous total axe 6 </w:t>
            </w:r>
          </w:p>
        </w:tc>
        <w:tc>
          <w:tcPr>
            <w:tcW w:w="1619" w:type="dxa"/>
            <w:tcBorders>
              <w:top w:val="nil"/>
              <w:left w:val="nil"/>
              <w:bottom w:val="single" w:sz="4" w:space="0" w:color="auto"/>
              <w:right w:val="single" w:sz="4" w:space="0" w:color="auto"/>
            </w:tcBorders>
            <w:shd w:val="clear" w:color="auto" w:fill="auto"/>
            <w:vAlign w:val="center"/>
            <w:hideMark/>
          </w:tcPr>
          <w:p w14:paraId="2368E5F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067" w:type="dxa"/>
            <w:tcBorders>
              <w:top w:val="nil"/>
              <w:left w:val="nil"/>
              <w:bottom w:val="single" w:sz="4" w:space="0" w:color="auto"/>
              <w:right w:val="single" w:sz="4" w:space="0" w:color="auto"/>
            </w:tcBorders>
            <w:shd w:val="clear" w:color="auto" w:fill="auto"/>
            <w:vAlign w:val="center"/>
            <w:hideMark/>
          </w:tcPr>
          <w:p w14:paraId="0A4B9392" w14:textId="4BA6A043"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13 500 000   </w:t>
            </w:r>
          </w:p>
        </w:tc>
        <w:tc>
          <w:tcPr>
            <w:tcW w:w="1359" w:type="dxa"/>
            <w:tcBorders>
              <w:top w:val="nil"/>
              <w:left w:val="nil"/>
              <w:bottom w:val="single" w:sz="4" w:space="0" w:color="auto"/>
              <w:right w:val="single" w:sz="4" w:space="0" w:color="auto"/>
            </w:tcBorders>
            <w:shd w:val="clear" w:color="auto" w:fill="auto"/>
            <w:vAlign w:val="center"/>
            <w:hideMark/>
          </w:tcPr>
          <w:p w14:paraId="1069032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14:paraId="27AAFB6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2 500 000   </w:t>
            </w:r>
          </w:p>
        </w:tc>
        <w:tc>
          <w:tcPr>
            <w:tcW w:w="1109" w:type="dxa"/>
            <w:tcBorders>
              <w:top w:val="nil"/>
              <w:left w:val="nil"/>
              <w:bottom w:val="single" w:sz="4" w:space="0" w:color="auto"/>
              <w:right w:val="single" w:sz="4" w:space="0" w:color="auto"/>
            </w:tcBorders>
            <w:shd w:val="clear" w:color="auto" w:fill="auto"/>
            <w:vAlign w:val="center"/>
            <w:hideMark/>
          </w:tcPr>
          <w:p w14:paraId="657CAC5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7AED39D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2 500 000   </w:t>
            </w:r>
          </w:p>
        </w:tc>
        <w:tc>
          <w:tcPr>
            <w:tcW w:w="1360" w:type="dxa"/>
            <w:tcBorders>
              <w:top w:val="nil"/>
              <w:left w:val="nil"/>
              <w:bottom w:val="single" w:sz="4" w:space="0" w:color="auto"/>
              <w:right w:val="single" w:sz="4" w:space="0" w:color="auto"/>
            </w:tcBorders>
            <w:shd w:val="clear" w:color="auto" w:fill="auto"/>
            <w:vAlign w:val="center"/>
            <w:hideMark/>
          </w:tcPr>
          <w:p w14:paraId="79D1911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7 300 000   </w:t>
            </w:r>
          </w:p>
        </w:tc>
        <w:tc>
          <w:tcPr>
            <w:tcW w:w="1044" w:type="dxa"/>
            <w:tcBorders>
              <w:top w:val="nil"/>
              <w:left w:val="nil"/>
              <w:bottom w:val="single" w:sz="4" w:space="0" w:color="auto"/>
              <w:right w:val="single" w:sz="4" w:space="0" w:color="auto"/>
            </w:tcBorders>
            <w:shd w:val="clear" w:color="auto" w:fill="auto"/>
            <w:vAlign w:val="center"/>
            <w:hideMark/>
          </w:tcPr>
          <w:p w14:paraId="77B866BD"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986" w:type="dxa"/>
            <w:tcBorders>
              <w:top w:val="nil"/>
              <w:left w:val="nil"/>
              <w:bottom w:val="single" w:sz="4" w:space="0" w:color="auto"/>
              <w:right w:val="single" w:sz="4" w:space="0" w:color="auto"/>
            </w:tcBorders>
            <w:shd w:val="clear" w:color="auto" w:fill="auto"/>
            <w:vAlign w:val="center"/>
            <w:hideMark/>
          </w:tcPr>
          <w:p w14:paraId="784A47D5" w14:textId="547F44C8"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2 829 000   </w:t>
            </w:r>
          </w:p>
        </w:tc>
        <w:tc>
          <w:tcPr>
            <w:tcW w:w="1112" w:type="dxa"/>
            <w:tcBorders>
              <w:top w:val="nil"/>
              <w:left w:val="nil"/>
              <w:bottom w:val="single" w:sz="4" w:space="0" w:color="auto"/>
              <w:right w:val="single" w:sz="4" w:space="0" w:color="auto"/>
            </w:tcBorders>
            <w:shd w:val="clear" w:color="auto" w:fill="auto"/>
            <w:vAlign w:val="center"/>
            <w:hideMark/>
          </w:tcPr>
          <w:p w14:paraId="54B2BB3A" w14:textId="5C6AB7B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871 000   </w:t>
            </w:r>
          </w:p>
        </w:tc>
        <w:tc>
          <w:tcPr>
            <w:tcW w:w="1162" w:type="dxa"/>
            <w:tcBorders>
              <w:top w:val="nil"/>
              <w:left w:val="nil"/>
              <w:bottom w:val="single" w:sz="4" w:space="0" w:color="auto"/>
              <w:right w:val="single" w:sz="4" w:space="0" w:color="auto"/>
            </w:tcBorders>
            <w:shd w:val="clear" w:color="auto" w:fill="auto"/>
            <w:vAlign w:val="center"/>
            <w:hideMark/>
          </w:tcPr>
          <w:p w14:paraId="67C57BDB" w14:textId="6F9D6732"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11 000 000   </w:t>
            </w:r>
          </w:p>
        </w:tc>
      </w:tr>
      <w:tr w:rsidR="007248A4" w:rsidRPr="007248A4" w14:paraId="03736CCD" w14:textId="77777777" w:rsidTr="002607E5">
        <w:trPr>
          <w:trHeight w:val="2175"/>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4FE00AF9"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Axe stratégique 7 : Contribution au développement durable Faire des mines un vecteur de développement durable </w:t>
            </w:r>
          </w:p>
        </w:tc>
        <w:tc>
          <w:tcPr>
            <w:tcW w:w="1619" w:type="dxa"/>
            <w:tcBorders>
              <w:top w:val="nil"/>
              <w:left w:val="nil"/>
              <w:bottom w:val="single" w:sz="4" w:space="0" w:color="auto"/>
              <w:right w:val="single" w:sz="4" w:space="0" w:color="auto"/>
            </w:tcBorders>
            <w:shd w:val="clear" w:color="auto" w:fill="auto"/>
            <w:vAlign w:val="center"/>
            <w:hideMark/>
          </w:tcPr>
          <w:p w14:paraId="6111CA6C"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Intégrer les </w:t>
            </w:r>
            <w:proofErr w:type="gramStart"/>
            <w:r w:rsidRPr="007248A4">
              <w:rPr>
                <w:rFonts w:ascii="Arial" w:hAnsi="Arial" w:cs="Arial"/>
                <w:sz w:val="18"/>
                <w:szCs w:val="18"/>
              </w:rPr>
              <w:t>projets  miniers</w:t>
            </w:r>
            <w:proofErr w:type="gramEnd"/>
            <w:r w:rsidRPr="007248A4">
              <w:rPr>
                <w:rFonts w:ascii="Arial" w:hAnsi="Arial" w:cs="Arial"/>
                <w:sz w:val="18"/>
                <w:szCs w:val="18"/>
              </w:rPr>
              <w:t xml:space="preserve"> et pétroliers dans les  PDESC </w:t>
            </w:r>
          </w:p>
        </w:tc>
        <w:tc>
          <w:tcPr>
            <w:tcW w:w="1067" w:type="dxa"/>
            <w:tcBorders>
              <w:top w:val="nil"/>
              <w:left w:val="nil"/>
              <w:bottom w:val="single" w:sz="4" w:space="0" w:color="auto"/>
              <w:right w:val="single" w:sz="4" w:space="0" w:color="auto"/>
            </w:tcBorders>
            <w:shd w:val="clear" w:color="auto" w:fill="auto"/>
            <w:vAlign w:val="center"/>
            <w:hideMark/>
          </w:tcPr>
          <w:p w14:paraId="028F7485" w14:textId="36593F50"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2 500 000   </w:t>
            </w:r>
          </w:p>
        </w:tc>
        <w:tc>
          <w:tcPr>
            <w:tcW w:w="1359" w:type="dxa"/>
            <w:tcBorders>
              <w:top w:val="nil"/>
              <w:left w:val="nil"/>
              <w:bottom w:val="single" w:sz="4" w:space="0" w:color="auto"/>
              <w:right w:val="single" w:sz="4" w:space="0" w:color="auto"/>
            </w:tcBorders>
            <w:shd w:val="clear" w:color="auto" w:fill="auto"/>
            <w:vAlign w:val="center"/>
            <w:hideMark/>
          </w:tcPr>
          <w:p w14:paraId="5475B94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4351C40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100 000   </w:t>
            </w:r>
          </w:p>
        </w:tc>
        <w:tc>
          <w:tcPr>
            <w:tcW w:w="1109" w:type="dxa"/>
            <w:tcBorders>
              <w:top w:val="nil"/>
              <w:left w:val="nil"/>
              <w:bottom w:val="single" w:sz="4" w:space="0" w:color="auto"/>
              <w:right w:val="single" w:sz="4" w:space="0" w:color="auto"/>
            </w:tcBorders>
            <w:shd w:val="clear" w:color="auto" w:fill="auto"/>
            <w:vAlign w:val="center"/>
            <w:hideMark/>
          </w:tcPr>
          <w:p w14:paraId="32D9BB8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65FBD6F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100 000   </w:t>
            </w:r>
          </w:p>
        </w:tc>
        <w:tc>
          <w:tcPr>
            <w:tcW w:w="1360" w:type="dxa"/>
            <w:tcBorders>
              <w:top w:val="nil"/>
              <w:left w:val="nil"/>
              <w:bottom w:val="single" w:sz="4" w:space="0" w:color="auto"/>
              <w:right w:val="single" w:sz="4" w:space="0" w:color="auto"/>
            </w:tcBorders>
            <w:shd w:val="clear" w:color="auto" w:fill="auto"/>
            <w:vAlign w:val="center"/>
            <w:hideMark/>
          </w:tcPr>
          <w:p w14:paraId="0973F43E"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100 000   </w:t>
            </w:r>
          </w:p>
        </w:tc>
        <w:tc>
          <w:tcPr>
            <w:tcW w:w="1044" w:type="dxa"/>
            <w:tcBorders>
              <w:top w:val="nil"/>
              <w:left w:val="nil"/>
              <w:bottom w:val="single" w:sz="4" w:space="0" w:color="auto"/>
              <w:right w:val="single" w:sz="4" w:space="0" w:color="auto"/>
            </w:tcBorders>
            <w:shd w:val="clear" w:color="auto" w:fill="auto"/>
            <w:vAlign w:val="center"/>
            <w:hideMark/>
          </w:tcPr>
          <w:p w14:paraId="406DAED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4AD8358F" w14:textId="0C09251C"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400 000   </w:t>
            </w:r>
          </w:p>
        </w:tc>
        <w:tc>
          <w:tcPr>
            <w:tcW w:w="1112" w:type="dxa"/>
            <w:tcBorders>
              <w:top w:val="nil"/>
              <w:left w:val="nil"/>
              <w:bottom w:val="single" w:sz="4" w:space="0" w:color="auto"/>
              <w:right w:val="single" w:sz="4" w:space="0" w:color="auto"/>
            </w:tcBorders>
            <w:shd w:val="clear" w:color="auto" w:fill="auto"/>
            <w:vAlign w:val="center"/>
            <w:hideMark/>
          </w:tcPr>
          <w:p w14:paraId="638B7A2D" w14:textId="0E67D0C1"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1 900 000   </w:t>
            </w:r>
          </w:p>
        </w:tc>
        <w:tc>
          <w:tcPr>
            <w:tcW w:w="1162" w:type="dxa"/>
            <w:tcBorders>
              <w:top w:val="nil"/>
              <w:left w:val="nil"/>
              <w:bottom w:val="single" w:sz="4" w:space="0" w:color="auto"/>
              <w:right w:val="single" w:sz="4" w:space="0" w:color="auto"/>
            </w:tcBorders>
            <w:shd w:val="clear" w:color="auto" w:fill="auto"/>
            <w:vAlign w:val="center"/>
            <w:hideMark/>
          </w:tcPr>
          <w:p w14:paraId="78DAF845" w14:textId="67D66F56"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2 400 000   </w:t>
            </w:r>
          </w:p>
        </w:tc>
      </w:tr>
      <w:tr w:rsidR="007248A4" w:rsidRPr="007248A4" w14:paraId="72A3248D" w14:textId="77777777" w:rsidTr="002607E5">
        <w:trPr>
          <w:trHeight w:val="51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7E21A027"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14:paraId="6B09F466"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Promouvoir la RSE des entreprises </w:t>
            </w:r>
            <w:r w:rsidRPr="007248A4">
              <w:rPr>
                <w:rFonts w:ascii="Arial" w:hAnsi="Arial" w:cs="Arial"/>
                <w:sz w:val="18"/>
                <w:szCs w:val="18"/>
              </w:rPr>
              <w:lastRenderedPageBreak/>
              <w:t xml:space="preserve">minières et pétrolières </w:t>
            </w:r>
          </w:p>
        </w:tc>
        <w:tc>
          <w:tcPr>
            <w:tcW w:w="1067" w:type="dxa"/>
            <w:tcBorders>
              <w:top w:val="nil"/>
              <w:left w:val="nil"/>
              <w:bottom w:val="single" w:sz="4" w:space="0" w:color="auto"/>
              <w:right w:val="single" w:sz="4" w:space="0" w:color="auto"/>
            </w:tcBorders>
            <w:shd w:val="clear" w:color="auto" w:fill="auto"/>
            <w:vAlign w:val="center"/>
            <w:hideMark/>
          </w:tcPr>
          <w:p w14:paraId="77F1CD2F" w14:textId="538FA6C0" w:rsidR="001731C1" w:rsidRPr="007248A4" w:rsidRDefault="001731C1" w:rsidP="001731C1">
            <w:pPr>
              <w:rPr>
                <w:rFonts w:ascii="Arial" w:hAnsi="Arial" w:cs="Arial"/>
                <w:b/>
                <w:bCs/>
                <w:sz w:val="18"/>
                <w:szCs w:val="18"/>
              </w:rPr>
            </w:pPr>
            <w:r w:rsidRPr="007248A4">
              <w:rPr>
                <w:rFonts w:ascii="Arial" w:hAnsi="Arial" w:cs="Arial"/>
                <w:b/>
                <w:bCs/>
                <w:sz w:val="18"/>
                <w:szCs w:val="18"/>
              </w:rPr>
              <w:lastRenderedPageBreak/>
              <w:t xml:space="preserve"> 1 000 000   </w:t>
            </w:r>
          </w:p>
        </w:tc>
        <w:tc>
          <w:tcPr>
            <w:tcW w:w="1359" w:type="dxa"/>
            <w:tcBorders>
              <w:top w:val="nil"/>
              <w:left w:val="nil"/>
              <w:bottom w:val="single" w:sz="4" w:space="0" w:color="auto"/>
              <w:right w:val="single" w:sz="4" w:space="0" w:color="auto"/>
            </w:tcBorders>
            <w:shd w:val="clear" w:color="auto" w:fill="auto"/>
            <w:vAlign w:val="center"/>
            <w:hideMark/>
          </w:tcPr>
          <w:p w14:paraId="12598614"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0F79667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250 000   </w:t>
            </w:r>
          </w:p>
        </w:tc>
        <w:tc>
          <w:tcPr>
            <w:tcW w:w="1109" w:type="dxa"/>
            <w:tcBorders>
              <w:top w:val="nil"/>
              <w:left w:val="nil"/>
              <w:bottom w:val="single" w:sz="4" w:space="0" w:color="auto"/>
              <w:right w:val="single" w:sz="4" w:space="0" w:color="auto"/>
            </w:tcBorders>
            <w:shd w:val="clear" w:color="auto" w:fill="auto"/>
            <w:vAlign w:val="center"/>
            <w:hideMark/>
          </w:tcPr>
          <w:p w14:paraId="3F5BA0DE"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393737BF"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250 000   </w:t>
            </w:r>
          </w:p>
        </w:tc>
        <w:tc>
          <w:tcPr>
            <w:tcW w:w="1360" w:type="dxa"/>
            <w:tcBorders>
              <w:top w:val="nil"/>
              <w:left w:val="nil"/>
              <w:bottom w:val="single" w:sz="4" w:space="0" w:color="auto"/>
              <w:right w:val="single" w:sz="4" w:space="0" w:color="auto"/>
            </w:tcBorders>
            <w:shd w:val="clear" w:color="auto" w:fill="auto"/>
            <w:vAlign w:val="center"/>
            <w:hideMark/>
          </w:tcPr>
          <w:p w14:paraId="16625EB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044" w:type="dxa"/>
            <w:tcBorders>
              <w:top w:val="nil"/>
              <w:left w:val="nil"/>
              <w:bottom w:val="single" w:sz="4" w:space="0" w:color="auto"/>
              <w:right w:val="single" w:sz="4" w:space="0" w:color="auto"/>
            </w:tcBorders>
            <w:shd w:val="clear" w:color="auto" w:fill="auto"/>
            <w:vAlign w:val="center"/>
            <w:hideMark/>
          </w:tcPr>
          <w:p w14:paraId="56D8ABD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5145E9CB" w14:textId="5B04765E"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750 000   </w:t>
            </w:r>
          </w:p>
        </w:tc>
        <w:tc>
          <w:tcPr>
            <w:tcW w:w="1112" w:type="dxa"/>
            <w:tcBorders>
              <w:top w:val="nil"/>
              <w:left w:val="nil"/>
              <w:bottom w:val="single" w:sz="4" w:space="0" w:color="auto"/>
              <w:right w:val="single" w:sz="4" w:space="0" w:color="auto"/>
            </w:tcBorders>
            <w:shd w:val="clear" w:color="auto" w:fill="auto"/>
            <w:vAlign w:val="center"/>
            <w:hideMark/>
          </w:tcPr>
          <w:p w14:paraId="0226E68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29671526" w14:textId="4E0D9CA3"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750 000   </w:t>
            </w:r>
          </w:p>
        </w:tc>
      </w:tr>
      <w:tr w:rsidR="007248A4" w:rsidRPr="007248A4" w14:paraId="530C74F1" w14:textId="77777777" w:rsidTr="002607E5">
        <w:trPr>
          <w:trHeight w:val="1440"/>
        </w:trPr>
        <w:tc>
          <w:tcPr>
            <w:tcW w:w="1708" w:type="dxa"/>
            <w:tcBorders>
              <w:top w:val="nil"/>
              <w:left w:val="single" w:sz="4" w:space="0" w:color="auto"/>
              <w:bottom w:val="single" w:sz="4" w:space="0" w:color="auto"/>
              <w:right w:val="single" w:sz="4" w:space="0" w:color="auto"/>
            </w:tcBorders>
            <w:shd w:val="clear" w:color="auto" w:fill="auto"/>
            <w:hideMark/>
          </w:tcPr>
          <w:p w14:paraId="77BE2C95"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14:paraId="55C1379B"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Renforcer les capacités de suivi et de contrôle des activités minières des populations </w:t>
            </w:r>
          </w:p>
        </w:tc>
        <w:tc>
          <w:tcPr>
            <w:tcW w:w="1067" w:type="dxa"/>
            <w:tcBorders>
              <w:top w:val="nil"/>
              <w:left w:val="nil"/>
              <w:bottom w:val="single" w:sz="4" w:space="0" w:color="auto"/>
              <w:right w:val="single" w:sz="4" w:space="0" w:color="auto"/>
            </w:tcBorders>
            <w:shd w:val="clear" w:color="auto" w:fill="auto"/>
            <w:vAlign w:val="center"/>
            <w:hideMark/>
          </w:tcPr>
          <w:p w14:paraId="707F094D" w14:textId="6BA77869"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2 000 000   </w:t>
            </w:r>
          </w:p>
        </w:tc>
        <w:tc>
          <w:tcPr>
            <w:tcW w:w="1359" w:type="dxa"/>
            <w:tcBorders>
              <w:top w:val="nil"/>
              <w:left w:val="nil"/>
              <w:bottom w:val="single" w:sz="4" w:space="0" w:color="auto"/>
              <w:right w:val="single" w:sz="4" w:space="0" w:color="auto"/>
            </w:tcBorders>
            <w:shd w:val="clear" w:color="auto" w:fill="auto"/>
            <w:vAlign w:val="center"/>
            <w:hideMark/>
          </w:tcPr>
          <w:p w14:paraId="5494C09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345 000   </w:t>
            </w:r>
          </w:p>
        </w:tc>
        <w:tc>
          <w:tcPr>
            <w:tcW w:w="1418" w:type="dxa"/>
            <w:tcBorders>
              <w:top w:val="nil"/>
              <w:left w:val="nil"/>
              <w:bottom w:val="single" w:sz="4" w:space="0" w:color="auto"/>
              <w:right w:val="single" w:sz="4" w:space="0" w:color="auto"/>
            </w:tcBorders>
            <w:shd w:val="clear" w:color="auto" w:fill="auto"/>
            <w:vAlign w:val="center"/>
            <w:hideMark/>
          </w:tcPr>
          <w:p w14:paraId="69AC3C3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200 000   </w:t>
            </w:r>
          </w:p>
        </w:tc>
        <w:tc>
          <w:tcPr>
            <w:tcW w:w="1109" w:type="dxa"/>
            <w:tcBorders>
              <w:top w:val="nil"/>
              <w:left w:val="nil"/>
              <w:bottom w:val="single" w:sz="4" w:space="0" w:color="auto"/>
              <w:right w:val="single" w:sz="4" w:space="0" w:color="auto"/>
            </w:tcBorders>
            <w:shd w:val="clear" w:color="auto" w:fill="auto"/>
            <w:vAlign w:val="center"/>
            <w:hideMark/>
          </w:tcPr>
          <w:p w14:paraId="0F8FC788"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19E657F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545 000   </w:t>
            </w:r>
          </w:p>
        </w:tc>
        <w:tc>
          <w:tcPr>
            <w:tcW w:w="1360" w:type="dxa"/>
            <w:tcBorders>
              <w:top w:val="nil"/>
              <w:left w:val="nil"/>
              <w:bottom w:val="single" w:sz="4" w:space="0" w:color="auto"/>
              <w:right w:val="single" w:sz="4" w:space="0" w:color="auto"/>
            </w:tcBorders>
            <w:shd w:val="clear" w:color="auto" w:fill="auto"/>
            <w:vAlign w:val="center"/>
            <w:hideMark/>
          </w:tcPr>
          <w:p w14:paraId="34C8807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955 000   </w:t>
            </w:r>
          </w:p>
        </w:tc>
        <w:tc>
          <w:tcPr>
            <w:tcW w:w="1044" w:type="dxa"/>
            <w:tcBorders>
              <w:top w:val="nil"/>
              <w:left w:val="nil"/>
              <w:bottom w:val="single" w:sz="4" w:space="0" w:color="auto"/>
              <w:right w:val="single" w:sz="4" w:space="0" w:color="auto"/>
            </w:tcBorders>
            <w:shd w:val="clear" w:color="auto" w:fill="auto"/>
            <w:vAlign w:val="center"/>
            <w:hideMark/>
          </w:tcPr>
          <w:p w14:paraId="0AF5D6EA" w14:textId="66DF6014"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350 000   </w:t>
            </w:r>
          </w:p>
        </w:tc>
        <w:tc>
          <w:tcPr>
            <w:tcW w:w="986" w:type="dxa"/>
            <w:tcBorders>
              <w:top w:val="nil"/>
              <w:left w:val="nil"/>
              <w:bottom w:val="single" w:sz="4" w:space="0" w:color="auto"/>
              <w:right w:val="single" w:sz="4" w:space="0" w:color="auto"/>
            </w:tcBorders>
            <w:shd w:val="clear" w:color="auto" w:fill="auto"/>
            <w:vAlign w:val="center"/>
            <w:hideMark/>
          </w:tcPr>
          <w:p w14:paraId="1442758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12" w:type="dxa"/>
            <w:tcBorders>
              <w:top w:val="nil"/>
              <w:left w:val="nil"/>
              <w:bottom w:val="single" w:sz="4" w:space="0" w:color="auto"/>
              <w:right w:val="single" w:sz="4" w:space="0" w:color="auto"/>
            </w:tcBorders>
            <w:shd w:val="clear" w:color="auto" w:fill="auto"/>
            <w:vAlign w:val="center"/>
            <w:hideMark/>
          </w:tcPr>
          <w:p w14:paraId="54A35717" w14:textId="4CC543B4"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150 000   </w:t>
            </w:r>
          </w:p>
        </w:tc>
        <w:tc>
          <w:tcPr>
            <w:tcW w:w="1162" w:type="dxa"/>
            <w:tcBorders>
              <w:top w:val="nil"/>
              <w:left w:val="nil"/>
              <w:bottom w:val="single" w:sz="4" w:space="0" w:color="auto"/>
              <w:right w:val="single" w:sz="4" w:space="0" w:color="auto"/>
            </w:tcBorders>
            <w:shd w:val="clear" w:color="auto" w:fill="auto"/>
            <w:vAlign w:val="center"/>
            <w:hideMark/>
          </w:tcPr>
          <w:p w14:paraId="1950FD27" w14:textId="04621A36"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1 455 000   </w:t>
            </w:r>
          </w:p>
        </w:tc>
      </w:tr>
      <w:tr w:rsidR="007248A4" w:rsidRPr="007248A4" w14:paraId="10A8D1E9" w14:textId="77777777" w:rsidTr="002607E5">
        <w:trPr>
          <w:trHeight w:val="1275"/>
        </w:trPr>
        <w:tc>
          <w:tcPr>
            <w:tcW w:w="1708" w:type="dxa"/>
            <w:tcBorders>
              <w:top w:val="nil"/>
              <w:left w:val="single" w:sz="4" w:space="0" w:color="auto"/>
              <w:bottom w:val="single" w:sz="4" w:space="0" w:color="auto"/>
              <w:right w:val="single" w:sz="4" w:space="0" w:color="auto"/>
            </w:tcBorders>
            <w:shd w:val="clear" w:color="auto" w:fill="auto"/>
            <w:hideMark/>
          </w:tcPr>
          <w:p w14:paraId="1FEF2F19"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14:paraId="35EE9AFD" w14:textId="2D5FD370" w:rsidR="001731C1" w:rsidRPr="007248A4" w:rsidRDefault="007241B9" w:rsidP="001731C1">
            <w:pPr>
              <w:rPr>
                <w:rFonts w:ascii="Arial" w:hAnsi="Arial" w:cs="Arial"/>
                <w:sz w:val="18"/>
                <w:szCs w:val="18"/>
              </w:rPr>
            </w:pPr>
            <w:r w:rsidRPr="007248A4">
              <w:rPr>
                <w:rFonts w:ascii="Arial" w:hAnsi="Arial" w:cs="Arial"/>
                <w:sz w:val="18"/>
                <w:szCs w:val="18"/>
              </w:rPr>
              <w:t>Assurer la</w:t>
            </w:r>
            <w:r w:rsidR="001731C1" w:rsidRPr="007248A4">
              <w:rPr>
                <w:rFonts w:ascii="Arial" w:hAnsi="Arial" w:cs="Arial"/>
                <w:sz w:val="18"/>
                <w:szCs w:val="18"/>
              </w:rPr>
              <w:t xml:space="preserve"> préservation et la gestion de l’environnement, la réhabilitation des sites d’exploitation et la prise en compte de l’après mine </w:t>
            </w:r>
          </w:p>
        </w:tc>
        <w:tc>
          <w:tcPr>
            <w:tcW w:w="1067" w:type="dxa"/>
            <w:tcBorders>
              <w:top w:val="nil"/>
              <w:left w:val="nil"/>
              <w:bottom w:val="single" w:sz="4" w:space="0" w:color="auto"/>
              <w:right w:val="single" w:sz="4" w:space="0" w:color="auto"/>
            </w:tcBorders>
            <w:shd w:val="clear" w:color="auto" w:fill="auto"/>
            <w:vAlign w:val="center"/>
            <w:hideMark/>
          </w:tcPr>
          <w:p w14:paraId="1DBCABA3" w14:textId="70B52633"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1 000 000   </w:t>
            </w:r>
          </w:p>
        </w:tc>
        <w:tc>
          <w:tcPr>
            <w:tcW w:w="1359" w:type="dxa"/>
            <w:tcBorders>
              <w:top w:val="nil"/>
              <w:left w:val="nil"/>
              <w:bottom w:val="single" w:sz="4" w:space="0" w:color="auto"/>
              <w:right w:val="single" w:sz="4" w:space="0" w:color="auto"/>
            </w:tcBorders>
            <w:shd w:val="clear" w:color="auto" w:fill="auto"/>
            <w:vAlign w:val="center"/>
            <w:hideMark/>
          </w:tcPr>
          <w:p w14:paraId="6A1149E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342 000   </w:t>
            </w:r>
          </w:p>
        </w:tc>
        <w:tc>
          <w:tcPr>
            <w:tcW w:w="1418" w:type="dxa"/>
            <w:tcBorders>
              <w:top w:val="nil"/>
              <w:left w:val="nil"/>
              <w:bottom w:val="single" w:sz="4" w:space="0" w:color="auto"/>
              <w:right w:val="single" w:sz="4" w:space="0" w:color="auto"/>
            </w:tcBorders>
            <w:shd w:val="clear" w:color="auto" w:fill="auto"/>
            <w:vAlign w:val="center"/>
            <w:hideMark/>
          </w:tcPr>
          <w:p w14:paraId="344C296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150 000   </w:t>
            </w:r>
          </w:p>
        </w:tc>
        <w:tc>
          <w:tcPr>
            <w:tcW w:w="1109" w:type="dxa"/>
            <w:tcBorders>
              <w:top w:val="nil"/>
              <w:left w:val="nil"/>
              <w:bottom w:val="single" w:sz="4" w:space="0" w:color="auto"/>
              <w:right w:val="single" w:sz="4" w:space="0" w:color="auto"/>
            </w:tcBorders>
            <w:shd w:val="clear" w:color="auto" w:fill="auto"/>
            <w:vAlign w:val="center"/>
            <w:hideMark/>
          </w:tcPr>
          <w:p w14:paraId="68DC7CF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6DB35DA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492 000   </w:t>
            </w:r>
          </w:p>
        </w:tc>
        <w:tc>
          <w:tcPr>
            <w:tcW w:w="1360" w:type="dxa"/>
            <w:tcBorders>
              <w:top w:val="nil"/>
              <w:left w:val="nil"/>
              <w:bottom w:val="single" w:sz="4" w:space="0" w:color="auto"/>
              <w:right w:val="single" w:sz="4" w:space="0" w:color="auto"/>
            </w:tcBorders>
            <w:shd w:val="clear" w:color="auto" w:fill="auto"/>
            <w:vAlign w:val="center"/>
            <w:hideMark/>
          </w:tcPr>
          <w:p w14:paraId="151BEF63"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108 000   </w:t>
            </w:r>
          </w:p>
        </w:tc>
        <w:tc>
          <w:tcPr>
            <w:tcW w:w="1044" w:type="dxa"/>
            <w:tcBorders>
              <w:top w:val="nil"/>
              <w:left w:val="nil"/>
              <w:bottom w:val="single" w:sz="4" w:space="0" w:color="auto"/>
              <w:right w:val="single" w:sz="4" w:space="0" w:color="auto"/>
            </w:tcBorders>
            <w:shd w:val="clear" w:color="auto" w:fill="auto"/>
            <w:vAlign w:val="center"/>
            <w:hideMark/>
          </w:tcPr>
          <w:p w14:paraId="6BBB733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986" w:type="dxa"/>
            <w:tcBorders>
              <w:top w:val="nil"/>
              <w:left w:val="nil"/>
              <w:bottom w:val="single" w:sz="4" w:space="0" w:color="auto"/>
              <w:right w:val="single" w:sz="4" w:space="0" w:color="auto"/>
            </w:tcBorders>
            <w:shd w:val="clear" w:color="auto" w:fill="auto"/>
            <w:vAlign w:val="center"/>
            <w:hideMark/>
          </w:tcPr>
          <w:p w14:paraId="11400569" w14:textId="6E655704"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400 000   </w:t>
            </w:r>
          </w:p>
        </w:tc>
        <w:tc>
          <w:tcPr>
            <w:tcW w:w="1112" w:type="dxa"/>
            <w:tcBorders>
              <w:top w:val="nil"/>
              <w:left w:val="nil"/>
              <w:bottom w:val="single" w:sz="4" w:space="0" w:color="auto"/>
              <w:right w:val="single" w:sz="4" w:space="0" w:color="auto"/>
            </w:tcBorders>
            <w:shd w:val="clear" w:color="auto" w:fill="auto"/>
            <w:vAlign w:val="center"/>
            <w:hideMark/>
          </w:tcPr>
          <w:p w14:paraId="601C4D82"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62" w:type="dxa"/>
            <w:tcBorders>
              <w:top w:val="nil"/>
              <w:left w:val="nil"/>
              <w:bottom w:val="single" w:sz="4" w:space="0" w:color="auto"/>
              <w:right w:val="single" w:sz="4" w:space="0" w:color="auto"/>
            </w:tcBorders>
            <w:shd w:val="clear" w:color="auto" w:fill="auto"/>
            <w:vAlign w:val="center"/>
            <w:hideMark/>
          </w:tcPr>
          <w:p w14:paraId="38D64F31" w14:textId="14A723C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508 000   </w:t>
            </w:r>
          </w:p>
        </w:tc>
      </w:tr>
      <w:tr w:rsidR="007248A4" w:rsidRPr="007248A4" w14:paraId="7EDB7FCF" w14:textId="77777777" w:rsidTr="002607E5">
        <w:trPr>
          <w:trHeight w:val="1020"/>
        </w:trPr>
        <w:tc>
          <w:tcPr>
            <w:tcW w:w="1708" w:type="dxa"/>
            <w:tcBorders>
              <w:top w:val="nil"/>
              <w:left w:val="single" w:sz="4" w:space="0" w:color="auto"/>
              <w:bottom w:val="single" w:sz="4" w:space="0" w:color="auto"/>
              <w:right w:val="single" w:sz="4" w:space="0" w:color="auto"/>
            </w:tcBorders>
            <w:shd w:val="clear" w:color="auto" w:fill="auto"/>
            <w:hideMark/>
          </w:tcPr>
          <w:p w14:paraId="37899995"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14:paraId="34D5BCFA" w14:textId="77777777" w:rsidR="001731C1" w:rsidRPr="007248A4" w:rsidRDefault="001731C1" w:rsidP="001731C1">
            <w:pPr>
              <w:rPr>
                <w:rFonts w:ascii="Arial" w:hAnsi="Arial" w:cs="Arial"/>
                <w:sz w:val="18"/>
                <w:szCs w:val="18"/>
              </w:rPr>
            </w:pPr>
            <w:r w:rsidRPr="007248A4">
              <w:rPr>
                <w:rFonts w:ascii="Arial" w:hAnsi="Arial" w:cs="Arial"/>
                <w:sz w:val="18"/>
                <w:szCs w:val="18"/>
              </w:rPr>
              <w:t xml:space="preserve">Développer des plans d’actions de prévention et de prise en charge les questions de VIH et d’autres </w:t>
            </w:r>
            <w:proofErr w:type="spellStart"/>
            <w:r w:rsidRPr="007248A4">
              <w:rPr>
                <w:rFonts w:ascii="Arial" w:hAnsi="Arial" w:cs="Arial"/>
                <w:sz w:val="18"/>
                <w:szCs w:val="18"/>
              </w:rPr>
              <w:t>ISTs</w:t>
            </w:r>
            <w:proofErr w:type="spellEnd"/>
          </w:p>
        </w:tc>
        <w:tc>
          <w:tcPr>
            <w:tcW w:w="1067" w:type="dxa"/>
            <w:tcBorders>
              <w:top w:val="nil"/>
              <w:left w:val="nil"/>
              <w:bottom w:val="single" w:sz="4" w:space="0" w:color="auto"/>
              <w:right w:val="single" w:sz="4" w:space="0" w:color="auto"/>
            </w:tcBorders>
            <w:shd w:val="clear" w:color="auto" w:fill="auto"/>
            <w:vAlign w:val="center"/>
            <w:hideMark/>
          </w:tcPr>
          <w:p w14:paraId="06BF801E"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1 000 000   </w:t>
            </w:r>
          </w:p>
        </w:tc>
        <w:tc>
          <w:tcPr>
            <w:tcW w:w="1359" w:type="dxa"/>
            <w:tcBorders>
              <w:top w:val="nil"/>
              <w:left w:val="nil"/>
              <w:bottom w:val="single" w:sz="4" w:space="0" w:color="auto"/>
              <w:right w:val="single" w:sz="4" w:space="0" w:color="auto"/>
            </w:tcBorders>
            <w:shd w:val="clear" w:color="auto" w:fill="auto"/>
            <w:vAlign w:val="center"/>
            <w:hideMark/>
          </w:tcPr>
          <w:p w14:paraId="7BA2A25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auto"/>
            <w:vAlign w:val="center"/>
            <w:hideMark/>
          </w:tcPr>
          <w:p w14:paraId="293ABA3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300 000   </w:t>
            </w:r>
          </w:p>
        </w:tc>
        <w:tc>
          <w:tcPr>
            <w:tcW w:w="1109" w:type="dxa"/>
            <w:tcBorders>
              <w:top w:val="nil"/>
              <w:left w:val="nil"/>
              <w:bottom w:val="single" w:sz="4" w:space="0" w:color="auto"/>
              <w:right w:val="single" w:sz="4" w:space="0" w:color="auto"/>
            </w:tcBorders>
            <w:shd w:val="clear" w:color="auto" w:fill="auto"/>
            <w:vAlign w:val="center"/>
            <w:hideMark/>
          </w:tcPr>
          <w:p w14:paraId="4D06F5A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1F0AAC16" w14:textId="46637C69"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300 000   </w:t>
            </w:r>
          </w:p>
        </w:tc>
        <w:tc>
          <w:tcPr>
            <w:tcW w:w="1360" w:type="dxa"/>
            <w:tcBorders>
              <w:top w:val="nil"/>
              <w:left w:val="nil"/>
              <w:bottom w:val="single" w:sz="4" w:space="0" w:color="auto"/>
              <w:right w:val="single" w:sz="4" w:space="0" w:color="auto"/>
            </w:tcBorders>
            <w:shd w:val="clear" w:color="auto" w:fill="auto"/>
            <w:vAlign w:val="center"/>
            <w:hideMark/>
          </w:tcPr>
          <w:p w14:paraId="7778861B"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50 000   </w:t>
            </w:r>
          </w:p>
        </w:tc>
        <w:tc>
          <w:tcPr>
            <w:tcW w:w="1044" w:type="dxa"/>
            <w:tcBorders>
              <w:top w:val="nil"/>
              <w:left w:val="nil"/>
              <w:bottom w:val="single" w:sz="4" w:space="0" w:color="auto"/>
              <w:right w:val="single" w:sz="4" w:space="0" w:color="auto"/>
            </w:tcBorders>
            <w:shd w:val="clear" w:color="auto" w:fill="auto"/>
            <w:vAlign w:val="center"/>
            <w:hideMark/>
          </w:tcPr>
          <w:p w14:paraId="65BDA9E6" w14:textId="35DE5CDE"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116 000   </w:t>
            </w:r>
          </w:p>
        </w:tc>
        <w:tc>
          <w:tcPr>
            <w:tcW w:w="986" w:type="dxa"/>
            <w:tcBorders>
              <w:top w:val="nil"/>
              <w:left w:val="nil"/>
              <w:bottom w:val="single" w:sz="4" w:space="0" w:color="auto"/>
              <w:right w:val="single" w:sz="4" w:space="0" w:color="auto"/>
            </w:tcBorders>
            <w:shd w:val="clear" w:color="auto" w:fill="auto"/>
            <w:vAlign w:val="center"/>
            <w:hideMark/>
          </w:tcPr>
          <w:p w14:paraId="382BD29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485 000   </w:t>
            </w:r>
          </w:p>
        </w:tc>
        <w:tc>
          <w:tcPr>
            <w:tcW w:w="1112" w:type="dxa"/>
            <w:tcBorders>
              <w:top w:val="nil"/>
              <w:left w:val="nil"/>
              <w:bottom w:val="single" w:sz="4" w:space="0" w:color="auto"/>
              <w:right w:val="single" w:sz="4" w:space="0" w:color="auto"/>
            </w:tcBorders>
            <w:shd w:val="clear" w:color="auto" w:fill="auto"/>
            <w:vAlign w:val="center"/>
            <w:hideMark/>
          </w:tcPr>
          <w:p w14:paraId="0439E1BE" w14:textId="233E7B49"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49 000   </w:t>
            </w:r>
          </w:p>
        </w:tc>
        <w:tc>
          <w:tcPr>
            <w:tcW w:w="1162" w:type="dxa"/>
            <w:tcBorders>
              <w:top w:val="nil"/>
              <w:left w:val="nil"/>
              <w:bottom w:val="single" w:sz="4" w:space="0" w:color="auto"/>
              <w:right w:val="single" w:sz="4" w:space="0" w:color="auto"/>
            </w:tcBorders>
            <w:shd w:val="clear" w:color="auto" w:fill="auto"/>
            <w:vAlign w:val="center"/>
            <w:hideMark/>
          </w:tcPr>
          <w:p w14:paraId="3B95DA1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700 000   </w:t>
            </w:r>
          </w:p>
        </w:tc>
      </w:tr>
      <w:tr w:rsidR="007248A4" w:rsidRPr="007248A4" w14:paraId="49DA51FB" w14:textId="77777777" w:rsidTr="002607E5">
        <w:trPr>
          <w:trHeight w:val="510"/>
        </w:trPr>
        <w:tc>
          <w:tcPr>
            <w:tcW w:w="1708" w:type="dxa"/>
            <w:tcBorders>
              <w:top w:val="nil"/>
              <w:left w:val="single" w:sz="4" w:space="0" w:color="auto"/>
              <w:bottom w:val="single" w:sz="4" w:space="0" w:color="auto"/>
              <w:right w:val="single" w:sz="4" w:space="0" w:color="auto"/>
            </w:tcBorders>
            <w:shd w:val="clear" w:color="auto" w:fill="auto"/>
            <w:hideMark/>
          </w:tcPr>
          <w:p w14:paraId="45C32CE6"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14:paraId="6B9E4167" w14:textId="77777777" w:rsidR="001731C1" w:rsidRPr="007248A4" w:rsidRDefault="001731C1" w:rsidP="001731C1">
            <w:pPr>
              <w:rPr>
                <w:rFonts w:ascii="Arial" w:hAnsi="Arial" w:cs="Arial"/>
                <w:sz w:val="18"/>
                <w:szCs w:val="18"/>
              </w:rPr>
            </w:pPr>
            <w:r w:rsidRPr="007248A4">
              <w:rPr>
                <w:rFonts w:ascii="Arial" w:hAnsi="Arial" w:cs="Arial"/>
                <w:sz w:val="18"/>
                <w:szCs w:val="18"/>
              </w:rPr>
              <w:t>Assurer la sécurité des sites d’exploitation minière</w:t>
            </w:r>
          </w:p>
        </w:tc>
        <w:tc>
          <w:tcPr>
            <w:tcW w:w="1067" w:type="dxa"/>
            <w:tcBorders>
              <w:top w:val="nil"/>
              <w:left w:val="nil"/>
              <w:bottom w:val="single" w:sz="4" w:space="0" w:color="auto"/>
              <w:right w:val="single" w:sz="4" w:space="0" w:color="auto"/>
            </w:tcBorders>
            <w:shd w:val="clear" w:color="auto" w:fill="auto"/>
            <w:vAlign w:val="center"/>
            <w:hideMark/>
          </w:tcPr>
          <w:p w14:paraId="3140020E" w14:textId="1463D12A"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5 000 000   </w:t>
            </w:r>
          </w:p>
        </w:tc>
        <w:tc>
          <w:tcPr>
            <w:tcW w:w="1359" w:type="dxa"/>
            <w:tcBorders>
              <w:top w:val="nil"/>
              <w:left w:val="nil"/>
              <w:bottom w:val="single" w:sz="4" w:space="0" w:color="auto"/>
              <w:right w:val="single" w:sz="4" w:space="0" w:color="auto"/>
            </w:tcBorders>
            <w:shd w:val="clear" w:color="auto" w:fill="auto"/>
            <w:vAlign w:val="center"/>
            <w:hideMark/>
          </w:tcPr>
          <w:p w14:paraId="7F9BB3D1"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150 000   </w:t>
            </w:r>
          </w:p>
        </w:tc>
        <w:tc>
          <w:tcPr>
            <w:tcW w:w="1418" w:type="dxa"/>
            <w:tcBorders>
              <w:top w:val="nil"/>
              <w:left w:val="nil"/>
              <w:bottom w:val="single" w:sz="4" w:space="0" w:color="auto"/>
              <w:right w:val="single" w:sz="4" w:space="0" w:color="auto"/>
            </w:tcBorders>
            <w:shd w:val="clear" w:color="auto" w:fill="auto"/>
            <w:vAlign w:val="center"/>
            <w:hideMark/>
          </w:tcPr>
          <w:p w14:paraId="134E45E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109" w:type="dxa"/>
            <w:tcBorders>
              <w:top w:val="nil"/>
              <w:left w:val="nil"/>
              <w:bottom w:val="single" w:sz="4" w:space="0" w:color="auto"/>
              <w:right w:val="single" w:sz="4" w:space="0" w:color="auto"/>
            </w:tcBorders>
            <w:shd w:val="clear" w:color="auto" w:fill="auto"/>
            <w:vAlign w:val="center"/>
            <w:hideMark/>
          </w:tcPr>
          <w:p w14:paraId="3CDB5A0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461A56A0" w14:textId="1FF2C825"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150 000   </w:t>
            </w:r>
          </w:p>
        </w:tc>
        <w:tc>
          <w:tcPr>
            <w:tcW w:w="1360" w:type="dxa"/>
            <w:tcBorders>
              <w:top w:val="nil"/>
              <w:left w:val="nil"/>
              <w:bottom w:val="single" w:sz="4" w:space="0" w:color="auto"/>
              <w:right w:val="single" w:sz="4" w:space="0" w:color="auto"/>
            </w:tcBorders>
            <w:shd w:val="clear" w:color="auto" w:fill="auto"/>
            <w:vAlign w:val="center"/>
            <w:hideMark/>
          </w:tcPr>
          <w:p w14:paraId="7B7A10E9"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4 000 000   </w:t>
            </w:r>
          </w:p>
        </w:tc>
        <w:tc>
          <w:tcPr>
            <w:tcW w:w="1044" w:type="dxa"/>
            <w:tcBorders>
              <w:top w:val="nil"/>
              <w:left w:val="nil"/>
              <w:bottom w:val="single" w:sz="4" w:space="0" w:color="auto"/>
              <w:right w:val="single" w:sz="4" w:space="0" w:color="auto"/>
            </w:tcBorders>
            <w:shd w:val="clear" w:color="auto" w:fill="auto"/>
            <w:vAlign w:val="center"/>
            <w:hideMark/>
          </w:tcPr>
          <w:p w14:paraId="14E7C437"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986" w:type="dxa"/>
            <w:tcBorders>
              <w:top w:val="nil"/>
              <w:left w:val="nil"/>
              <w:bottom w:val="single" w:sz="4" w:space="0" w:color="auto"/>
              <w:right w:val="single" w:sz="4" w:space="0" w:color="auto"/>
            </w:tcBorders>
            <w:shd w:val="clear" w:color="auto" w:fill="auto"/>
            <w:vAlign w:val="center"/>
            <w:hideMark/>
          </w:tcPr>
          <w:p w14:paraId="1A5F3857" w14:textId="3EE583A9"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150 000   </w:t>
            </w:r>
          </w:p>
        </w:tc>
        <w:tc>
          <w:tcPr>
            <w:tcW w:w="1112" w:type="dxa"/>
            <w:tcBorders>
              <w:top w:val="nil"/>
              <w:left w:val="nil"/>
              <w:bottom w:val="single" w:sz="4" w:space="0" w:color="auto"/>
              <w:right w:val="single" w:sz="4" w:space="0" w:color="auto"/>
            </w:tcBorders>
            <w:shd w:val="clear" w:color="auto" w:fill="auto"/>
            <w:vAlign w:val="center"/>
            <w:hideMark/>
          </w:tcPr>
          <w:p w14:paraId="52012A96" w14:textId="20B05744"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700 000   </w:t>
            </w:r>
          </w:p>
        </w:tc>
        <w:tc>
          <w:tcPr>
            <w:tcW w:w="1162" w:type="dxa"/>
            <w:tcBorders>
              <w:top w:val="nil"/>
              <w:left w:val="nil"/>
              <w:bottom w:val="single" w:sz="4" w:space="0" w:color="auto"/>
              <w:right w:val="single" w:sz="4" w:space="0" w:color="auto"/>
            </w:tcBorders>
            <w:shd w:val="clear" w:color="auto" w:fill="auto"/>
            <w:vAlign w:val="center"/>
            <w:hideMark/>
          </w:tcPr>
          <w:p w14:paraId="11CB9330" w14:textId="34E4738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4 850 000   </w:t>
            </w:r>
          </w:p>
        </w:tc>
      </w:tr>
      <w:tr w:rsidR="007248A4" w:rsidRPr="007248A4" w14:paraId="3A31E612" w14:textId="77777777" w:rsidTr="002607E5">
        <w:trPr>
          <w:trHeight w:val="75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5787F734" w14:textId="77777777" w:rsidR="001731C1" w:rsidRPr="007248A4" w:rsidRDefault="001731C1" w:rsidP="001731C1">
            <w:pPr>
              <w:rPr>
                <w:rFonts w:ascii="Arial" w:hAnsi="Arial" w:cs="Arial"/>
                <w:sz w:val="18"/>
                <w:szCs w:val="18"/>
              </w:rPr>
            </w:pPr>
            <w:r w:rsidRPr="007248A4">
              <w:rPr>
                <w:rFonts w:ascii="Arial" w:hAnsi="Arial" w:cs="Arial"/>
                <w:sz w:val="18"/>
                <w:szCs w:val="18"/>
              </w:rPr>
              <w:t>Sous total axe 7</w:t>
            </w:r>
          </w:p>
        </w:tc>
        <w:tc>
          <w:tcPr>
            <w:tcW w:w="1619" w:type="dxa"/>
            <w:tcBorders>
              <w:top w:val="nil"/>
              <w:left w:val="nil"/>
              <w:bottom w:val="single" w:sz="4" w:space="0" w:color="auto"/>
              <w:right w:val="single" w:sz="4" w:space="0" w:color="auto"/>
            </w:tcBorders>
            <w:shd w:val="clear" w:color="auto" w:fill="auto"/>
            <w:vAlign w:val="center"/>
            <w:hideMark/>
          </w:tcPr>
          <w:p w14:paraId="16236ABF"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067" w:type="dxa"/>
            <w:tcBorders>
              <w:top w:val="nil"/>
              <w:left w:val="nil"/>
              <w:bottom w:val="single" w:sz="4" w:space="0" w:color="auto"/>
              <w:right w:val="single" w:sz="4" w:space="0" w:color="auto"/>
            </w:tcBorders>
            <w:shd w:val="clear" w:color="auto" w:fill="auto"/>
            <w:vAlign w:val="center"/>
            <w:hideMark/>
          </w:tcPr>
          <w:p w14:paraId="67C2E798" w14:textId="6CB9F7A6"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12 500 000   </w:t>
            </w:r>
          </w:p>
        </w:tc>
        <w:tc>
          <w:tcPr>
            <w:tcW w:w="1359" w:type="dxa"/>
            <w:tcBorders>
              <w:top w:val="nil"/>
              <w:left w:val="nil"/>
              <w:bottom w:val="single" w:sz="4" w:space="0" w:color="auto"/>
              <w:right w:val="single" w:sz="4" w:space="0" w:color="auto"/>
            </w:tcBorders>
            <w:shd w:val="clear" w:color="auto" w:fill="auto"/>
            <w:vAlign w:val="center"/>
            <w:hideMark/>
          </w:tcPr>
          <w:p w14:paraId="3B3B93A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837 000   </w:t>
            </w:r>
          </w:p>
        </w:tc>
        <w:tc>
          <w:tcPr>
            <w:tcW w:w="1418" w:type="dxa"/>
            <w:tcBorders>
              <w:top w:val="nil"/>
              <w:left w:val="nil"/>
              <w:bottom w:val="single" w:sz="4" w:space="0" w:color="auto"/>
              <w:right w:val="single" w:sz="4" w:space="0" w:color="auto"/>
            </w:tcBorders>
            <w:shd w:val="clear" w:color="auto" w:fill="auto"/>
            <w:vAlign w:val="center"/>
            <w:hideMark/>
          </w:tcPr>
          <w:p w14:paraId="779B400E" w14:textId="3632135C"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1 000 000   </w:t>
            </w:r>
          </w:p>
        </w:tc>
        <w:tc>
          <w:tcPr>
            <w:tcW w:w="1109" w:type="dxa"/>
            <w:tcBorders>
              <w:top w:val="nil"/>
              <w:left w:val="nil"/>
              <w:bottom w:val="single" w:sz="4" w:space="0" w:color="auto"/>
              <w:right w:val="single" w:sz="4" w:space="0" w:color="auto"/>
            </w:tcBorders>
            <w:shd w:val="clear" w:color="auto" w:fill="auto"/>
            <w:vAlign w:val="center"/>
            <w:hideMark/>
          </w:tcPr>
          <w:p w14:paraId="19F55E9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753B5485" w14:textId="7E182425"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1 837 000   </w:t>
            </w:r>
          </w:p>
        </w:tc>
        <w:tc>
          <w:tcPr>
            <w:tcW w:w="1360" w:type="dxa"/>
            <w:tcBorders>
              <w:top w:val="nil"/>
              <w:left w:val="nil"/>
              <w:bottom w:val="single" w:sz="4" w:space="0" w:color="auto"/>
              <w:right w:val="single" w:sz="4" w:space="0" w:color="auto"/>
            </w:tcBorders>
            <w:shd w:val="clear" w:color="auto" w:fill="auto"/>
            <w:vAlign w:val="center"/>
            <w:hideMark/>
          </w:tcPr>
          <w:p w14:paraId="002667F5"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5 213 000   </w:t>
            </w:r>
          </w:p>
        </w:tc>
        <w:tc>
          <w:tcPr>
            <w:tcW w:w="1044" w:type="dxa"/>
            <w:tcBorders>
              <w:top w:val="nil"/>
              <w:left w:val="nil"/>
              <w:bottom w:val="single" w:sz="4" w:space="0" w:color="auto"/>
              <w:right w:val="single" w:sz="4" w:space="0" w:color="auto"/>
            </w:tcBorders>
            <w:shd w:val="clear" w:color="auto" w:fill="auto"/>
            <w:vAlign w:val="center"/>
            <w:hideMark/>
          </w:tcPr>
          <w:p w14:paraId="5C6EDC5F" w14:textId="2FA7D3C0"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466 000   </w:t>
            </w:r>
          </w:p>
        </w:tc>
        <w:tc>
          <w:tcPr>
            <w:tcW w:w="986" w:type="dxa"/>
            <w:tcBorders>
              <w:top w:val="nil"/>
              <w:left w:val="nil"/>
              <w:bottom w:val="single" w:sz="4" w:space="0" w:color="auto"/>
              <w:right w:val="single" w:sz="4" w:space="0" w:color="auto"/>
            </w:tcBorders>
            <w:shd w:val="clear" w:color="auto" w:fill="auto"/>
            <w:vAlign w:val="center"/>
            <w:hideMark/>
          </w:tcPr>
          <w:p w14:paraId="24091576" w14:textId="5CA6D2F6"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2 185 000   </w:t>
            </w:r>
          </w:p>
        </w:tc>
        <w:tc>
          <w:tcPr>
            <w:tcW w:w="1112" w:type="dxa"/>
            <w:tcBorders>
              <w:top w:val="nil"/>
              <w:left w:val="nil"/>
              <w:bottom w:val="single" w:sz="4" w:space="0" w:color="auto"/>
              <w:right w:val="single" w:sz="4" w:space="0" w:color="auto"/>
            </w:tcBorders>
            <w:shd w:val="clear" w:color="auto" w:fill="auto"/>
            <w:vAlign w:val="center"/>
            <w:hideMark/>
          </w:tcPr>
          <w:p w14:paraId="0B8915C7" w14:textId="3A39241F"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2 799 000   </w:t>
            </w:r>
          </w:p>
        </w:tc>
        <w:tc>
          <w:tcPr>
            <w:tcW w:w="1162" w:type="dxa"/>
            <w:tcBorders>
              <w:top w:val="nil"/>
              <w:left w:val="nil"/>
              <w:bottom w:val="single" w:sz="4" w:space="0" w:color="auto"/>
              <w:right w:val="single" w:sz="4" w:space="0" w:color="auto"/>
            </w:tcBorders>
            <w:shd w:val="clear" w:color="auto" w:fill="auto"/>
            <w:vAlign w:val="center"/>
            <w:hideMark/>
          </w:tcPr>
          <w:p w14:paraId="251538D4" w14:textId="5BD4062E"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10 663 000   </w:t>
            </w:r>
          </w:p>
        </w:tc>
      </w:tr>
      <w:tr w:rsidR="007248A4" w:rsidRPr="007248A4" w14:paraId="74FDD135" w14:textId="77777777" w:rsidTr="002607E5">
        <w:trPr>
          <w:trHeight w:val="825"/>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27541E34"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Dispositif de suivi évaluation</w:t>
            </w:r>
          </w:p>
        </w:tc>
        <w:tc>
          <w:tcPr>
            <w:tcW w:w="1619" w:type="dxa"/>
            <w:tcBorders>
              <w:top w:val="nil"/>
              <w:left w:val="nil"/>
              <w:bottom w:val="single" w:sz="4" w:space="0" w:color="auto"/>
              <w:right w:val="single" w:sz="4" w:space="0" w:color="auto"/>
            </w:tcBorders>
            <w:shd w:val="clear" w:color="auto" w:fill="auto"/>
            <w:vAlign w:val="center"/>
            <w:hideMark/>
          </w:tcPr>
          <w:p w14:paraId="61176650" w14:textId="77777777" w:rsidR="001731C1" w:rsidRPr="007248A4" w:rsidRDefault="001731C1" w:rsidP="001731C1">
            <w:pPr>
              <w:rPr>
                <w:rFonts w:ascii="Arial" w:hAnsi="Arial" w:cs="Arial"/>
                <w:sz w:val="18"/>
                <w:szCs w:val="18"/>
              </w:rPr>
            </w:pPr>
            <w:r w:rsidRPr="007248A4">
              <w:rPr>
                <w:rFonts w:ascii="Arial" w:hAnsi="Arial" w:cs="Arial"/>
                <w:sz w:val="18"/>
                <w:szCs w:val="18"/>
              </w:rPr>
              <w:t> </w:t>
            </w:r>
          </w:p>
        </w:tc>
        <w:tc>
          <w:tcPr>
            <w:tcW w:w="1067" w:type="dxa"/>
            <w:tcBorders>
              <w:top w:val="nil"/>
              <w:left w:val="nil"/>
              <w:bottom w:val="single" w:sz="4" w:space="0" w:color="auto"/>
              <w:right w:val="single" w:sz="4" w:space="0" w:color="auto"/>
            </w:tcBorders>
            <w:shd w:val="clear" w:color="auto" w:fill="auto"/>
            <w:vAlign w:val="center"/>
            <w:hideMark/>
          </w:tcPr>
          <w:p w14:paraId="59BCF875" w14:textId="48A5DCE5"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500 000   </w:t>
            </w:r>
          </w:p>
        </w:tc>
        <w:tc>
          <w:tcPr>
            <w:tcW w:w="1359" w:type="dxa"/>
            <w:tcBorders>
              <w:top w:val="nil"/>
              <w:left w:val="nil"/>
              <w:bottom w:val="single" w:sz="4" w:space="0" w:color="auto"/>
              <w:right w:val="single" w:sz="4" w:space="0" w:color="auto"/>
            </w:tcBorders>
            <w:shd w:val="clear" w:color="auto" w:fill="auto"/>
            <w:vAlign w:val="center"/>
            <w:hideMark/>
          </w:tcPr>
          <w:p w14:paraId="419481D6"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14:paraId="7945C6B4" w14:textId="555907FB"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300 000   </w:t>
            </w:r>
          </w:p>
        </w:tc>
        <w:tc>
          <w:tcPr>
            <w:tcW w:w="1109" w:type="dxa"/>
            <w:tcBorders>
              <w:top w:val="nil"/>
              <w:left w:val="nil"/>
              <w:bottom w:val="single" w:sz="4" w:space="0" w:color="auto"/>
              <w:right w:val="single" w:sz="4" w:space="0" w:color="auto"/>
            </w:tcBorders>
            <w:shd w:val="clear" w:color="auto" w:fill="auto"/>
            <w:vAlign w:val="center"/>
            <w:hideMark/>
          </w:tcPr>
          <w:p w14:paraId="04E4F10A"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365" w:type="dxa"/>
            <w:tcBorders>
              <w:top w:val="nil"/>
              <w:left w:val="nil"/>
              <w:bottom w:val="single" w:sz="4" w:space="0" w:color="auto"/>
              <w:right w:val="single" w:sz="4" w:space="0" w:color="auto"/>
            </w:tcBorders>
            <w:shd w:val="clear" w:color="auto" w:fill="auto"/>
            <w:vAlign w:val="center"/>
            <w:hideMark/>
          </w:tcPr>
          <w:p w14:paraId="5DFFB3AB" w14:textId="6F5B2EE6"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300 000   </w:t>
            </w:r>
          </w:p>
        </w:tc>
        <w:tc>
          <w:tcPr>
            <w:tcW w:w="1360" w:type="dxa"/>
            <w:tcBorders>
              <w:top w:val="nil"/>
              <w:left w:val="nil"/>
              <w:bottom w:val="single" w:sz="4" w:space="0" w:color="auto"/>
              <w:right w:val="single" w:sz="4" w:space="0" w:color="auto"/>
            </w:tcBorders>
            <w:shd w:val="clear" w:color="auto" w:fill="auto"/>
            <w:vAlign w:val="center"/>
            <w:hideMark/>
          </w:tcPr>
          <w:p w14:paraId="359C9950"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100 000   </w:t>
            </w:r>
          </w:p>
        </w:tc>
        <w:tc>
          <w:tcPr>
            <w:tcW w:w="1044" w:type="dxa"/>
            <w:tcBorders>
              <w:top w:val="nil"/>
              <w:left w:val="nil"/>
              <w:bottom w:val="single" w:sz="4" w:space="0" w:color="auto"/>
              <w:right w:val="single" w:sz="4" w:space="0" w:color="auto"/>
            </w:tcBorders>
            <w:shd w:val="clear" w:color="auto" w:fill="auto"/>
            <w:vAlign w:val="center"/>
            <w:hideMark/>
          </w:tcPr>
          <w:p w14:paraId="53B26502" w14:textId="69C8D10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100 000   </w:t>
            </w:r>
          </w:p>
        </w:tc>
        <w:tc>
          <w:tcPr>
            <w:tcW w:w="986" w:type="dxa"/>
            <w:tcBorders>
              <w:top w:val="nil"/>
              <w:left w:val="nil"/>
              <w:bottom w:val="single" w:sz="4" w:space="0" w:color="auto"/>
              <w:right w:val="single" w:sz="4" w:space="0" w:color="auto"/>
            </w:tcBorders>
            <w:shd w:val="clear" w:color="auto" w:fill="auto"/>
            <w:vAlign w:val="center"/>
            <w:hideMark/>
          </w:tcPr>
          <w:p w14:paraId="7DD9DA7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12" w:type="dxa"/>
            <w:tcBorders>
              <w:top w:val="nil"/>
              <w:left w:val="nil"/>
              <w:bottom w:val="single" w:sz="4" w:space="0" w:color="auto"/>
              <w:right w:val="single" w:sz="4" w:space="0" w:color="auto"/>
            </w:tcBorders>
            <w:shd w:val="clear" w:color="auto" w:fill="auto"/>
            <w:vAlign w:val="center"/>
            <w:hideMark/>
          </w:tcPr>
          <w:p w14:paraId="299FC24E"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     </w:t>
            </w:r>
          </w:p>
        </w:tc>
        <w:tc>
          <w:tcPr>
            <w:tcW w:w="1162" w:type="dxa"/>
            <w:tcBorders>
              <w:top w:val="nil"/>
              <w:left w:val="nil"/>
              <w:bottom w:val="single" w:sz="4" w:space="0" w:color="auto"/>
              <w:right w:val="single" w:sz="4" w:space="0" w:color="auto"/>
            </w:tcBorders>
            <w:shd w:val="clear" w:color="auto" w:fill="auto"/>
            <w:vAlign w:val="center"/>
            <w:hideMark/>
          </w:tcPr>
          <w:p w14:paraId="70EDFC88" w14:textId="23D6BBC2" w:rsidR="001731C1" w:rsidRPr="007248A4" w:rsidRDefault="001731C1" w:rsidP="001731C1">
            <w:pPr>
              <w:rPr>
                <w:rFonts w:ascii="Arial" w:hAnsi="Arial" w:cs="Arial"/>
                <w:b/>
                <w:bCs/>
                <w:sz w:val="18"/>
                <w:szCs w:val="18"/>
              </w:rPr>
            </w:pPr>
            <w:r w:rsidRPr="007248A4">
              <w:rPr>
                <w:rFonts w:ascii="Arial" w:hAnsi="Arial" w:cs="Arial"/>
                <w:b/>
                <w:bCs/>
                <w:sz w:val="18"/>
                <w:szCs w:val="18"/>
              </w:rPr>
              <w:t xml:space="preserve">      200 000   </w:t>
            </w:r>
          </w:p>
        </w:tc>
      </w:tr>
      <w:tr w:rsidR="007248A4" w:rsidRPr="007248A4" w14:paraId="78D0F883" w14:textId="77777777" w:rsidTr="002607E5">
        <w:trPr>
          <w:trHeight w:val="750"/>
        </w:trPr>
        <w:tc>
          <w:tcPr>
            <w:tcW w:w="1708" w:type="dxa"/>
            <w:tcBorders>
              <w:top w:val="nil"/>
              <w:left w:val="single" w:sz="4" w:space="0" w:color="auto"/>
              <w:bottom w:val="single" w:sz="4" w:space="0" w:color="auto"/>
              <w:right w:val="single" w:sz="4" w:space="0" w:color="auto"/>
            </w:tcBorders>
            <w:shd w:val="clear" w:color="auto" w:fill="auto"/>
            <w:vAlign w:val="center"/>
            <w:hideMark/>
          </w:tcPr>
          <w:p w14:paraId="484FDC5C" w14:textId="77777777" w:rsidR="001731C1" w:rsidRPr="007248A4" w:rsidRDefault="001731C1" w:rsidP="001731C1">
            <w:pPr>
              <w:rPr>
                <w:rFonts w:ascii="Arial" w:hAnsi="Arial" w:cs="Arial"/>
                <w:b/>
                <w:bCs/>
                <w:sz w:val="18"/>
                <w:szCs w:val="18"/>
              </w:rPr>
            </w:pPr>
            <w:r w:rsidRPr="007248A4">
              <w:rPr>
                <w:rFonts w:ascii="Arial" w:hAnsi="Arial" w:cs="Arial"/>
                <w:b/>
                <w:bCs/>
                <w:sz w:val="18"/>
                <w:szCs w:val="18"/>
              </w:rPr>
              <w:t> </w:t>
            </w:r>
          </w:p>
        </w:tc>
        <w:tc>
          <w:tcPr>
            <w:tcW w:w="1619" w:type="dxa"/>
            <w:tcBorders>
              <w:top w:val="nil"/>
              <w:left w:val="nil"/>
              <w:bottom w:val="single" w:sz="4" w:space="0" w:color="auto"/>
              <w:right w:val="single" w:sz="4" w:space="0" w:color="auto"/>
            </w:tcBorders>
            <w:shd w:val="clear" w:color="auto" w:fill="auto"/>
            <w:vAlign w:val="center"/>
            <w:hideMark/>
          </w:tcPr>
          <w:p w14:paraId="3AC583DF" w14:textId="77777777" w:rsidR="001731C1" w:rsidRPr="007248A4" w:rsidRDefault="001731C1" w:rsidP="001731C1">
            <w:pPr>
              <w:rPr>
                <w:rFonts w:ascii="Arial" w:hAnsi="Arial" w:cs="Arial"/>
                <w:sz w:val="18"/>
                <w:szCs w:val="18"/>
              </w:rPr>
            </w:pPr>
            <w:r w:rsidRPr="007248A4">
              <w:rPr>
                <w:rFonts w:ascii="Arial" w:hAnsi="Arial" w:cs="Arial"/>
                <w:sz w:val="18"/>
                <w:szCs w:val="18"/>
              </w:rPr>
              <w:t>TOTAL GENERAL</w:t>
            </w:r>
          </w:p>
        </w:tc>
        <w:tc>
          <w:tcPr>
            <w:tcW w:w="1067" w:type="dxa"/>
            <w:tcBorders>
              <w:top w:val="nil"/>
              <w:left w:val="nil"/>
              <w:bottom w:val="single" w:sz="4" w:space="0" w:color="auto"/>
              <w:right w:val="single" w:sz="4" w:space="0" w:color="auto"/>
            </w:tcBorders>
            <w:shd w:val="clear" w:color="auto" w:fill="auto"/>
            <w:vAlign w:val="center"/>
            <w:hideMark/>
          </w:tcPr>
          <w:p w14:paraId="4660E2AB" w14:textId="2D7A551E" w:rsidR="001731C1" w:rsidRPr="002607E5" w:rsidRDefault="001731C1" w:rsidP="001731C1">
            <w:pPr>
              <w:rPr>
                <w:rFonts w:ascii="Arial" w:hAnsi="Arial" w:cs="Arial"/>
                <w:b/>
                <w:bCs/>
                <w:sz w:val="16"/>
                <w:szCs w:val="16"/>
              </w:rPr>
            </w:pPr>
            <w:r w:rsidRPr="002607E5">
              <w:rPr>
                <w:rFonts w:ascii="Arial" w:hAnsi="Arial" w:cs="Arial"/>
                <w:b/>
                <w:bCs/>
                <w:sz w:val="16"/>
                <w:szCs w:val="16"/>
              </w:rPr>
              <w:t xml:space="preserve">148 000 000   </w:t>
            </w:r>
          </w:p>
        </w:tc>
        <w:tc>
          <w:tcPr>
            <w:tcW w:w="1359" w:type="dxa"/>
            <w:tcBorders>
              <w:top w:val="nil"/>
              <w:left w:val="nil"/>
              <w:bottom w:val="single" w:sz="4" w:space="0" w:color="auto"/>
              <w:right w:val="single" w:sz="4" w:space="0" w:color="auto"/>
            </w:tcBorders>
            <w:shd w:val="clear" w:color="auto" w:fill="auto"/>
            <w:vAlign w:val="center"/>
            <w:hideMark/>
          </w:tcPr>
          <w:p w14:paraId="0DE4A01A" w14:textId="77777777" w:rsidR="001731C1" w:rsidRPr="002607E5" w:rsidRDefault="001731C1" w:rsidP="001731C1">
            <w:pPr>
              <w:rPr>
                <w:rFonts w:ascii="Arial" w:hAnsi="Arial" w:cs="Arial"/>
                <w:b/>
                <w:bCs/>
                <w:sz w:val="16"/>
                <w:szCs w:val="16"/>
              </w:rPr>
            </w:pPr>
            <w:r w:rsidRPr="002607E5">
              <w:rPr>
                <w:rFonts w:ascii="Arial" w:hAnsi="Arial" w:cs="Arial"/>
                <w:b/>
                <w:bCs/>
                <w:sz w:val="16"/>
                <w:szCs w:val="16"/>
              </w:rPr>
              <w:t xml:space="preserve">   15 036 567   </w:t>
            </w:r>
          </w:p>
        </w:tc>
        <w:tc>
          <w:tcPr>
            <w:tcW w:w="1418" w:type="dxa"/>
            <w:tcBorders>
              <w:top w:val="nil"/>
              <w:left w:val="nil"/>
              <w:bottom w:val="single" w:sz="4" w:space="0" w:color="auto"/>
              <w:right w:val="single" w:sz="4" w:space="0" w:color="auto"/>
            </w:tcBorders>
            <w:shd w:val="clear" w:color="auto" w:fill="auto"/>
            <w:vAlign w:val="center"/>
            <w:hideMark/>
          </w:tcPr>
          <w:p w14:paraId="16DEC117" w14:textId="25F4EC5E" w:rsidR="001731C1" w:rsidRPr="002607E5" w:rsidRDefault="001731C1" w:rsidP="001731C1">
            <w:pPr>
              <w:rPr>
                <w:rFonts w:ascii="Arial" w:hAnsi="Arial" w:cs="Arial"/>
                <w:b/>
                <w:bCs/>
                <w:sz w:val="16"/>
                <w:szCs w:val="16"/>
              </w:rPr>
            </w:pPr>
            <w:r w:rsidRPr="002607E5">
              <w:rPr>
                <w:rFonts w:ascii="Arial" w:hAnsi="Arial" w:cs="Arial"/>
                <w:b/>
                <w:bCs/>
                <w:sz w:val="16"/>
                <w:szCs w:val="16"/>
              </w:rPr>
              <w:t xml:space="preserve">24 417 000   </w:t>
            </w:r>
          </w:p>
        </w:tc>
        <w:tc>
          <w:tcPr>
            <w:tcW w:w="1109" w:type="dxa"/>
            <w:tcBorders>
              <w:top w:val="nil"/>
              <w:left w:val="nil"/>
              <w:bottom w:val="single" w:sz="4" w:space="0" w:color="auto"/>
              <w:right w:val="single" w:sz="4" w:space="0" w:color="auto"/>
            </w:tcBorders>
            <w:shd w:val="clear" w:color="auto" w:fill="auto"/>
            <w:vAlign w:val="center"/>
            <w:hideMark/>
          </w:tcPr>
          <w:p w14:paraId="7AA2594E" w14:textId="77777777" w:rsidR="001731C1" w:rsidRPr="002607E5" w:rsidRDefault="001731C1" w:rsidP="001731C1">
            <w:pPr>
              <w:rPr>
                <w:rFonts w:ascii="Arial" w:hAnsi="Arial" w:cs="Arial"/>
                <w:b/>
                <w:bCs/>
                <w:sz w:val="16"/>
                <w:szCs w:val="16"/>
              </w:rPr>
            </w:pPr>
            <w:r w:rsidRPr="002607E5">
              <w:rPr>
                <w:rFonts w:ascii="Arial" w:hAnsi="Arial" w:cs="Arial"/>
                <w:b/>
                <w:bCs/>
                <w:sz w:val="16"/>
                <w:szCs w:val="16"/>
              </w:rPr>
              <w:t xml:space="preserve">   1 311 000   </w:t>
            </w:r>
          </w:p>
        </w:tc>
        <w:tc>
          <w:tcPr>
            <w:tcW w:w="1365" w:type="dxa"/>
            <w:tcBorders>
              <w:top w:val="nil"/>
              <w:left w:val="nil"/>
              <w:bottom w:val="single" w:sz="4" w:space="0" w:color="auto"/>
              <w:right w:val="single" w:sz="4" w:space="0" w:color="auto"/>
            </w:tcBorders>
            <w:shd w:val="clear" w:color="auto" w:fill="auto"/>
            <w:vAlign w:val="center"/>
            <w:hideMark/>
          </w:tcPr>
          <w:p w14:paraId="41491041" w14:textId="496A8BA5" w:rsidR="001731C1" w:rsidRPr="002607E5" w:rsidRDefault="001731C1" w:rsidP="001731C1">
            <w:pPr>
              <w:rPr>
                <w:rFonts w:ascii="Arial" w:hAnsi="Arial" w:cs="Arial"/>
                <w:b/>
                <w:bCs/>
                <w:sz w:val="16"/>
                <w:szCs w:val="16"/>
              </w:rPr>
            </w:pPr>
            <w:r w:rsidRPr="002607E5">
              <w:rPr>
                <w:rFonts w:ascii="Arial" w:hAnsi="Arial" w:cs="Arial"/>
                <w:b/>
                <w:bCs/>
                <w:sz w:val="16"/>
                <w:szCs w:val="16"/>
              </w:rPr>
              <w:t xml:space="preserve"> 40 764 567   </w:t>
            </w:r>
          </w:p>
        </w:tc>
        <w:tc>
          <w:tcPr>
            <w:tcW w:w="1360" w:type="dxa"/>
            <w:tcBorders>
              <w:top w:val="nil"/>
              <w:left w:val="nil"/>
              <w:bottom w:val="single" w:sz="4" w:space="0" w:color="auto"/>
              <w:right w:val="single" w:sz="4" w:space="0" w:color="auto"/>
            </w:tcBorders>
            <w:shd w:val="clear" w:color="auto" w:fill="auto"/>
            <w:vAlign w:val="center"/>
            <w:hideMark/>
          </w:tcPr>
          <w:p w14:paraId="2B015E76" w14:textId="77777777" w:rsidR="001731C1" w:rsidRPr="002607E5" w:rsidRDefault="001731C1" w:rsidP="001731C1">
            <w:pPr>
              <w:rPr>
                <w:rFonts w:ascii="Arial" w:hAnsi="Arial" w:cs="Arial"/>
                <w:b/>
                <w:bCs/>
                <w:sz w:val="16"/>
                <w:szCs w:val="16"/>
              </w:rPr>
            </w:pPr>
            <w:r w:rsidRPr="002607E5">
              <w:rPr>
                <w:rFonts w:ascii="Arial" w:hAnsi="Arial" w:cs="Arial"/>
                <w:b/>
                <w:bCs/>
                <w:sz w:val="16"/>
                <w:szCs w:val="16"/>
              </w:rPr>
              <w:t xml:space="preserve">   81 163 433   </w:t>
            </w:r>
          </w:p>
        </w:tc>
        <w:tc>
          <w:tcPr>
            <w:tcW w:w="1044" w:type="dxa"/>
            <w:tcBorders>
              <w:top w:val="nil"/>
              <w:left w:val="nil"/>
              <w:bottom w:val="single" w:sz="4" w:space="0" w:color="auto"/>
              <w:right w:val="single" w:sz="4" w:space="0" w:color="auto"/>
            </w:tcBorders>
            <w:shd w:val="clear" w:color="auto" w:fill="auto"/>
            <w:vAlign w:val="center"/>
            <w:hideMark/>
          </w:tcPr>
          <w:p w14:paraId="6E91AE54" w14:textId="358E9453" w:rsidR="001731C1" w:rsidRPr="002607E5" w:rsidRDefault="001731C1" w:rsidP="001731C1">
            <w:pPr>
              <w:rPr>
                <w:rFonts w:ascii="Arial" w:hAnsi="Arial" w:cs="Arial"/>
                <w:b/>
                <w:bCs/>
                <w:sz w:val="16"/>
                <w:szCs w:val="16"/>
              </w:rPr>
            </w:pPr>
            <w:r w:rsidRPr="002607E5">
              <w:rPr>
                <w:rFonts w:ascii="Arial" w:hAnsi="Arial" w:cs="Arial"/>
                <w:b/>
                <w:bCs/>
                <w:sz w:val="16"/>
                <w:szCs w:val="16"/>
              </w:rPr>
              <w:t xml:space="preserve">12 583 000   </w:t>
            </w:r>
          </w:p>
        </w:tc>
        <w:tc>
          <w:tcPr>
            <w:tcW w:w="986" w:type="dxa"/>
            <w:tcBorders>
              <w:top w:val="nil"/>
              <w:left w:val="nil"/>
              <w:bottom w:val="single" w:sz="4" w:space="0" w:color="auto"/>
              <w:right w:val="single" w:sz="4" w:space="0" w:color="auto"/>
            </w:tcBorders>
            <w:shd w:val="clear" w:color="auto" w:fill="auto"/>
            <w:vAlign w:val="center"/>
            <w:hideMark/>
          </w:tcPr>
          <w:p w14:paraId="65D9C812" w14:textId="69FB4F6D" w:rsidR="001731C1" w:rsidRPr="002607E5" w:rsidRDefault="001731C1" w:rsidP="001731C1">
            <w:pPr>
              <w:rPr>
                <w:rFonts w:ascii="Arial" w:hAnsi="Arial" w:cs="Arial"/>
                <w:b/>
                <w:bCs/>
                <w:sz w:val="16"/>
                <w:szCs w:val="16"/>
              </w:rPr>
            </w:pPr>
            <w:r w:rsidRPr="002607E5">
              <w:rPr>
                <w:rFonts w:ascii="Arial" w:hAnsi="Arial" w:cs="Arial"/>
                <w:b/>
                <w:bCs/>
                <w:sz w:val="16"/>
                <w:szCs w:val="16"/>
              </w:rPr>
              <w:t xml:space="preserve"> 9 049 000   </w:t>
            </w:r>
          </w:p>
        </w:tc>
        <w:tc>
          <w:tcPr>
            <w:tcW w:w="1112" w:type="dxa"/>
            <w:tcBorders>
              <w:top w:val="nil"/>
              <w:left w:val="nil"/>
              <w:bottom w:val="single" w:sz="4" w:space="0" w:color="auto"/>
              <w:right w:val="single" w:sz="4" w:space="0" w:color="auto"/>
            </w:tcBorders>
            <w:shd w:val="clear" w:color="auto" w:fill="auto"/>
            <w:vAlign w:val="center"/>
            <w:hideMark/>
          </w:tcPr>
          <w:p w14:paraId="6EDD489B" w14:textId="5F444AD9" w:rsidR="001731C1" w:rsidRPr="002607E5" w:rsidRDefault="001731C1" w:rsidP="001731C1">
            <w:pPr>
              <w:rPr>
                <w:rFonts w:ascii="Arial" w:hAnsi="Arial" w:cs="Arial"/>
                <w:b/>
                <w:bCs/>
                <w:sz w:val="16"/>
                <w:szCs w:val="16"/>
              </w:rPr>
            </w:pPr>
            <w:r w:rsidRPr="002607E5">
              <w:rPr>
                <w:rFonts w:ascii="Arial" w:hAnsi="Arial" w:cs="Arial"/>
                <w:b/>
                <w:bCs/>
                <w:sz w:val="16"/>
                <w:szCs w:val="16"/>
              </w:rPr>
              <w:t xml:space="preserve"> 4 440 000   </w:t>
            </w:r>
          </w:p>
        </w:tc>
        <w:tc>
          <w:tcPr>
            <w:tcW w:w="1162" w:type="dxa"/>
            <w:tcBorders>
              <w:top w:val="nil"/>
              <w:left w:val="nil"/>
              <w:bottom w:val="single" w:sz="4" w:space="0" w:color="auto"/>
              <w:right w:val="single" w:sz="4" w:space="0" w:color="auto"/>
            </w:tcBorders>
            <w:shd w:val="clear" w:color="auto" w:fill="auto"/>
            <w:vAlign w:val="center"/>
            <w:hideMark/>
          </w:tcPr>
          <w:p w14:paraId="3A375BFE" w14:textId="48A64F71" w:rsidR="001731C1" w:rsidRPr="002607E5" w:rsidRDefault="001731C1" w:rsidP="001731C1">
            <w:pPr>
              <w:rPr>
                <w:rFonts w:ascii="Arial" w:hAnsi="Arial" w:cs="Arial"/>
                <w:b/>
                <w:bCs/>
                <w:sz w:val="16"/>
                <w:szCs w:val="16"/>
              </w:rPr>
            </w:pPr>
            <w:r w:rsidRPr="002607E5">
              <w:rPr>
                <w:rFonts w:ascii="Arial" w:hAnsi="Arial" w:cs="Arial"/>
                <w:b/>
                <w:bCs/>
                <w:sz w:val="16"/>
                <w:szCs w:val="16"/>
              </w:rPr>
              <w:t xml:space="preserve"> 107 235 433   </w:t>
            </w:r>
          </w:p>
        </w:tc>
      </w:tr>
    </w:tbl>
    <w:p w14:paraId="7F0413C7" w14:textId="5A77BAD8" w:rsidR="009C33F9" w:rsidRDefault="009C33F9" w:rsidP="009C33F9">
      <w:pPr>
        <w:autoSpaceDE w:val="0"/>
        <w:autoSpaceDN w:val="0"/>
        <w:adjustRightInd w:val="0"/>
        <w:spacing w:line="360" w:lineRule="auto"/>
        <w:jc w:val="both"/>
      </w:pPr>
    </w:p>
    <w:p w14:paraId="3E47CC8E" w14:textId="637F467D" w:rsidR="009C33F9" w:rsidRDefault="009C33F9" w:rsidP="009C33F9">
      <w:pPr>
        <w:autoSpaceDE w:val="0"/>
        <w:autoSpaceDN w:val="0"/>
        <w:adjustRightInd w:val="0"/>
        <w:spacing w:line="360" w:lineRule="auto"/>
        <w:jc w:val="both"/>
      </w:pPr>
    </w:p>
    <w:p w14:paraId="24C020A0" w14:textId="77777777" w:rsidR="009C33F9" w:rsidRDefault="009C33F9" w:rsidP="009C33F9">
      <w:pPr>
        <w:autoSpaceDE w:val="0"/>
        <w:autoSpaceDN w:val="0"/>
        <w:adjustRightInd w:val="0"/>
        <w:spacing w:line="360" w:lineRule="auto"/>
        <w:jc w:val="both"/>
      </w:pPr>
    </w:p>
    <w:p w14:paraId="52620507" w14:textId="77777777" w:rsidR="009C33F9" w:rsidRDefault="009C33F9" w:rsidP="009C33F9">
      <w:pPr>
        <w:autoSpaceDE w:val="0"/>
        <w:autoSpaceDN w:val="0"/>
        <w:adjustRightInd w:val="0"/>
        <w:spacing w:line="360" w:lineRule="auto"/>
        <w:jc w:val="both"/>
      </w:pPr>
    </w:p>
    <w:p w14:paraId="458E8C4F" w14:textId="77777777" w:rsidR="009C33F9" w:rsidRDefault="009C33F9" w:rsidP="009C33F9">
      <w:pPr>
        <w:autoSpaceDE w:val="0"/>
        <w:autoSpaceDN w:val="0"/>
        <w:adjustRightInd w:val="0"/>
        <w:spacing w:line="360" w:lineRule="auto"/>
        <w:jc w:val="both"/>
      </w:pPr>
    </w:p>
    <w:p w14:paraId="12BAFDBF" w14:textId="77777777" w:rsidR="009C33F9" w:rsidRDefault="009C33F9" w:rsidP="009C33F9">
      <w:pPr>
        <w:autoSpaceDE w:val="0"/>
        <w:autoSpaceDN w:val="0"/>
        <w:adjustRightInd w:val="0"/>
        <w:spacing w:line="360" w:lineRule="auto"/>
        <w:jc w:val="both"/>
        <w:sectPr w:rsidR="009C33F9" w:rsidSect="00144951">
          <w:pgSz w:w="15840" w:h="12240" w:orient="landscape"/>
          <w:pgMar w:top="1440" w:right="1440" w:bottom="1440" w:left="1440" w:header="720" w:footer="720" w:gutter="0"/>
          <w:pgNumType w:start="1"/>
          <w:cols w:space="720"/>
          <w:docGrid w:linePitch="360"/>
        </w:sectPr>
      </w:pPr>
    </w:p>
    <w:tbl>
      <w:tblPr>
        <w:tblW w:w="14742" w:type="dxa"/>
        <w:tblInd w:w="-1134" w:type="dxa"/>
        <w:tblCellMar>
          <w:left w:w="70" w:type="dxa"/>
          <w:right w:w="70" w:type="dxa"/>
        </w:tblCellMar>
        <w:tblLook w:val="04A0" w:firstRow="1" w:lastRow="0" w:firstColumn="1" w:lastColumn="0" w:noHBand="0" w:noVBand="1"/>
      </w:tblPr>
      <w:tblGrid>
        <w:gridCol w:w="1289"/>
        <w:gridCol w:w="1405"/>
        <w:gridCol w:w="1417"/>
        <w:gridCol w:w="1276"/>
        <w:gridCol w:w="1276"/>
        <w:gridCol w:w="1701"/>
        <w:gridCol w:w="1842"/>
        <w:gridCol w:w="1843"/>
        <w:gridCol w:w="2693"/>
      </w:tblGrid>
      <w:tr w:rsidR="009C33F9" w:rsidRPr="009C33F9" w14:paraId="4AB03D59" w14:textId="77777777" w:rsidTr="009C33F9">
        <w:trPr>
          <w:trHeight w:val="649"/>
        </w:trPr>
        <w:tc>
          <w:tcPr>
            <w:tcW w:w="14742" w:type="dxa"/>
            <w:gridSpan w:val="9"/>
            <w:tcBorders>
              <w:top w:val="nil"/>
              <w:left w:val="nil"/>
              <w:bottom w:val="single" w:sz="4" w:space="0" w:color="auto"/>
              <w:right w:val="nil"/>
            </w:tcBorders>
            <w:shd w:val="clear" w:color="auto" w:fill="auto"/>
            <w:vAlign w:val="center"/>
            <w:hideMark/>
          </w:tcPr>
          <w:p w14:paraId="6C2E639C" w14:textId="77777777" w:rsidR="009C33F9" w:rsidRPr="009C33F9" w:rsidRDefault="009C33F9" w:rsidP="009C33F9">
            <w:pPr>
              <w:jc w:val="center"/>
              <w:rPr>
                <w:rFonts w:asciiTheme="minorHAnsi" w:hAnsiTheme="minorHAnsi"/>
                <w:b/>
                <w:bCs/>
                <w:color w:val="000000"/>
                <w:sz w:val="16"/>
                <w:szCs w:val="16"/>
              </w:rPr>
            </w:pPr>
            <w:bookmarkStart w:id="24" w:name="RANGE!B2:J48"/>
            <w:r w:rsidRPr="009C33F9">
              <w:rPr>
                <w:rFonts w:asciiTheme="minorHAnsi" w:hAnsiTheme="minorHAnsi"/>
                <w:b/>
                <w:bCs/>
                <w:color w:val="000000"/>
                <w:sz w:val="16"/>
                <w:szCs w:val="16"/>
              </w:rPr>
              <w:lastRenderedPageBreak/>
              <w:t xml:space="preserve">REPARTITION PAR AN DU FINANCEMENT DU PLAN D'ACTIONS PAR LE BUDGET D'ETAT  </w:t>
            </w:r>
            <w:bookmarkEnd w:id="24"/>
          </w:p>
        </w:tc>
      </w:tr>
      <w:tr w:rsidR="009C33F9" w:rsidRPr="009C33F9" w14:paraId="0C82180F" w14:textId="77777777" w:rsidTr="009C33F9">
        <w:trPr>
          <w:trHeight w:val="315"/>
        </w:trPr>
        <w:tc>
          <w:tcPr>
            <w:tcW w:w="1289" w:type="dxa"/>
            <w:tcBorders>
              <w:top w:val="nil"/>
              <w:left w:val="nil"/>
              <w:bottom w:val="nil"/>
              <w:right w:val="nil"/>
            </w:tcBorders>
            <w:shd w:val="clear" w:color="auto" w:fill="auto"/>
            <w:noWrap/>
            <w:vAlign w:val="bottom"/>
            <w:hideMark/>
          </w:tcPr>
          <w:p w14:paraId="662E6BE7" w14:textId="77777777" w:rsidR="009C33F9" w:rsidRPr="009C33F9" w:rsidRDefault="009C33F9" w:rsidP="009C33F9">
            <w:pPr>
              <w:jc w:val="center"/>
              <w:rPr>
                <w:rFonts w:asciiTheme="minorHAnsi" w:hAnsiTheme="minorHAnsi"/>
                <w:b/>
                <w:bCs/>
                <w:color w:val="000000"/>
                <w:sz w:val="16"/>
                <w:szCs w:val="16"/>
              </w:rPr>
            </w:pPr>
          </w:p>
        </w:tc>
        <w:tc>
          <w:tcPr>
            <w:tcW w:w="1405" w:type="dxa"/>
            <w:tcBorders>
              <w:top w:val="nil"/>
              <w:left w:val="nil"/>
              <w:bottom w:val="nil"/>
              <w:right w:val="nil"/>
            </w:tcBorders>
            <w:shd w:val="clear" w:color="auto" w:fill="auto"/>
            <w:noWrap/>
            <w:vAlign w:val="bottom"/>
            <w:hideMark/>
          </w:tcPr>
          <w:p w14:paraId="1DEE5E54" w14:textId="77777777" w:rsidR="009C33F9" w:rsidRPr="009C33F9" w:rsidRDefault="009C33F9" w:rsidP="009C33F9">
            <w:pPr>
              <w:rPr>
                <w:rFonts w:asciiTheme="minorHAnsi" w:hAnsiTheme="minorHAnsi"/>
                <w:sz w:val="16"/>
                <w:szCs w:val="16"/>
              </w:rPr>
            </w:pPr>
          </w:p>
        </w:tc>
        <w:tc>
          <w:tcPr>
            <w:tcW w:w="1417" w:type="dxa"/>
            <w:tcBorders>
              <w:top w:val="nil"/>
              <w:left w:val="nil"/>
              <w:bottom w:val="nil"/>
              <w:right w:val="nil"/>
            </w:tcBorders>
            <w:shd w:val="clear" w:color="auto" w:fill="auto"/>
            <w:noWrap/>
            <w:vAlign w:val="bottom"/>
            <w:hideMark/>
          </w:tcPr>
          <w:p w14:paraId="5CA57516" w14:textId="77777777" w:rsidR="009C33F9" w:rsidRPr="009C33F9" w:rsidRDefault="009C33F9" w:rsidP="009C33F9">
            <w:pPr>
              <w:rPr>
                <w:rFonts w:asciiTheme="minorHAnsi" w:hAnsiTheme="minorHAnsi"/>
                <w:sz w:val="16"/>
                <w:szCs w:val="16"/>
              </w:rPr>
            </w:pPr>
          </w:p>
        </w:tc>
        <w:tc>
          <w:tcPr>
            <w:tcW w:w="1276" w:type="dxa"/>
            <w:tcBorders>
              <w:top w:val="nil"/>
              <w:left w:val="nil"/>
              <w:bottom w:val="nil"/>
              <w:right w:val="nil"/>
            </w:tcBorders>
            <w:shd w:val="clear" w:color="auto" w:fill="auto"/>
            <w:noWrap/>
            <w:vAlign w:val="bottom"/>
            <w:hideMark/>
          </w:tcPr>
          <w:p w14:paraId="5289AC26" w14:textId="77777777" w:rsidR="009C33F9" w:rsidRPr="009C33F9" w:rsidRDefault="009C33F9" w:rsidP="009C33F9">
            <w:pPr>
              <w:rPr>
                <w:rFonts w:asciiTheme="minorHAnsi" w:hAnsiTheme="minorHAnsi"/>
                <w:sz w:val="16"/>
                <w:szCs w:val="16"/>
              </w:rPr>
            </w:pPr>
          </w:p>
        </w:tc>
        <w:tc>
          <w:tcPr>
            <w:tcW w:w="1276" w:type="dxa"/>
            <w:tcBorders>
              <w:top w:val="nil"/>
              <w:left w:val="nil"/>
              <w:bottom w:val="nil"/>
              <w:right w:val="nil"/>
            </w:tcBorders>
            <w:shd w:val="clear" w:color="auto" w:fill="auto"/>
            <w:noWrap/>
            <w:vAlign w:val="bottom"/>
            <w:hideMark/>
          </w:tcPr>
          <w:p w14:paraId="069E21DF" w14:textId="77777777" w:rsidR="009C33F9" w:rsidRPr="009C33F9" w:rsidRDefault="009C33F9" w:rsidP="009C33F9">
            <w:pPr>
              <w:rPr>
                <w:rFonts w:asciiTheme="minorHAnsi" w:hAnsiTheme="minorHAnsi"/>
                <w:sz w:val="16"/>
                <w:szCs w:val="16"/>
              </w:rPr>
            </w:pPr>
          </w:p>
        </w:tc>
        <w:tc>
          <w:tcPr>
            <w:tcW w:w="1701" w:type="dxa"/>
            <w:tcBorders>
              <w:top w:val="nil"/>
              <w:left w:val="nil"/>
              <w:bottom w:val="nil"/>
              <w:right w:val="nil"/>
            </w:tcBorders>
            <w:shd w:val="clear" w:color="auto" w:fill="auto"/>
            <w:noWrap/>
            <w:vAlign w:val="bottom"/>
            <w:hideMark/>
          </w:tcPr>
          <w:p w14:paraId="7B862959" w14:textId="77777777" w:rsidR="009C33F9" w:rsidRPr="009C33F9" w:rsidRDefault="009C33F9" w:rsidP="009C33F9">
            <w:pPr>
              <w:rPr>
                <w:rFonts w:asciiTheme="minorHAnsi" w:hAnsiTheme="minorHAnsi"/>
                <w:sz w:val="16"/>
                <w:szCs w:val="16"/>
              </w:rPr>
            </w:pPr>
          </w:p>
        </w:tc>
        <w:tc>
          <w:tcPr>
            <w:tcW w:w="1842" w:type="dxa"/>
            <w:tcBorders>
              <w:top w:val="nil"/>
              <w:left w:val="nil"/>
              <w:bottom w:val="nil"/>
              <w:right w:val="nil"/>
            </w:tcBorders>
            <w:shd w:val="clear" w:color="auto" w:fill="auto"/>
            <w:noWrap/>
            <w:vAlign w:val="bottom"/>
            <w:hideMark/>
          </w:tcPr>
          <w:p w14:paraId="64ED2428" w14:textId="77777777" w:rsidR="009C33F9" w:rsidRPr="009C33F9" w:rsidRDefault="009C33F9" w:rsidP="009C33F9">
            <w:pPr>
              <w:rPr>
                <w:rFonts w:asciiTheme="minorHAnsi" w:hAnsiTheme="minorHAnsi"/>
                <w:sz w:val="16"/>
                <w:szCs w:val="16"/>
              </w:rPr>
            </w:pPr>
          </w:p>
        </w:tc>
        <w:tc>
          <w:tcPr>
            <w:tcW w:w="1843" w:type="dxa"/>
            <w:tcBorders>
              <w:top w:val="nil"/>
              <w:left w:val="nil"/>
              <w:bottom w:val="nil"/>
              <w:right w:val="nil"/>
            </w:tcBorders>
            <w:shd w:val="clear" w:color="auto" w:fill="auto"/>
            <w:noWrap/>
            <w:vAlign w:val="bottom"/>
            <w:hideMark/>
          </w:tcPr>
          <w:p w14:paraId="7890F0DD" w14:textId="77777777" w:rsidR="009C33F9" w:rsidRPr="009C33F9" w:rsidRDefault="009C33F9" w:rsidP="009C33F9">
            <w:pPr>
              <w:rPr>
                <w:rFonts w:asciiTheme="minorHAnsi" w:hAnsiTheme="minorHAnsi"/>
                <w:sz w:val="16"/>
                <w:szCs w:val="16"/>
              </w:rPr>
            </w:pPr>
          </w:p>
        </w:tc>
        <w:tc>
          <w:tcPr>
            <w:tcW w:w="2693" w:type="dxa"/>
            <w:tcBorders>
              <w:top w:val="nil"/>
              <w:left w:val="nil"/>
              <w:bottom w:val="nil"/>
              <w:right w:val="nil"/>
            </w:tcBorders>
            <w:shd w:val="clear" w:color="auto" w:fill="auto"/>
            <w:noWrap/>
            <w:vAlign w:val="bottom"/>
            <w:hideMark/>
          </w:tcPr>
          <w:p w14:paraId="6B75426C" w14:textId="77777777" w:rsidR="009C33F9" w:rsidRPr="009C33F9" w:rsidRDefault="009C33F9" w:rsidP="009C33F9">
            <w:pPr>
              <w:rPr>
                <w:rFonts w:asciiTheme="minorHAnsi" w:hAnsiTheme="minorHAnsi"/>
                <w:sz w:val="16"/>
                <w:szCs w:val="16"/>
              </w:rPr>
            </w:pPr>
          </w:p>
        </w:tc>
      </w:tr>
      <w:tr w:rsidR="009C33F9" w:rsidRPr="009C33F9" w14:paraId="1FDB3D8E" w14:textId="77777777" w:rsidTr="009C33F9">
        <w:trPr>
          <w:trHeight w:val="612"/>
        </w:trPr>
        <w:tc>
          <w:tcPr>
            <w:tcW w:w="12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E19D6F"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AXES STRATEGIQUES</w:t>
            </w:r>
          </w:p>
        </w:tc>
        <w:tc>
          <w:tcPr>
            <w:tcW w:w="1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1AF0C"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ACTIONS PREVUES </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8545CA" w14:textId="77777777" w:rsidR="009C33F9" w:rsidRPr="009C33F9" w:rsidRDefault="009C33F9" w:rsidP="009C33F9">
            <w:pPr>
              <w:jc w:val="center"/>
              <w:rPr>
                <w:rFonts w:asciiTheme="minorHAnsi" w:hAnsiTheme="minorHAnsi"/>
                <w:color w:val="000000"/>
                <w:sz w:val="16"/>
                <w:szCs w:val="16"/>
              </w:rPr>
            </w:pPr>
            <w:r w:rsidRPr="009C33F9">
              <w:rPr>
                <w:rFonts w:asciiTheme="minorHAnsi" w:hAnsiTheme="minorHAnsi"/>
                <w:color w:val="000000"/>
                <w:sz w:val="16"/>
                <w:szCs w:val="16"/>
              </w:rPr>
              <w:t xml:space="preserve">Coût </w:t>
            </w:r>
          </w:p>
        </w:tc>
        <w:tc>
          <w:tcPr>
            <w:tcW w:w="7938" w:type="dxa"/>
            <w:gridSpan w:val="5"/>
            <w:tcBorders>
              <w:top w:val="single" w:sz="4" w:space="0" w:color="auto"/>
              <w:left w:val="nil"/>
              <w:bottom w:val="single" w:sz="4" w:space="0" w:color="auto"/>
              <w:right w:val="single" w:sz="4" w:space="0" w:color="auto"/>
            </w:tcBorders>
            <w:shd w:val="clear" w:color="auto" w:fill="auto"/>
            <w:vAlign w:val="center"/>
            <w:hideMark/>
          </w:tcPr>
          <w:p w14:paraId="1CD3158D" w14:textId="77777777" w:rsidR="009C33F9" w:rsidRPr="009C33F9" w:rsidRDefault="009C33F9" w:rsidP="009C33F9">
            <w:pPr>
              <w:jc w:val="center"/>
              <w:rPr>
                <w:rFonts w:asciiTheme="minorHAnsi" w:hAnsiTheme="minorHAnsi"/>
                <w:color w:val="000000"/>
                <w:sz w:val="16"/>
                <w:szCs w:val="16"/>
              </w:rPr>
            </w:pPr>
            <w:proofErr w:type="spellStart"/>
            <w:r w:rsidRPr="009C33F9">
              <w:rPr>
                <w:rFonts w:asciiTheme="minorHAnsi" w:hAnsiTheme="minorHAnsi"/>
                <w:color w:val="000000"/>
                <w:sz w:val="16"/>
                <w:szCs w:val="16"/>
              </w:rPr>
              <w:t>Repartition</w:t>
            </w:r>
            <w:proofErr w:type="spellEnd"/>
            <w:r w:rsidRPr="009C33F9">
              <w:rPr>
                <w:rFonts w:asciiTheme="minorHAnsi" w:hAnsiTheme="minorHAnsi"/>
                <w:color w:val="000000"/>
                <w:sz w:val="16"/>
                <w:szCs w:val="16"/>
              </w:rPr>
              <w:t xml:space="preserve"> du financement à </w:t>
            </w:r>
            <w:proofErr w:type="spellStart"/>
            <w:r w:rsidRPr="009C33F9">
              <w:rPr>
                <w:rFonts w:asciiTheme="minorHAnsi" w:hAnsiTheme="minorHAnsi"/>
                <w:color w:val="000000"/>
                <w:sz w:val="16"/>
                <w:szCs w:val="16"/>
              </w:rPr>
              <w:t>recherher</w:t>
            </w:r>
            <w:proofErr w:type="spellEnd"/>
            <w:r w:rsidRPr="009C33F9">
              <w:rPr>
                <w:rFonts w:asciiTheme="minorHAnsi" w:hAnsiTheme="minorHAnsi"/>
                <w:color w:val="000000"/>
                <w:sz w:val="16"/>
                <w:szCs w:val="16"/>
              </w:rPr>
              <w:t xml:space="preserve"> Budget d'Etat (les chiffres sont en milliers de francs CFA) </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68EE7A6B" w14:textId="77777777" w:rsidR="009C33F9" w:rsidRPr="009C33F9" w:rsidRDefault="009C33F9" w:rsidP="009C33F9">
            <w:pPr>
              <w:jc w:val="center"/>
              <w:rPr>
                <w:rFonts w:asciiTheme="minorHAnsi" w:hAnsiTheme="minorHAnsi"/>
                <w:color w:val="000000"/>
                <w:sz w:val="16"/>
                <w:szCs w:val="16"/>
              </w:rPr>
            </w:pPr>
            <w:r w:rsidRPr="009C33F9">
              <w:rPr>
                <w:rFonts w:asciiTheme="minorHAnsi" w:hAnsiTheme="minorHAnsi"/>
                <w:color w:val="000000"/>
                <w:sz w:val="16"/>
                <w:szCs w:val="16"/>
              </w:rPr>
              <w:t> </w:t>
            </w:r>
          </w:p>
        </w:tc>
      </w:tr>
      <w:tr w:rsidR="009C33F9" w:rsidRPr="009C33F9" w14:paraId="784FB235" w14:textId="77777777" w:rsidTr="009C33F9">
        <w:trPr>
          <w:trHeight w:val="732"/>
        </w:trPr>
        <w:tc>
          <w:tcPr>
            <w:tcW w:w="1289" w:type="dxa"/>
            <w:vMerge/>
            <w:tcBorders>
              <w:top w:val="single" w:sz="4" w:space="0" w:color="auto"/>
              <w:left w:val="single" w:sz="4" w:space="0" w:color="auto"/>
              <w:bottom w:val="single" w:sz="4" w:space="0" w:color="auto"/>
              <w:right w:val="single" w:sz="4" w:space="0" w:color="auto"/>
            </w:tcBorders>
            <w:vAlign w:val="center"/>
            <w:hideMark/>
          </w:tcPr>
          <w:p w14:paraId="38D52C88" w14:textId="77777777" w:rsidR="009C33F9" w:rsidRPr="009C33F9" w:rsidRDefault="009C33F9" w:rsidP="009C33F9">
            <w:pPr>
              <w:rPr>
                <w:rFonts w:asciiTheme="minorHAnsi" w:hAnsiTheme="minorHAnsi"/>
                <w:color w:val="000000"/>
                <w:sz w:val="16"/>
                <w:szCs w:val="16"/>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14:paraId="651A1CDE" w14:textId="77777777" w:rsidR="009C33F9" w:rsidRPr="009C33F9" w:rsidRDefault="009C33F9" w:rsidP="009C33F9">
            <w:pPr>
              <w:rPr>
                <w:rFonts w:asciiTheme="minorHAnsi" w:hAnsiTheme="minorHAnsi"/>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5D26B15" w14:textId="77777777" w:rsidR="009C33F9" w:rsidRPr="009C33F9" w:rsidRDefault="009C33F9" w:rsidP="009C33F9">
            <w:pPr>
              <w:rPr>
                <w:rFonts w:asciiTheme="minorHAnsi" w:hAnsiTheme="minorHAnsi"/>
                <w:color w:val="000000"/>
                <w:sz w:val="16"/>
                <w:szCs w:val="16"/>
              </w:rPr>
            </w:pPr>
          </w:p>
        </w:tc>
        <w:tc>
          <w:tcPr>
            <w:tcW w:w="1276" w:type="dxa"/>
            <w:tcBorders>
              <w:top w:val="nil"/>
              <w:left w:val="nil"/>
              <w:bottom w:val="single" w:sz="4" w:space="0" w:color="auto"/>
              <w:right w:val="single" w:sz="4" w:space="0" w:color="auto"/>
            </w:tcBorders>
            <w:shd w:val="clear" w:color="auto" w:fill="auto"/>
            <w:vAlign w:val="center"/>
            <w:hideMark/>
          </w:tcPr>
          <w:p w14:paraId="6462D6D3" w14:textId="77777777" w:rsidR="009C33F9" w:rsidRPr="009C33F9" w:rsidRDefault="009C33F9" w:rsidP="009C33F9">
            <w:pPr>
              <w:jc w:val="right"/>
              <w:rPr>
                <w:rFonts w:asciiTheme="minorHAnsi" w:hAnsiTheme="minorHAnsi"/>
                <w:color w:val="000000"/>
                <w:sz w:val="16"/>
                <w:szCs w:val="16"/>
              </w:rPr>
            </w:pPr>
            <w:r w:rsidRPr="009C33F9">
              <w:rPr>
                <w:rFonts w:asciiTheme="minorHAnsi" w:hAnsiTheme="minorHAnsi"/>
                <w:color w:val="000000"/>
                <w:sz w:val="16"/>
                <w:szCs w:val="16"/>
              </w:rPr>
              <w:t>2019</w:t>
            </w:r>
          </w:p>
        </w:tc>
        <w:tc>
          <w:tcPr>
            <w:tcW w:w="1276" w:type="dxa"/>
            <w:tcBorders>
              <w:top w:val="nil"/>
              <w:left w:val="nil"/>
              <w:bottom w:val="single" w:sz="4" w:space="0" w:color="auto"/>
              <w:right w:val="single" w:sz="4" w:space="0" w:color="auto"/>
            </w:tcBorders>
            <w:shd w:val="clear" w:color="auto" w:fill="auto"/>
            <w:vAlign w:val="center"/>
            <w:hideMark/>
          </w:tcPr>
          <w:p w14:paraId="3ED84075" w14:textId="77777777" w:rsidR="009C33F9" w:rsidRPr="009C33F9" w:rsidRDefault="009C33F9" w:rsidP="009C33F9">
            <w:pPr>
              <w:jc w:val="right"/>
              <w:rPr>
                <w:rFonts w:asciiTheme="minorHAnsi" w:hAnsiTheme="minorHAnsi"/>
                <w:color w:val="000000"/>
                <w:sz w:val="16"/>
                <w:szCs w:val="16"/>
              </w:rPr>
            </w:pPr>
            <w:r w:rsidRPr="009C33F9">
              <w:rPr>
                <w:rFonts w:asciiTheme="minorHAnsi" w:hAnsiTheme="minorHAnsi"/>
                <w:color w:val="000000"/>
                <w:sz w:val="16"/>
                <w:szCs w:val="16"/>
              </w:rPr>
              <w:t>2020</w:t>
            </w:r>
          </w:p>
        </w:tc>
        <w:tc>
          <w:tcPr>
            <w:tcW w:w="1701" w:type="dxa"/>
            <w:tcBorders>
              <w:top w:val="nil"/>
              <w:left w:val="nil"/>
              <w:bottom w:val="single" w:sz="4" w:space="0" w:color="auto"/>
              <w:right w:val="single" w:sz="4" w:space="0" w:color="auto"/>
            </w:tcBorders>
            <w:shd w:val="clear" w:color="auto" w:fill="auto"/>
            <w:vAlign w:val="center"/>
            <w:hideMark/>
          </w:tcPr>
          <w:p w14:paraId="092DA040" w14:textId="77777777" w:rsidR="009C33F9" w:rsidRPr="009C33F9" w:rsidRDefault="009C33F9" w:rsidP="009C33F9">
            <w:pPr>
              <w:jc w:val="right"/>
              <w:rPr>
                <w:rFonts w:asciiTheme="minorHAnsi" w:hAnsiTheme="minorHAnsi"/>
                <w:color w:val="000000"/>
                <w:sz w:val="16"/>
                <w:szCs w:val="16"/>
              </w:rPr>
            </w:pPr>
            <w:r w:rsidRPr="009C33F9">
              <w:rPr>
                <w:rFonts w:asciiTheme="minorHAnsi" w:hAnsiTheme="minorHAnsi"/>
                <w:color w:val="000000"/>
                <w:sz w:val="16"/>
                <w:szCs w:val="16"/>
              </w:rPr>
              <w:t>2021</w:t>
            </w:r>
          </w:p>
        </w:tc>
        <w:tc>
          <w:tcPr>
            <w:tcW w:w="1842" w:type="dxa"/>
            <w:tcBorders>
              <w:top w:val="nil"/>
              <w:left w:val="nil"/>
              <w:bottom w:val="single" w:sz="4" w:space="0" w:color="auto"/>
              <w:right w:val="single" w:sz="4" w:space="0" w:color="auto"/>
            </w:tcBorders>
            <w:shd w:val="clear" w:color="auto" w:fill="auto"/>
            <w:vAlign w:val="center"/>
            <w:hideMark/>
          </w:tcPr>
          <w:p w14:paraId="36695F43" w14:textId="77777777" w:rsidR="009C33F9" w:rsidRPr="009C33F9" w:rsidRDefault="009C33F9" w:rsidP="009C33F9">
            <w:pPr>
              <w:jc w:val="right"/>
              <w:rPr>
                <w:rFonts w:asciiTheme="minorHAnsi" w:hAnsiTheme="minorHAnsi"/>
                <w:color w:val="000000"/>
                <w:sz w:val="16"/>
                <w:szCs w:val="16"/>
              </w:rPr>
            </w:pPr>
            <w:r w:rsidRPr="009C33F9">
              <w:rPr>
                <w:rFonts w:asciiTheme="minorHAnsi" w:hAnsiTheme="minorHAnsi"/>
                <w:color w:val="000000"/>
                <w:sz w:val="16"/>
                <w:szCs w:val="16"/>
              </w:rPr>
              <w:t>2022</w:t>
            </w:r>
          </w:p>
        </w:tc>
        <w:tc>
          <w:tcPr>
            <w:tcW w:w="1843" w:type="dxa"/>
            <w:tcBorders>
              <w:top w:val="nil"/>
              <w:left w:val="nil"/>
              <w:bottom w:val="single" w:sz="4" w:space="0" w:color="auto"/>
              <w:right w:val="single" w:sz="4" w:space="0" w:color="auto"/>
            </w:tcBorders>
            <w:shd w:val="clear" w:color="auto" w:fill="auto"/>
            <w:vAlign w:val="center"/>
            <w:hideMark/>
          </w:tcPr>
          <w:p w14:paraId="03786708" w14:textId="77777777" w:rsidR="009C33F9" w:rsidRPr="009C33F9" w:rsidRDefault="009C33F9" w:rsidP="009C33F9">
            <w:pPr>
              <w:jc w:val="right"/>
              <w:rPr>
                <w:rFonts w:asciiTheme="minorHAnsi" w:hAnsiTheme="minorHAnsi"/>
                <w:color w:val="000000"/>
                <w:sz w:val="16"/>
                <w:szCs w:val="16"/>
              </w:rPr>
            </w:pPr>
            <w:r w:rsidRPr="009C33F9">
              <w:rPr>
                <w:rFonts w:asciiTheme="minorHAnsi" w:hAnsiTheme="minorHAnsi"/>
                <w:color w:val="000000"/>
                <w:sz w:val="16"/>
                <w:szCs w:val="16"/>
              </w:rPr>
              <w:t>2023</w:t>
            </w:r>
          </w:p>
        </w:tc>
        <w:tc>
          <w:tcPr>
            <w:tcW w:w="2693" w:type="dxa"/>
            <w:tcBorders>
              <w:top w:val="nil"/>
              <w:left w:val="nil"/>
              <w:bottom w:val="single" w:sz="4" w:space="0" w:color="auto"/>
              <w:right w:val="single" w:sz="4" w:space="0" w:color="auto"/>
            </w:tcBorders>
            <w:shd w:val="clear" w:color="auto" w:fill="auto"/>
            <w:vAlign w:val="center"/>
            <w:hideMark/>
          </w:tcPr>
          <w:p w14:paraId="3D1561A4"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Total</w:t>
            </w:r>
          </w:p>
        </w:tc>
      </w:tr>
      <w:tr w:rsidR="009C33F9" w:rsidRPr="009C33F9" w14:paraId="1FE9822C" w14:textId="77777777" w:rsidTr="009C33F9">
        <w:trPr>
          <w:trHeight w:val="1523"/>
        </w:trPr>
        <w:tc>
          <w:tcPr>
            <w:tcW w:w="1289" w:type="dxa"/>
            <w:tcBorders>
              <w:top w:val="nil"/>
              <w:left w:val="single" w:sz="4" w:space="0" w:color="auto"/>
              <w:bottom w:val="single" w:sz="4" w:space="0" w:color="auto"/>
              <w:right w:val="single" w:sz="4" w:space="0" w:color="auto"/>
            </w:tcBorders>
            <w:shd w:val="clear" w:color="auto" w:fill="auto"/>
            <w:vAlign w:val="center"/>
            <w:hideMark/>
          </w:tcPr>
          <w:p w14:paraId="24748F1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Axe Stratégique 1 : Gouvernance </w:t>
            </w:r>
            <w:r w:rsidRPr="009C33F9">
              <w:rPr>
                <w:rFonts w:asciiTheme="minorHAnsi" w:hAnsiTheme="minorHAnsi"/>
                <w:i/>
                <w:iCs/>
                <w:color w:val="000000"/>
                <w:sz w:val="16"/>
                <w:szCs w:val="16"/>
              </w:rPr>
              <w:t xml:space="preserve">Améliorer la gouvernance du secteur </w:t>
            </w:r>
          </w:p>
        </w:tc>
        <w:tc>
          <w:tcPr>
            <w:tcW w:w="1405" w:type="dxa"/>
            <w:tcBorders>
              <w:top w:val="nil"/>
              <w:left w:val="nil"/>
              <w:bottom w:val="single" w:sz="4" w:space="0" w:color="auto"/>
              <w:right w:val="single" w:sz="4" w:space="0" w:color="auto"/>
            </w:tcBorders>
            <w:shd w:val="clear" w:color="auto" w:fill="auto"/>
            <w:vAlign w:val="center"/>
            <w:hideMark/>
          </w:tcPr>
          <w:p w14:paraId="26A25EAB"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Mettre en cohérence le cadre réglementaire et institutionnel du domaine minier et pétrolier</w:t>
            </w:r>
          </w:p>
        </w:tc>
        <w:tc>
          <w:tcPr>
            <w:tcW w:w="1417" w:type="dxa"/>
            <w:tcBorders>
              <w:top w:val="nil"/>
              <w:left w:val="nil"/>
              <w:bottom w:val="single" w:sz="4" w:space="0" w:color="auto"/>
              <w:right w:val="single" w:sz="4" w:space="0" w:color="auto"/>
            </w:tcBorders>
            <w:shd w:val="clear" w:color="auto" w:fill="auto"/>
            <w:vAlign w:val="center"/>
            <w:hideMark/>
          </w:tcPr>
          <w:p w14:paraId="3E167C8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100 000   </w:t>
            </w:r>
          </w:p>
        </w:tc>
        <w:tc>
          <w:tcPr>
            <w:tcW w:w="1276" w:type="dxa"/>
            <w:tcBorders>
              <w:top w:val="nil"/>
              <w:left w:val="nil"/>
              <w:bottom w:val="single" w:sz="4" w:space="0" w:color="auto"/>
              <w:right w:val="single" w:sz="4" w:space="0" w:color="auto"/>
            </w:tcBorders>
            <w:shd w:val="clear" w:color="auto" w:fill="auto"/>
            <w:vAlign w:val="center"/>
            <w:hideMark/>
          </w:tcPr>
          <w:p w14:paraId="7FB3CF3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30211CB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01585B8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25 000   </w:t>
            </w:r>
          </w:p>
        </w:tc>
        <w:tc>
          <w:tcPr>
            <w:tcW w:w="1842" w:type="dxa"/>
            <w:tcBorders>
              <w:top w:val="nil"/>
              <w:left w:val="nil"/>
              <w:bottom w:val="single" w:sz="4" w:space="0" w:color="auto"/>
              <w:right w:val="single" w:sz="4" w:space="0" w:color="auto"/>
            </w:tcBorders>
            <w:shd w:val="clear" w:color="auto" w:fill="auto"/>
            <w:vAlign w:val="center"/>
            <w:hideMark/>
          </w:tcPr>
          <w:p w14:paraId="35BAF30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35 000   </w:t>
            </w:r>
          </w:p>
        </w:tc>
        <w:tc>
          <w:tcPr>
            <w:tcW w:w="1843" w:type="dxa"/>
            <w:tcBorders>
              <w:top w:val="nil"/>
              <w:left w:val="nil"/>
              <w:bottom w:val="single" w:sz="4" w:space="0" w:color="auto"/>
              <w:right w:val="single" w:sz="4" w:space="0" w:color="auto"/>
            </w:tcBorders>
            <w:shd w:val="clear" w:color="auto" w:fill="auto"/>
            <w:vAlign w:val="center"/>
            <w:hideMark/>
          </w:tcPr>
          <w:p w14:paraId="6009150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40 000   </w:t>
            </w:r>
          </w:p>
        </w:tc>
        <w:tc>
          <w:tcPr>
            <w:tcW w:w="2693" w:type="dxa"/>
            <w:tcBorders>
              <w:top w:val="nil"/>
              <w:left w:val="nil"/>
              <w:bottom w:val="single" w:sz="4" w:space="0" w:color="auto"/>
              <w:right w:val="single" w:sz="4" w:space="0" w:color="auto"/>
            </w:tcBorders>
            <w:shd w:val="clear" w:color="auto" w:fill="auto"/>
            <w:vAlign w:val="center"/>
            <w:hideMark/>
          </w:tcPr>
          <w:p w14:paraId="577789A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100 000   </w:t>
            </w:r>
          </w:p>
        </w:tc>
      </w:tr>
      <w:tr w:rsidR="009C33F9" w:rsidRPr="009C33F9" w14:paraId="710C7E3E" w14:textId="77777777" w:rsidTr="009C33F9">
        <w:trPr>
          <w:trHeight w:val="1969"/>
        </w:trPr>
        <w:tc>
          <w:tcPr>
            <w:tcW w:w="1289" w:type="dxa"/>
            <w:tcBorders>
              <w:top w:val="nil"/>
              <w:left w:val="single" w:sz="4" w:space="0" w:color="auto"/>
              <w:bottom w:val="single" w:sz="4" w:space="0" w:color="auto"/>
              <w:right w:val="single" w:sz="4" w:space="0" w:color="auto"/>
            </w:tcBorders>
            <w:shd w:val="clear" w:color="auto" w:fill="auto"/>
            <w:vAlign w:val="center"/>
            <w:hideMark/>
          </w:tcPr>
          <w:p w14:paraId="5C33A108"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43B5A1F2"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Mettre en place un cadastre minier performant sous la forme d’un guichet unique pour la délivrance diligente des permis de recherche et autorisations de prospection</w:t>
            </w:r>
          </w:p>
        </w:tc>
        <w:tc>
          <w:tcPr>
            <w:tcW w:w="1417" w:type="dxa"/>
            <w:tcBorders>
              <w:top w:val="nil"/>
              <w:left w:val="nil"/>
              <w:bottom w:val="single" w:sz="4" w:space="0" w:color="auto"/>
              <w:right w:val="single" w:sz="4" w:space="0" w:color="auto"/>
            </w:tcBorders>
            <w:shd w:val="clear" w:color="auto" w:fill="auto"/>
            <w:vAlign w:val="center"/>
            <w:hideMark/>
          </w:tcPr>
          <w:p w14:paraId="2A12AC4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4 474 659   </w:t>
            </w:r>
          </w:p>
        </w:tc>
        <w:tc>
          <w:tcPr>
            <w:tcW w:w="1276" w:type="dxa"/>
            <w:tcBorders>
              <w:top w:val="nil"/>
              <w:left w:val="nil"/>
              <w:bottom w:val="single" w:sz="4" w:space="0" w:color="auto"/>
              <w:right w:val="single" w:sz="4" w:space="0" w:color="auto"/>
            </w:tcBorders>
            <w:shd w:val="clear" w:color="auto" w:fill="auto"/>
            <w:vAlign w:val="center"/>
            <w:hideMark/>
          </w:tcPr>
          <w:p w14:paraId="2968518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20C55D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4E4558D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1 118 665   </w:t>
            </w:r>
          </w:p>
        </w:tc>
        <w:tc>
          <w:tcPr>
            <w:tcW w:w="1842" w:type="dxa"/>
            <w:tcBorders>
              <w:top w:val="nil"/>
              <w:left w:val="nil"/>
              <w:bottom w:val="single" w:sz="4" w:space="0" w:color="auto"/>
              <w:right w:val="single" w:sz="4" w:space="0" w:color="auto"/>
            </w:tcBorders>
            <w:shd w:val="clear" w:color="auto" w:fill="auto"/>
            <w:vAlign w:val="center"/>
            <w:hideMark/>
          </w:tcPr>
          <w:p w14:paraId="556D299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1 566 131   </w:t>
            </w:r>
          </w:p>
        </w:tc>
        <w:tc>
          <w:tcPr>
            <w:tcW w:w="1843" w:type="dxa"/>
            <w:tcBorders>
              <w:top w:val="nil"/>
              <w:left w:val="nil"/>
              <w:bottom w:val="single" w:sz="4" w:space="0" w:color="auto"/>
              <w:right w:val="single" w:sz="4" w:space="0" w:color="auto"/>
            </w:tcBorders>
            <w:shd w:val="clear" w:color="auto" w:fill="auto"/>
            <w:vAlign w:val="center"/>
            <w:hideMark/>
          </w:tcPr>
          <w:p w14:paraId="57E21DC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1 789 864   </w:t>
            </w:r>
          </w:p>
        </w:tc>
        <w:tc>
          <w:tcPr>
            <w:tcW w:w="2693" w:type="dxa"/>
            <w:tcBorders>
              <w:top w:val="nil"/>
              <w:left w:val="nil"/>
              <w:bottom w:val="single" w:sz="4" w:space="0" w:color="auto"/>
              <w:right w:val="single" w:sz="4" w:space="0" w:color="auto"/>
            </w:tcBorders>
            <w:shd w:val="clear" w:color="auto" w:fill="auto"/>
            <w:vAlign w:val="center"/>
            <w:hideMark/>
          </w:tcPr>
          <w:p w14:paraId="189D993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4 474 659   </w:t>
            </w:r>
          </w:p>
        </w:tc>
      </w:tr>
      <w:tr w:rsidR="009C33F9" w:rsidRPr="009C33F9" w14:paraId="68887D79" w14:textId="77777777" w:rsidTr="009C33F9">
        <w:trPr>
          <w:trHeight w:val="1549"/>
        </w:trPr>
        <w:tc>
          <w:tcPr>
            <w:tcW w:w="1289" w:type="dxa"/>
            <w:tcBorders>
              <w:top w:val="nil"/>
              <w:left w:val="single" w:sz="4" w:space="0" w:color="auto"/>
              <w:bottom w:val="single" w:sz="4" w:space="0" w:color="auto"/>
              <w:right w:val="single" w:sz="4" w:space="0" w:color="auto"/>
            </w:tcBorders>
            <w:shd w:val="clear" w:color="auto" w:fill="auto"/>
            <w:hideMark/>
          </w:tcPr>
          <w:p w14:paraId="0753FC80"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3C0A643C"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Mettre en place des instruments et /ou de méthodes de suivi du circuit de production et de distribution des retombées de l’activité minière </w:t>
            </w:r>
          </w:p>
        </w:tc>
        <w:tc>
          <w:tcPr>
            <w:tcW w:w="1417" w:type="dxa"/>
            <w:tcBorders>
              <w:top w:val="nil"/>
              <w:left w:val="nil"/>
              <w:bottom w:val="single" w:sz="4" w:space="0" w:color="auto"/>
              <w:right w:val="single" w:sz="4" w:space="0" w:color="auto"/>
            </w:tcBorders>
            <w:shd w:val="clear" w:color="auto" w:fill="auto"/>
            <w:vAlign w:val="center"/>
            <w:hideMark/>
          </w:tcPr>
          <w:p w14:paraId="75B4324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645 369   </w:t>
            </w:r>
          </w:p>
        </w:tc>
        <w:tc>
          <w:tcPr>
            <w:tcW w:w="1276" w:type="dxa"/>
            <w:tcBorders>
              <w:top w:val="nil"/>
              <w:left w:val="nil"/>
              <w:bottom w:val="single" w:sz="4" w:space="0" w:color="auto"/>
              <w:right w:val="single" w:sz="4" w:space="0" w:color="auto"/>
            </w:tcBorders>
            <w:shd w:val="clear" w:color="auto" w:fill="auto"/>
            <w:vAlign w:val="center"/>
            <w:hideMark/>
          </w:tcPr>
          <w:p w14:paraId="1CFAB26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899F73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25AD2FB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161 342   </w:t>
            </w:r>
          </w:p>
        </w:tc>
        <w:tc>
          <w:tcPr>
            <w:tcW w:w="1842" w:type="dxa"/>
            <w:tcBorders>
              <w:top w:val="nil"/>
              <w:left w:val="nil"/>
              <w:bottom w:val="single" w:sz="4" w:space="0" w:color="auto"/>
              <w:right w:val="single" w:sz="4" w:space="0" w:color="auto"/>
            </w:tcBorders>
            <w:shd w:val="clear" w:color="auto" w:fill="auto"/>
            <w:vAlign w:val="center"/>
            <w:hideMark/>
          </w:tcPr>
          <w:p w14:paraId="000BCD8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225 879   </w:t>
            </w:r>
          </w:p>
        </w:tc>
        <w:tc>
          <w:tcPr>
            <w:tcW w:w="1843" w:type="dxa"/>
            <w:tcBorders>
              <w:top w:val="nil"/>
              <w:left w:val="nil"/>
              <w:bottom w:val="single" w:sz="4" w:space="0" w:color="auto"/>
              <w:right w:val="single" w:sz="4" w:space="0" w:color="auto"/>
            </w:tcBorders>
            <w:shd w:val="clear" w:color="auto" w:fill="auto"/>
            <w:vAlign w:val="center"/>
            <w:hideMark/>
          </w:tcPr>
          <w:p w14:paraId="5FD7A1C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258 148   </w:t>
            </w:r>
          </w:p>
        </w:tc>
        <w:tc>
          <w:tcPr>
            <w:tcW w:w="2693" w:type="dxa"/>
            <w:tcBorders>
              <w:top w:val="nil"/>
              <w:left w:val="nil"/>
              <w:bottom w:val="single" w:sz="4" w:space="0" w:color="auto"/>
              <w:right w:val="single" w:sz="4" w:space="0" w:color="auto"/>
            </w:tcBorders>
            <w:shd w:val="clear" w:color="auto" w:fill="auto"/>
            <w:vAlign w:val="center"/>
            <w:hideMark/>
          </w:tcPr>
          <w:p w14:paraId="6E66604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645 369   </w:t>
            </w:r>
          </w:p>
        </w:tc>
      </w:tr>
      <w:tr w:rsidR="009C33F9" w:rsidRPr="009C33F9" w14:paraId="27E13BE5" w14:textId="77777777" w:rsidTr="009C33F9">
        <w:trPr>
          <w:trHeight w:val="1740"/>
        </w:trPr>
        <w:tc>
          <w:tcPr>
            <w:tcW w:w="1289" w:type="dxa"/>
            <w:tcBorders>
              <w:top w:val="nil"/>
              <w:left w:val="single" w:sz="4" w:space="0" w:color="auto"/>
              <w:bottom w:val="single" w:sz="4" w:space="0" w:color="auto"/>
              <w:right w:val="single" w:sz="4" w:space="0" w:color="auto"/>
            </w:tcBorders>
            <w:shd w:val="clear" w:color="auto" w:fill="auto"/>
            <w:hideMark/>
          </w:tcPr>
          <w:p w14:paraId="57428A8F"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lastRenderedPageBreak/>
              <w:t> </w:t>
            </w:r>
          </w:p>
        </w:tc>
        <w:tc>
          <w:tcPr>
            <w:tcW w:w="1405" w:type="dxa"/>
            <w:tcBorders>
              <w:top w:val="nil"/>
              <w:left w:val="nil"/>
              <w:bottom w:val="single" w:sz="4" w:space="0" w:color="auto"/>
              <w:right w:val="single" w:sz="4" w:space="0" w:color="auto"/>
            </w:tcBorders>
            <w:shd w:val="clear" w:color="auto" w:fill="auto"/>
            <w:vAlign w:val="center"/>
            <w:hideMark/>
          </w:tcPr>
          <w:p w14:paraId="2ECA769A"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Développer et renforcer les capacités de négociation, de suivi et de </w:t>
            </w:r>
            <w:proofErr w:type="gramStart"/>
            <w:r w:rsidRPr="009C33F9">
              <w:rPr>
                <w:rFonts w:asciiTheme="minorHAnsi" w:hAnsiTheme="minorHAnsi"/>
                <w:color w:val="000000"/>
                <w:sz w:val="16"/>
                <w:szCs w:val="16"/>
              </w:rPr>
              <w:t>contrôle  des</w:t>
            </w:r>
            <w:proofErr w:type="gramEnd"/>
            <w:r w:rsidRPr="009C33F9">
              <w:rPr>
                <w:rFonts w:asciiTheme="minorHAnsi" w:hAnsiTheme="minorHAnsi"/>
                <w:color w:val="000000"/>
                <w:sz w:val="16"/>
                <w:szCs w:val="16"/>
              </w:rPr>
              <w:t xml:space="preserve">  communautés hôtes des zones minières et pétrolières</w:t>
            </w:r>
          </w:p>
        </w:tc>
        <w:tc>
          <w:tcPr>
            <w:tcW w:w="1417" w:type="dxa"/>
            <w:tcBorders>
              <w:top w:val="nil"/>
              <w:left w:val="nil"/>
              <w:bottom w:val="single" w:sz="4" w:space="0" w:color="auto"/>
              <w:right w:val="single" w:sz="4" w:space="0" w:color="auto"/>
            </w:tcBorders>
            <w:shd w:val="clear" w:color="auto" w:fill="auto"/>
            <w:vAlign w:val="center"/>
            <w:hideMark/>
          </w:tcPr>
          <w:p w14:paraId="2834C5F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750 000   </w:t>
            </w:r>
          </w:p>
        </w:tc>
        <w:tc>
          <w:tcPr>
            <w:tcW w:w="1276" w:type="dxa"/>
            <w:tcBorders>
              <w:top w:val="nil"/>
              <w:left w:val="nil"/>
              <w:bottom w:val="single" w:sz="4" w:space="0" w:color="auto"/>
              <w:right w:val="single" w:sz="4" w:space="0" w:color="auto"/>
            </w:tcBorders>
            <w:shd w:val="clear" w:color="auto" w:fill="auto"/>
            <w:vAlign w:val="center"/>
            <w:hideMark/>
          </w:tcPr>
          <w:p w14:paraId="0B9A79C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03EAF3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FD4CEB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187 500   </w:t>
            </w:r>
          </w:p>
        </w:tc>
        <w:tc>
          <w:tcPr>
            <w:tcW w:w="1842" w:type="dxa"/>
            <w:tcBorders>
              <w:top w:val="nil"/>
              <w:left w:val="nil"/>
              <w:bottom w:val="single" w:sz="4" w:space="0" w:color="auto"/>
              <w:right w:val="single" w:sz="4" w:space="0" w:color="auto"/>
            </w:tcBorders>
            <w:shd w:val="clear" w:color="auto" w:fill="auto"/>
            <w:vAlign w:val="center"/>
            <w:hideMark/>
          </w:tcPr>
          <w:p w14:paraId="620AEE0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262 500   </w:t>
            </w:r>
          </w:p>
        </w:tc>
        <w:tc>
          <w:tcPr>
            <w:tcW w:w="1843" w:type="dxa"/>
            <w:tcBorders>
              <w:top w:val="nil"/>
              <w:left w:val="nil"/>
              <w:bottom w:val="single" w:sz="4" w:space="0" w:color="auto"/>
              <w:right w:val="single" w:sz="4" w:space="0" w:color="auto"/>
            </w:tcBorders>
            <w:shd w:val="clear" w:color="auto" w:fill="auto"/>
            <w:vAlign w:val="center"/>
            <w:hideMark/>
          </w:tcPr>
          <w:p w14:paraId="5859D76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300 000   </w:t>
            </w:r>
          </w:p>
        </w:tc>
        <w:tc>
          <w:tcPr>
            <w:tcW w:w="2693" w:type="dxa"/>
            <w:tcBorders>
              <w:top w:val="nil"/>
              <w:left w:val="nil"/>
              <w:bottom w:val="single" w:sz="4" w:space="0" w:color="auto"/>
              <w:right w:val="single" w:sz="4" w:space="0" w:color="auto"/>
            </w:tcBorders>
            <w:shd w:val="clear" w:color="auto" w:fill="auto"/>
            <w:vAlign w:val="center"/>
            <w:hideMark/>
          </w:tcPr>
          <w:p w14:paraId="09A8B2D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750 000   </w:t>
            </w:r>
          </w:p>
        </w:tc>
      </w:tr>
      <w:tr w:rsidR="009C33F9" w:rsidRPr="009C33F9" w14:paraId="618CA76A" w14:textId="77777777" w:rsidTr="009C33F9">
        <w:trPr>
          <w:trHeight w:val="1200"/>
        </w:trPr>
        <w:tc>
          <w:tcPr>
            <w:tcW w:w="1289" w:type="dxa"/>
            <w:tcBorders>
              <w:top w:val="nil"/>
              <w:left w:val="single" w:sz="4" w:space="0" w:color="auto"/>
              <w:bottom w:val="single" w:sz="4" w:space="0" w:color="auto"/>
              <w:right w:val="single" w:sz="4" w:space="0" w:color="auto"/>
            </w:tcBorders>
            <w:shd w:val="clear" w:color="auto" w:fill="auto"/>
            <w:hideMark/>
          </w:tcPr>
          <w:p w14:paraId="06C3819C"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154FE0BE"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Développer des stratégies de maximisation de la participation de l’Etat dans le capital des sociétés minières</w:t>
            </w:r>
          </w:p>
        </w:tc>
        <w:tc>
          <w:tcPr>
            <w:tcW w:w="1417" w:type="dxa"/>
            <w:tcBorders>
              <w:top w:val="nil"/>
              <w:left w:val="nil"/>
              <w:bottom w:val="single" w:sz="4" w:space="0" w:color="auto"/>
              <w:right w:val="single" w:sz="4" w:space="0" w:color="auto"/>
            </w:tcBorders>
            <w:shd w:val="clear" w:color="auto" w:fill="auto"/>
            <w:vAlign w:val="center"/>
            <w:hideMark/>
          </w:tcPr>
          <w:p w14:paraId="346D8CC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3 300 000   </w:t>
            </w:r>
          </w:p>
        </w:tc>
        <w:tc>
          <w:tcPr>
            <w:tcW w:w="1276" w:type="dxa"/>
            <w:tcBorders>
              <w:top w:val="nil"/>
              <w:left w:val="nil"/>
              <w:bottom w:val="single" w:sz="4" w:space="0" w:color="auto"/>
              <w:right w:val="single" w:sz="4" w:space="0" w:color="auto"/>
            </w:tcBorders>
            <w:shd w:val="clear" w:color="auto" w:fill="auto"/>
            <w:vAlign w:val="center"/>
            <w:hideMark/>
          </w:tcPr>
          <w:p w14:paraId="69BF5BA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D2C04E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4CC63AE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825 000   </w:t>
            </w:r>
          </w:p>
        </w:tc>
        <w:tc>
          <w:tcPr>
            <w:tcW w:w="1842" w:type="dxa"/>
            <w:tcBorders>
              <w:top w:val="nil"/>
              <w:left w:val="nil"/>
              <w:bottom w:val="single" w:sz="4" w:space="0" w:color="auto"/>
              <w:right w:val="single" w:sz="4" w:space="0" w:color="auto"/>
            </w:tcBorders>
            <w:shd w:val="clear" w:color="auto" w:fill="auto"/>
            <w:vAlign w:val="center"/>
            <w:hideMark/>
          </w:tcPr>
          <w:p w14:paraId="6BCEE0A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1 155 000   </w:t>
            </w:r>
          </w:p>
        </w:tc>
        <w:tc>
          <w:tcPr>
            <w:tcW w:w="1843" w:type="dxa"/>
            <w:tcBorders>
              <w:top w:val="nil"/>
              <w:left w:val="nil"/>
              <w:bottom w:val="single" w:sz="4" w:space="0" w:color="auto"/>
              <w:right w:val="single" w:sz="4" w:space="0" w:color="auto"/>
            </w:tcBorders>
            <w:shd w:val="clear" w:color="auto" w:fill="auto"/>
            <w:vAlign w:val="center"/>
            <w:hideMark/>
          </w:tcPr>
          <w:p w14:paraId="7A8E132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1 320 000   </w:t>
            </w:r>
          </w:p>
        </w:tc>
        <w:tc>
          <w:tcPr>
            <w:tcW w:w="2693" w:type="dxa"/>
            <w:tcBorders>
              <w:top w:val="nil"/>
              <w:left w:val="nil"/>
              <w:bottom w:val="single" w:sz="4" w:space="0" w:color="auto"/>
              <w:right w:val="single" w:sz="4" w:space="0" w:color="auto"/>
            </w:tcBorders>
            <w:shd w:val="clear" w:color="auto" w:fill="auto"/>
            <w:vAlign w:val="center"/>
            <w:hideMark/>
          </w:tcPr>
          <w:p w14:paraId="3780C18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3 300 000   </w:t>
            </w:r>
          </w:p>
        </w:tc>
      </w:tr>
      <w:tr w:rsidR="009C33F9" w:rsidRPr="009C33F9" w14:paraId="575A7A66" w14:textId="77777777" w:rsidTr="009C33F9">
        <w:trPr>
          <w:trHeight w:val="555"/>
        </w:trPr>
        <w:tc>
          <w:tcPr>
            <w:tcW w:w="1289" w:type="dxa"/>
            <w:tcBorders>
              <w:top w:val="nil"/>
              <w:left w:val="single" w:sz="4" w:space="0" w:color="auto"/>
              <w:bottom w:val="single" w:sz="4" w:space="0" w:color="auto"/>
              <w:right w:val="single" w:sz="4" w:space="0" w:color="auto"/>
            </w:tcBorders>
            <w:shd w:val="clear" w:color="auto" w:fill="auto"/>
            <w:vAlign w:val="center"/>
            <w:hideMark/>
          </w:tcPr>
          <w:p w14:paraId="6BFF6BC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Sous total axe 1</w:t>
            </w:r>
          </w:p>
        </w:tc>
        <w:tc>
          <w:tcPr>
            <w:tcW w:w="1405" w:type="dxa"/>
            <w:tcBorders>
              <w:top w:val="nil"/>
              <w:left w:val="nil"/>
              <w:bottom w:val="single" w:sz="4" w:space="0" w:color="auto"/>
              <w:right w:val="single" w:sz="4" w:space="0" w:color="auto"/>
            </w:tcBorders>
            <w:shd w:val="clear" w:color="auto" w:fill="auto"/>
            <w:vAlign w:val="center"/>
            <w:hideMark/>
          </w:tcPr>
          <w:p w14:paraId="40D62B60"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734ACE6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9 270 028   </w:t>
            </w:r>
          </w:p>
        </w:tc>
        <w:tc>
          <w:tcPr>
            <w:tcW w:w="1276" w:type="dxa"/>
            <w:tcBorders>
              <w:top w:val="nil"/>
              <w:left w:val="nil"/>
              <w:bottom w:val="single" w:sz="4" w:space="0" w:color="auto"/>
              <w:right w:val="single" w:sz="4" w:space="0" w:color="auto"/>
            </w:tcBorders>
            <w:shd w:val="clear" w:color="auto" w:fill="auto"/>
            <w:vAlign w:val="center"/>
            <w:hideMark/>
          </w:tcPr>
          <w:p w14:paraId="17DC242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3648A0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730FBA1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2 317 507   </w:t>
            </w:r>
          </w:p>
        </w:tc>
        <w:tc>
          <w:tcPr>
            <w:tcW w:w="1842" w:type="dxa"/>
            <w:tcBorders>
              <w:top w:val="nil"/>
              <w:left w:val="nil"/>
              <w:bottom w:val="single" w:sz="4" w:space="0" w:color="auto"/>
              <w:right w:val="single" w:sz="4" w:space="0" w:color="auto"/>
            </w:tcBorders>
            <w:shd w:val="clear" w:color="auto" w:fill="auto"/>
            <w:vAlign w:val="center"/>
            <w:hideMark/>
          </w:tcPr>
          <w:p w14:paraId="3D62909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3 244 510   </w:t>
            </w:r>
          </w:p>
        </w:tc>
        <w:tc>
          <w:tcPr>
            <w:tcW w:w="1843" w:type="dxa"/>
            <w:tcBorders>
              <w:top w:val="nil"/>
              <w:left w:val="nil"/>
              <w:bottom w:val="single" w:sz="4" w:space="0" w:color="auto"/>
              <w:right w:val="single" w:sz="4" w:space="0" w:color="auto"/>
            </w:tcBorders>
            <w:shd w:val="clear" w:color="auto" w:fill="auto"/>
            <w:vAlign w:val="center"/>
            <w:hideMark/>
          </w:tcPr>
          <w:p w14:paraId="0950FBE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3 708 011   </w:t>
            </w:r>
          </w:p>
        </w:tc>
        <w:tc>
          <w:tcPr>
            <w:tcW w:w="2693" w:type="dxa"/>
            <w:tcBorders>
              <w:top w:val="nil"/>
              <w:left w:val="nil"/>
              <w:bottom w:val="single" w:sz="4" w:space="0" w:color="auto"/>
              <w:right w:val="single" w:sz="4" w:space="0" w:color="auto"/>
            </w:tcBorders>
            <w:shd w:val="clear" w:color="auto" w:fill="auto"/>
            <w:vAlign w:val="center"/>
            <w:hideMark/>
          </w:tcPr>
          <w:p w14:paraId="02DC454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9 270 028   </w:t>
            </w:r>
          </w:p>
        </w:tc>
      </w:tr>
      <w:tr w:rsidR="009C33F9" w:rsidRPr="009C33F9" w14:paraId="0A3C1CEE" w14:textId="77777777" w:rsidTr="009C33F9">
        <w:trPr>
          <w:trHeight w:val="938"/>
        </w:trPr>
        <w:tc>
          <w:tcPr>
            <w:tcW w:w="1289" w:type="dxa"/>
            <w:vMerge w:val="restart"/>
            <w:tcBorders>
              <w:top w:val="nil"/>
              <w:left w:val="single" w:sz="4" w:space="0" w:color="auto"/>
              <w:bottom w:val="single" w:sz="4" w:space="0" w:color="auto"/>
              <w:right w:val="single" w:sz="4" w:space="0" w:color="auto"/>
            </w:tcBorders>
            <w:shd w:val="clear" w:color="auto" w:fill="auto"/>
            <w:vAlign w:val="bottom"/>
            <w:hideMark/>
          </w:tcPr>
          <w:p w14:paraId="45169172"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Axe Stratégique 2 : Système d’Information géo-scientifique : Doter le Mali d’une base et d’un système d’informations géo scientifiques performant, en vue d’une optimisation de l’exploitation du potentiel minier malien dans l’espace et dans le temps </w:t>
            </w:r>
          </w:p>
        </w:tc>
        <w:tc>
          <w:tcPr>
            <w:tcW w:w="1405" w:type="dxa"/>
            <w:tcBorders>
              <w:top w:val="nil"/>
              <w:left w:val="nil"/>
              <w:bottom w:val="single" w:sz="4" w:space="0" w:color="auto"/>
              <w:right w:val="single" w:sz="4" w:space="0" w:color="auto"/>
            </w:tcBorders>
            <w:shd w:val="clear" w:color="auto" w:fill="auto"/>
            <w:vAlign w:val="center"/>
            <w:hideMark/>
          </w:tcPr>
          <w:p w14:paraId="0DD68C99"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Poursuivre des travaux de recherche sur les gisements connus </w:t>
            </w:r>
          </w:p>
        </w:tc>
        <w:tc>
          <w:tcPr>
            <w:tcW w:w="1417" w:type="dxa"/>
            <w:tcBorders>
              <w:top w:val="nil"/>
              <w:left w:val="nil"/>
              <w:bottom w:val="single" w:sz="4" w:space="0" w:color="auto"/>
              <w:right w:val="single" w:sz="4" w:space="0" w:color="auto"/>
            </w:tcBorders>
            <w:shd w:val="clear" w:color="auto" w:fill="auto"/>
            <w:vAlign w:val="center"/>
            <w:hideMark/>
          </w:tcPr>
          <w:p w14:paraId="7ADC765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24 807 505   </w:t>
            </w:r>
          </w:p>
        </w:tc>
        <w:tc>
          <w:tcPr>
            <w:tcW w:w="1276" w:type="dxa"/>
            <w:tcBorders>
              <w:top w:val="nil"/>
              <w:left w:val="nil"/>
              <w:bottom w:val="single" w:sz="4" w:space="0" w:color="auto"/>
              <w:right w:val="single" w:sz="4" w:space="0" w:color="auto"/>
            </w:tcBorders>
            <w:shd w:val="clear" w:color="auto" w:fill="auto"/>
            <w:vAlign w:val="center"/>
            <w:hideMark/>
          </w:tcPr>
          <w:p w14:paraId="76B3C5C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9B6967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1CB832B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6 201 876   </w:t>
            </w:r>
          </w:p>
        </w:tc>
        <w:tc>
          <w:tcPr>
            <w:tcW w:w="1842" w:type="dxa"/>
            <w:tcBorders>
              <w:top w:val="nil"/>
              <w:left w:val="nil"/>
              <w:bottom w:val="single" w:sz="4" w:space="0" w:color="auto"/>
              <w:right w:val="single" w:sz="4" w:space="0" w:color="auto"/>
            </w:tcBorders>
            <w:shd w:val="clear" w:color="auto" w:fill="auto"/>
            <w:vAlign w:val="center"/>
            <w:hideMark/>
          </w:tcPr>
          <w:p w14:paraId="617E999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8 682 627   </w:t>
            </w:r>
          </w:p>
        </w:tc>
        <w:tc>
          <w:tcPr>
            <w:tcW w:w="1843" w:type="dxa"/>
            <w:tcBorders>
              <w:top w:val="nil"/>
              <w:left w:val="nil"/>
              <w:bottom w:val="single" w:sz="4" w:space="0" w:color="auto"/>
              <w:right w:val="single" w:sz="4" w:space="0" w:color="auto"/>
            </w:tcBorders>
            <w:shd w:val="clear" w:color="auto" w:fill="auto"/>
            <w:vAlign w:val="center"/>
            <w:hideMark/>
          </w:tcPr>
          <w:p w14:paraId="50D7A43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9 923 002   </w:t>
            </w:r>
          </w:p>
        </w:tc>
        <w:tc>
          <w:tcPr>
            <w:tcW w:w="2693" w:type="dxa"/>
            <w:tcBorders>
              <w:top w:val="nil"/>
              <w:left w:val="nil"/>
              <w:bottom w:val="single" w:sz="4" w:space="0" w:color="auto"/>
              <w:right w:val="single" w:sz="4" w:space="0" w:color="auto"/>
            </w:tcBorders>
            <w:shd w:val="clear" w:color="auto" w:fill="auto"/>
            <w:vAlign w:val="center"/>
            <w:hideMark/>
          </w:tcPr>
          <w:p w14:paraId="7BC3310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24 807 505   </w:t>
            </w:r>
          </w:p>
        </w:tc>
      </w:tr>
      <w:tr w:rsidR="009C33F9" w:rsidRPr="009C33F9" w14:paraId="2A994EFB" w14:textId="77777777" w:rsidTr="009C33F9">
        <w:trPr>
          <w:trHeight w:val="1043"/>
        </w:trPr>
        <w:tc>
          <w:tcPr>
            <w:tcW w:w="1289" w:type="dxa"/>
            <w:vMerge/>
            <w:tcBorders>
              <w:top w:val="nil"/>
              <w:left w:val="single" w:sz="4" w:space="0" w:color="auto"/>
              <w:bottom w:val="single" w:sz="4" w:space="0" w:color="auto"/>
              <w:right w:val="single" w:sz="4" w:space="0" w:color="auto"/>
            </w:tcBorders>
            <w:vAlign w:val="center"/>
            <w:hideMark/>
          </w:tcPr>
          <w:p w14:paraId="3F2E8C09" w14:textId="77777777" w:rsidR="009C33F9" w:rsidRPr="009C33F9" w:rsidRDefault="009C33F9" w:rsidP="009C33F9">
            <w:pPr>
              <w:rPr>
                <w:rFonts w:asciiTheme="minorHAnsi" w:hAnsiTheme="minorHAnsi"/>
                <w:color w:val="000000"/>
                <w:sz w:val="16"/>
                <w:szCs w:val="16"/>
              </w:rPr>
            </w:pPr>
          </w:p>
        </w:tc>
        <w:tc>
          <w:tcPr>
            <w:tcW w:w="1405" w:type="dxa"/>
            <w:tcBorders>
              <w:top w:val="nil"/>
              <w:left w:val="nil"/>
              <w:bottom w:val="single" w:sz="4" w:space="0" w:color="auto"/>
              <w:right w:val="single" w:sz="4" w:space="0" w:color="auto"/>
            </w:tcBorders>
            <w:shd w:val="clear" w:color="auto" w:fill="auto"/>
            <w:vAlign w:val="center"/>
            <w:hideMark/>
          </w:tcPr>
          <w:p w14:paraId="77BF0A3C"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Approfondir l’analyse des indices déjà mis en évidence </w:t>
            </w:r>
          </w:p>
        </w:tc>
        <w:tc>
          <w:tcPr>
            <w:tcW w:w="1417" w:type="dxa"/>
            <w:tcBorders>
              <w:top w:val="nil"/>
              <w:left w:val="nil"/>
              <w:bottom w:val="single" w:sz="4" w:space="0" w:color="auto"/>
              <w:right w:val="single" w:sz="4" w:space="0" w:color="auto"/>
            </w:tcBorders>
            <w:shd w:val="clear" w:color="auto" w:fill="auto"/>
            <w:vAlign w:val="center"/>
            <w:hideMark/>
          </w:tcPr>
          <w:p w14:paraId="76F89F3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12 044 000   </w:t>
            </w:r>
          </w:p>
        </w:tc>
        <w:tc>
          <w:tcPr>
            <w:tcW w:w="1276" w:type="dxa"/>
            <w:tcBorders>
              <w:top w:val="nil"/>
              <w:left w:val="nil"/>
              <w:bottom w:val="single" w:sz="4" w:space="0" w:color="auto"/>
              <w:right w:val="single" w:sz="4" w:space="0" w:color="auto"/>
            </w:tcBorders>
            <w:shd w:val="clear" w:color="auto" w:fill="auto"/>
            <w:vAlign w:val="center"/>
            <w:hideMark/>
          </w:tcPr>
          <w:p w14:paraId="3B02330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E6CE9E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1356835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3 011 000   </w:t>
            </w:r>
          </w:p>
        </w:tc>
        <w:tc>
          <w:tcPr>
            <w:tcW w:w="1842" w:type="dxa"/>
            <w:tcBorders>
              <w:top w:val="nil"/>
              <w:left w:val="nil"/>
              <w:bottom w:val="single" w:sz="4" w:space="0" w:color="auto"/>
              <w:right w:val="single" w:sz="4" w:space="0" w:color="auto"/>
            </w:tcBorders>
            <w:shd w:val="clear" w:color="auto" w:fill="auto"/>
            <w:vAlign w:val="center"/>
            <w:hideMark/>
          </w:tcPr>
          <w:p w14:paraId="78F93F1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4 215 400   </w:t>
            </w:r>
          </w:p>
        </w:tc>
        <w:tc>
          <w:tcPr>
            <w:tcW w:w="1843" w:type="dxa"/>
            <w:tcBorders>
              <w:top w:val="nil"/>
              <w:left w:val="nil"/>
              <w:bottom w:val="single" w:sz="4" w:space="0" w:color="auto"/>
              <w:right w:val="single" w:sz="4" w:space="0" w:color="auto"/>
            </w:tcBorders>
            <w:shd w:val="clear" w:color="auto" w:fill="auto"/>
            <w:vAlign w:val="center"/>
            <w:hideMark/>
          </w:tcPr>
          <w:p w14:paraId="0CF69F8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4 817 600   </w:t>
            </w:r>
          </w:p>
        </w:tc>
        <w:tc>
          <w:tcPr>
            <w:tcW w:w="2693" w:type="dxa"/>
            <w:tcBorders>
              <w:top w:val="nil"/>
              <w:left w:val="nil"/>
              <w:bottom w:val="single" w:sz="4" w:space="0" w:color="auto"/>
              <w:right w:val="single" w:sz="4" w:space="0" w:color="auto"/>
            </w:tcBorders>
            <w:shd w:val="clear" w:color="auto" w:fill="auto"/>
            <w:vAlign w:val="center"/>
            <w:hideMark/>
          </w:tcPr>
          <w:p w14:paraId="6C52412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12 044 000   </w:t>
            </w:r>
          </w:p>
        </w:tc>
      </w:tr>
      <w:tr w:rsidR="009C33F9" w:rsidRPr="009C33F9" w14:paraId="31752B9F" w14:textId="77777777" w:rsidTr="009C33F9">
        <w:trPr>
          <w:trHeight w:val="623"/>
        </w:trPr>
        <w:tc>
          <w:tcPr>
            <w:tcW w:w="1289" w:type="dxa"/>
            <w:vMerge/>
            <w:tcBorders>
              <w:top w:val="nil"/>
              <w:left w:val="single" w:sz="4" w:space="0" w:color="auto"/>
              <w:bottom w:val="single" w:sz="4" w:space="0" w:color="auto"/>
              <w:right w:val="single" w:sz="4" w:space="0" w:color="auto"/>
            </w:tcBorders>
            <w:vAlign w:val="center"/>
            <w:hideMark/>
          </w:tcPr>
          <w:p w14:paraId="5677AB74" w14:textId="77777777" w:rsidR="009C33F9" w:rsidRPr="009C33F9" w:rsidRDefault="009C33F9" w:rsidP="009C33F9">
            <w:pPr>
              <w:rPr>
                <w:rFonts w:asciiTheme="minorHAnsi" w:hAnsiTheme="minorHAnsi"/>
                <w:color w:val="000000"/>
                <w:sz w:val="16"/>
                <w:szCs w:val="16"/>
              </w:rPr>
            </w:pPr>
          </w:p>
        </w:tc>
        <w:tc>
          <w:tcPr>
            <w:tcW w:w="1405" w:type="dxa"/>
            <w:tcBorders>
              <w:top w:val="nil"/>
              <w:left w:val="nil"/>
              <w:bottom w:val="single" w:sz="4" w:space="0" w:color="auto"/>
              <w:right w:val="single" w:sz="4" w:space="0" w:color="auto"/>
            </w:tcBorders>
            <w:shd w:val="clear" w:color="auto" w:fill="auto"/>
            <w:vAlign w:val="center"/>
            <w:hideMark/>
          </w:tcPr>
          <w:p w14:paraId="47F96ACA"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Informatisation de l’information géologique</w:t>
            </w:r>
          </w:p>
        </w:tc>
        <w:tc>
          <w:tcPr>
            <w:tcW w:w="1417" w:type="dxa"/>
            <w:tcBorders>
              <w:top w:val="nil"/>
              <w:left w:val="nil"/>
              <w:bottom w:val="single" w:sz="4" w:space="0" w:color="auto"/>
              <w:right w:val="single" w:sz="4" w:space="0" w:color="auto"/>
            </w:tcBorders>
            <w:shd w:val="clear" w:color="auto" w:fill="auto"/>
            <w:vAlign w:val="center"/>
            <w:hideMark/>
          </w:tcPr>
          <w:p w14:paraId="4682A59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11 677 000   </w:t>
            </w:r>
          </w:p>
        </w:tc>
        <w:tc>
          <w:tcPr>
            <w:tcW w:w="1276" w:type="dxa"/>
            <w:tcBorders>
              <w:top w:val="nil"/>
              <w:left w:val="nil"/>
              <w:bottom w:val="single" w:sz="4" w:space="0" w:color="auto"/>
              <w:right w:val="single" w:sz="4" w:space="0" w:color="auto"/>
            </w:tcBorders>
            <w:shd w:val="clear" w:color="auto" w:fill="auto"/>
            <w:vAlign w:val="center"/>
            <w:hideMark/>
          </w:tcPr>
          <w:p w14:paraId="1D1691E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5E7354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11F4157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2 919 250   </w:t>
            </w:r>
          </w:p>
        </w:tc>
        <w:tc>
          <w:tcPr>
            <w:tcW w:w="1842" w:type="dxa"/>
            <w:tcBorders>
              <w:top w:val="nil"/>
              <w:left w:val="nil"/>
              <w:bottom w:val="single" w:sz="4" w:space="0" w:color="auto"/>
              <w:right w:val="single" w:sz="4" w:space="0" w:color="auto"/>
            </w:tcBorders>
            <w:shd w:val="clear" w:color="auto" w:fill="auto"/>
            <w:vAlign w:val="center"/>
            <w:hideMark/>
          </w:tcPr>
          <w:p w14:paraId="5BE8A8A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4 086 950   </w:t>
            </w:r>
          </w:p>
        </w:tc>
        <w:tc>
          <w:tcPr>
            <w:tcW w:w="1843" w:type="dxa"/>
            <w:tcBorders>
              <w:top w:val="nil"/>
              <w:left w:val="nil"/>
              <w:bottom w:val="single" w:sz="4" w:space="0" w:color="auto"/>
              <w:right w:val="single" w:sz="4" w:space="0" w:color="auto"/>
            </w:tcBorders>
            <w:shd w:val="clear" w:color="auto" w:fill="auto"/>
            <w:vAlign w:val="center"/>
            <w:hideMark/>
          </w:tcPr>
          <w:p w14:paraId="079A3B5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4 670 800   </w:t>
            </w:r>
          </w:p>
        </w:tc>
        <w:tc>
          <w:tcPr>
            <w:tcW w:w="2693" w:type="dxa"/>
            <w:tcBorders>
              <w:top w:val="nil"/>
              <w:left w:val="nil"/>
              <w:bottom w:val="single" w:sz="4" w:space="0" w:color="auto"/>
              <w:right w:val="single" w:sz="4" w:space="0" w:color="auto"/>
            </w:tcBorders>
            <w:shd w:val="clear" w:color="auto" w:fill="auto"/>
            <w:vAlign w:val="center"/>
            <w:hideMark/>
          </w:tcPr>
          <w:p w14:paraId="42E39FC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11 677 000   </w:t>
            </w:r>
          </w:p>
        </w:tc>
      </w:tr>
      <w:tr w:rsidR="009C33F9" w:rsidRPr="009C33F9" w14:paraId="70C8A2FD" w14:textId="77777777" w:rsidTr="009C33F9">
        <w:trPr>
          <w:trHeight w:val="855"/>
        </w:trPr>
        <w:tc>
          <w:tcPr>
            <w:tcW w:w="1289" w:type="dxa"/>
            <w:tcBorders>
              <w:top w:val="nil"/>
              <w:left w:val="single" w:sz="4" w:space="0" w:color="auto"/>
              <w:bottom w:val="single" w:sz="4" w:space="0" w:color="auto"/>
              <w:right w:val="single" w:sz="4" w:space="0" w:color="auto"/>
            </w:tcBorders>
            <w:shd w:val="clear" w:color="auto" w:fill="auto"/>
            <w:hideMark/>
          </w:tcPr>
          <w:p w14:paraId="7717518B"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Sous total axe 2</w:t>
            </w:r>
          </w:p>
        </w:tc>
        <w:tc>
          <w:tcPr>
            <w:tcW w:w="1405" w:type="dxa"/>
            <w:tcBorders>
              <w:top w:val="nil"/>
              <w:left w:val="nil"/>
              <w:bottom w:val="single" w:sz="4" w:space="0" w:color="auto"/>
              <w:right w:val="single" w:sz="4" w:space="0" w:color="auto"/>
            </w:tcBorders>
            <w:shd w:val="clear" w:color="auto" w:fill="auto"/>
            <w:vAlign w:val="center"/>
            <w:hideMark/>
          </w:tcPr>
          <w:p w14:paraId="54A03915"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21BAB09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48 528 505   </w:t>
            </w:r>
          </w:p>
        </w:tc>
        <w:tc>
          <w:tcPr>
            <w:tcW w:w="1276" w:type="dxa"/>
            <w:tcBorders>
              <w:top w:val="nil"/>
              <w:left w:val="nil"/>
              <w:bottom w:val="single" w:sz="4" w:space="0" w:color="auto"/>
              <w:right w:val="single" w:sz="4" w:space="0" w:color="auto"/>
            </w:tcBorders>
            <w:shd w:val="clear" w:color="auto" w:fill="auto"/>
            <w:vAlign w:val="center"/>
            <w:hideMark/>
          </w:tcPr>
          <w:p w14:paraId="1214B7FE"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FE354C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0F38376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12 132 126   </w:t>
            </w:r>
          </w:p>
        </w:tc>
        <w:tc>
          <w:tcPr>
            <w:tcW w:w="1842" w:type="dxa"/>
            <w:tcBorders>
              <w:top w:val="nil"/>
              <w:left w:val="nil"/>
              <w:bottom w:val="single" w:sz="4" w:space="0" w:color="auto"/>
              <w:right w:val="single" w:sz="4" w:space="0" w:color="auto"/>
            </w:tcBorders>
            <w:shd w:val="clear" w:color="auto" w:fill="auto"/>
            <w:vAlign w:val="center"/>
            <w:hideMark/>
          </w:tcPr>
          <w:p w14:paraId="7AB22D7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16 984 977   </w:t>
            </w:r>
          </w:p>
        </w:tc>
        <w:tc>
          <w:tcPr>
            <w:tcW w:w="1843" w:type="dxa"/>
            <w:tcBorders>
              <w:top w:val="nil"/>
              <w:left w:val="nil"/>
              <w:bottom w:val="single" w:sz="4" w:space="0" w:color="auto"/>
              <w:right w:val="single" w:sz="4" w:space="0" w:color="auto"/>
            </w:tcBorders>
            <w:shd w:val="clear" w:color="auto" w:fill="auto"/>
            <w:vAlign w:val="center"/>
            <w:hideMark/>
          </w:tcPr>
          <w:p w14:paraId="208790F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19 411 402   </w:t>
            </w:r>
          </w:p>
        </w:tc>
        <w:tc>
          <w:tcPr>
            <w:tcW w:w="2693" w:type="dxa"/>
            <w:tcBorders>
              <w:top w:val="nil"/>
              <w:left w:val="nil"/>
              <w:bottom w:val="single" w:sz="4" w:space="0" w:color="auto"/>
              <w:right w:val="single" w:sz="4" w:space="0" w:color="auto"/>
            </w:tcBorders>
            <w:shd w:val="clear" w:color="auto" w:fill="auto"/>
            <w:vAlign w:val="center"/>
            <w:hideMark/>
          </w:tcPr>
          <w:p w14:paraId="0BD1201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48 528 505   </w:t>
            </w:r>
          </w:p>
        </w:tc>
      </w:tr>
      <w:tr w:rsidR="009C33F9" w:rsidRPr="009C33F9" w14:paraId="1F5FD24B" w14:textId="77777777" w:rsidTr="009C33F9">
        <w:trPr>
          <w:trHeight w:val="1718"/>
        </w:trPr>
        <w:tc>
          <w:tcPr>
            <w:tcW w:w="1289" w:type="dxa"/>
            <w:vMerge w:val="restart"/>
            <w:tcBorders>
              <w:top w:val="nil"/>
              <w:left w:val="single" w:sz="4" w:space="0" w:color="auto"/>
              <w:bottom w:val="single" w:sz="4" w:space="0" w:color="auto"/>
              <w:right w:val="single" w:sz="4" w:space="0" w:color="auto"/>
            </w:tcBorders>
            <w:shd w:val="clear" w:color="auto" w:fill="auto"/>
            <w:vAlign w:val="bottom"/>
            <w:hideMark/>
          </w:tcPr>
          <w:p w14:paraId="5C21AA3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lastRenderedPageBreak/>
              <w:t>Axe stratégique 3</w:t>
            </w:r>
            <w:r w:rsidRPr="009C33F9">
              <w:rPr>
                <w:rFonts w:asciiTheme="minorHAnsi" w:hAnsiTheme="minorHAnsi"/>
                <w:color w:val="000000"/>
                <w:sz w:val="16"/>
                <w:szCs w:val="16"/>
              </w:rPr>
              <w:t xml:space="preserve"> : </w:t>
            </w:r>
            <w:r w:rsidRPr="009C33F9">
              <w:rPr>
                <w:rFonts w:asciiTheme="minorHAnsi" w:hAnsiTheme="minorHAnsi"/>
                <w:b/>
                <w:bCs/>
                <w:color w:val="000000"/>
                <w:sz w:val="16"/>
                <w:szCs w:val="16"/>
              </w:rPr>
              <w:t>Infrastructures</w:t>
            </w:r>
            <w:r w:rsidRPr="009C33F9">
              <w:rPr>
                <w:rFonts w:asciiTheme="minorHAnsi" w:hAnsiTheme="minorHAnsi"/>
                <w:color w:val="000000"/>
                <w:sz w:val="16"/>
                <w:szCs w:val="16"/>
              </w:rPr>
              <w:t> : Doter le Mali d’infrastructures de base (pour mémoire)</w:t>
            </w:r>
            <w:r w:rsidRPr="009C33F9">
              <w:rPr>
                <w:rFonts w:asciiTheme="minorHAnsi" w:hAnsiTheme="minorHAnsi"/>
                <w:color w:val="000000"/>
                <w:sz w:val="16"/>
                <w:szCs w:val="16"/>
              </w:rPr>
              <w:br/>
              <w:t>nécessaires à la mise en œuvre de sa nouvelle</w:t>
            </w:r>
            <w:r w:rsidRPr="009C33F9">
              <w:rPr>
                <w:rFonts w:asciiTheme="minorHAnsi" w:hAnsiTheme="minorHAnsi"/>
                <w:color w:val="000000"/>
                <w:sz w:val="16"/>
                <w:szCs w:val="16"/>
              </w:rPr>
              <w:br/>
              <w:t>vision et au développement de son secteur</w:t>
            </w:r>
            <w:r w:rsidRPr="009C33F9">
              <w:rPr>
                <w:rFonts w:asciiTheme="minorHAnsi" w:hAnsiTheme="minorHAnsi"/>
                <w:color w:val="000000"/>
                <w:sz w:val="16"/>
                <w:szCs w:val="16"/>
              </w:rPr>
              <w:br/>
              <w:t>minier et pétrolier et le développement</w:t>
            </w:r>
            <w:r w:rsidRPr="009C33F9">
              <w:rPr>
                <w:rFonts w:asciiTheme="minorHAnsi" w:hAnsiTheme="minorHAnsi"/>
                <w:color w:val="000000"/>
                <w:sz w:val="16"/>
                <w:szCs w:val="16"/>
              </w:rPr>
              <w:br/>
              <w:t xml:space="preserve">socioéconomique en général </w:t>
            </w:r>
          </w:p>
        </w:tc>
        <w:tc>
          <w:tcPr>
            <w:tcW w:w="1405" w:type="dxa"/>
            <w:tcBorders>
              <w:top w:val="nil"/>
              <w:left w:val="nil"/>
              <w:bottom w:val="single" w:sz="4" w:space="0" w:color="auto"/>
              <w:right w:val="single" w:sz="4" w:space="0" w:color="auto"/>
            </w:tcBorders>
            <w:shd w:val="clear" w:color="auto" w:fill="auto"/>
            <w:vAlign w:val="center"/>
            <w:hideMark/>
          </w:tcPr>
          <w:p w14:paraId="128ACB08"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Mettre progressivement à niveau les infrastructures énergétiques par rapport aux besoins de la vision et de la stratégie minière nationale</w:t>
            </w:r>
          </w:p>
        </w:tc>
        <w:tc>
          <w:tcPr>
            <w:tcW w:w="1417" w:type="dxa"/>
            <w:tcBorders>
              <w:top w:val="nil"/>
              <w:left w:val="nil"/>
              <w:bottom w:val="single" w:sz="4" w:space="0" w:color="auto"/>
              <w:right w:val="single" w:sz="4" w:space="0" w:color="auto"/>
            </w:tcBorders>
            <w:shd w:val="clear" w:color="auto" w:fill="auto"/>
            <w:vAlign w:val="center"/>
            <w:hideMark/>
          </w:tcPr>
          <w:p w14:paraId="719BB25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D15BBE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5D64FFB"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49C7198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1842" w:type="dxa"/>
            <w:tcBorders>
              <w:top w:val="nil"/>
              <w:left w:val="nil"/>
              <w:bottom w:val="single" w:sz="4" w:space="0" w:color="auto"/>
              <w:right w:val="single" w:sz="4" w:space="0" w:color="auto"/>
            </w:tcBorders>
            <w:shd w:val="clear" w:color="auto" w:fill="auto"/>
            <w:vAlign w:val="center"/>
            <w:hideMark/>
          </w:tcPr>
          <w:p w14:paraId="762B964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14:paraId="0131F9A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2693" w:type="dxa"/>
            <w:tcBorders>
              <w:top w:val="nil"/>
              <w:left w:val="nil"/>
              <w:bottom w:val="single" w:sz="4" w:space="0" w:color="auto"/>
              <w:right w:val="single" w:sz="4" w:space="0" w:color="auto"/>
            </w:tcBorders>
            <w:shd w:val="clear" w:color="auto" w:fill="auto"/>
            <w:vAlign w:val="center"/>
            <w:hideMark/>
          </w:tcPr>
          <w:p w14:paraId="7542D12E"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r>
      <w:tr w:rsidR="009C33F9" w:rsidRPr="009C33F9" w14:paraId="6E60FFDF" w14:textId="77777777" w:rsidTr="009C33F9">
        <w:trPr>
          <w:trHeight w:val="1845"/>
        </w:trPr>
        <w:tc>
          <w:tcPr>
            <w:tcW w:w="1289" w:type="dxa"/>
            <w:vMerge/>
            <w:tcBorders>
              <w:top w:val="nil"/>
              <w:left w:val="single" w:sz="4" w:space="0" w:color="auto"/>
              <w:bottom w:val="single" w:sz="4" w:space="0" w:color="auto"/>
              <w:right w:val="single" w:sz="4" w:space="0" w:color="auto"/>
            </w:tcBorders>
            <w:vAlign w:val="center"/>
            <w:hideMark/>
          </w:tcPr>
          <w:p w14:paraId="3A133A93" w14:textId="77777777" w:rsidR="009C33F9" w:rsidRPr="009C33F9" w:rsidRDefault="009C33F9" w:rsidP="009C33F9">
            <w:pPr>
              <w:rPr>
                <w:rFonts w:asciiTheme="minorHAnsi" w:hAnsiTheme="minorHAnsi"/>
                <w:b/>
                <w:bCs/>
                <w:color w:val="000000"/>
                <w:sz w:val="16"/>
                <w:szCs w:val="16"/>
              </w:rPr>
            </w:pPr>
          </w:p>
        </w:tc>
        <w:tc>
          <w:tcPr>
            <w:tcW w:w="1405" w:type="dxa"/>
            <w:tcBorders>
              <w:top w:val="nil"/>
              <w:left w:val="nil"/>
              <w:bottom w:val="single" w:sz="4" w:space="0" w:color="auto"/>
              <w:right w:val="single" w:sz="4" w:space="0" w:color="auto"/>
            </w:tcBorders>
            <w:shd w:val="clear" w:color="auto" w:fill="auto"/>
            <w:vAlign w:val="center"/>
            <w:hideMark/>
          </w:tcPr>
          <w:p w14:paraId="0EBADD24"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Impliquer le secteur privé dans la mise en œuvre des projets d’infrastructures en favorisant une approche PPP (Partenariat Public Privé).</w:t>
            </w:r>
          </w:p>
        </w:tc>
        <w:tc>
          <w:tcPr>
            <w:tcW w:w="1417" w:type="dxa"/>
            <w:tcBorders>
              <w:top w:val="nil"/>
              <w:left w:val="nil"/>
              <w:bottom w:val="single" w:sz="4" w:space="0" w:color="auto"/>
              <w:right w:val="single" w:sz="4" w:space="0" w:color="auto"/>
            </w:tcBorders>
            <w:shd w:val="clear" w:color="auto" w:fill="auto"/>
            <w:vAlign w:val="center"/>
            <w:hideMark/>
          </w:tcPr>
          <w:p w14:paraId="31C2695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A5048D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505FFF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123AA87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1842" w:type="dxa"/>
            <w:tcBorders>
              <w:top w:val="nil"/>
              <w:left w:val="nil"/>
              <w:bottom w:val="single" w:sz="4" w:space="0" w:color="auto"/>
              <w:right w:val="single" w:sz="4" w:space="0" w:color="auto"/>
            </w:tcBorders>
            <w:shd w:val="clear" w:color="auto" w:fill="auto"/>
            <w:vAlign w:val="center"/>
            <w:hideMark/>
          </w:tcPr>
          <w:p w14:paraId="6F5D940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14:paraId="7403BBB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2693" w:type="dxa"/>
            <w:tcBorders>
              <w:top w:val="nil"/>
              <w:left w:val="nil"/>
              <w:bottom w:val="single" w:sz="4" w:space="0" w:color="auto"/>
              <w:right w:val="single" w:sz="4" w:space="0" w:color="auto"/>
            </w:tcBorders>
            <w:shd w:val="clear" w:color="auto" w:fill="auto"/>
            <w:vAlign w:val="center"/>
            <w:hideMark/>
          </w:tcPr>
          <w:p w14:paraId="4E45FF5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r>
      <w:tr w:rsidR="009C33F9" w:rsidRPr="009C33F9" w14:paraId="0FFEB5D1" w14:textId="77777777" w:rsidTr="009C33F9">
        <w:trPr>
          <w:trHeight w:val="612"/>
        </w:trPr>
        <w:tc>
          <w:tcPr>
            <w:tcW w:w="1289" w:type="dxa"/>
            <w:tcBorders>
              <w:top w:val="nil"/>
              <w:left w:val="single" w:sz="4" w:space="0" w:color="auto"/>
              <w:bottom w:val="single" w:sz="4" w:space="0" w:color="auto"/>
              <w:right w:val="single" w:sz="4" w:space="0" w:color="auto"/>
            </w:tcBorders>
            <w:shd w:val="clear" w:color="auto" w:fill="auto"/>
            <w:hideMark/>
          </w:tcPr>
          <w:p w14:paraId="1A44FD5C"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Sous total axe 3</w:t>
            </w:r>
          </w:p>
        </w:tc>
        <w:tc>
          <w:tcPr>
            <w:tcW w:w="1405" w:type="dxa"/>
            <w:tcBorders>
              <w:top w:val="nil"/>
              <w:left w:val="nil"/>
              <w:bottom w:val="single" w:sz="4" w:space="0" w:color="auto"/>
              <w:right w:val="single" w:sz="4" w:space="0" w:color="auto"/>
            </w:tcBorders>
            <w:shd w:val="clear" w:color="auto" w:fill="auto"/>
            <w:vAlign w:val="center"/>
            <w:hideMark/>
          </w:tcPr>
          <w:p w14:paraId="63B862E6"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33B6FF6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0E70D0D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90860F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717D62B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1842" w:type="dxa"/>
            <w:tcBorders>
              <w:top w:val="nil"/>
              <w:left w:val="nil"/>
              <w:bottom w:val="single" w:sz="4" w:space="0" w:color="auto"/>
              <w:right w:val="single" w:sz="4" w:space="0" w:color="auto"/>
            </w:tcBorders>
            <w:shd w:val="clear" w:color="auto" w:fill="auto"/>
            <w:vAlign w:val="center"/>
            <w:hideMark/>
          </w:tcPr>
          <w:p w14:paraId="7240BEA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14:paraId="38DFD5AE"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2693" w:type="dxa"/>
            <w:tcBorders>
              <w:top w:val="nil"/>
              <w:left w:val="nil"/>
              <w:bottom w:val="single" w:sz="4" w:space="0" w:color="auto"/>
              <w:right w:val="single" w:sz="4" w:space="0" w:color="auto"/>
            </w:tcBorders>
            <w:shd w:val="clear" w:color="auto" w:fill="auto"/>
            <w:vAlign w:val="center"/>
            <w:hideMark/>
          </w:tcPr>
          <w:p w14:paraId="7E153E2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r>
      <w:tr w:rsidR="009C33F9" w:rsidRPr="009C33F9" w14:paraId="03897EF7" w14:textId="77777777" w:rsidTr="009C33F9">
        <w:trPr>
          <w:trHeight w:val="3135"/>
        </w:trPr>
        <w:tc>
          <w:tcPr>
            <w:tcW w:w="1289" w:type="dxa"/>
            <w:tcBorders>
              <w:top w:val="nil"/>
              <w:left w:val="single" w:sz="4" w:space="0" w:color="auto"/>
              <w:bottom w:val="single" w:sz="4" w:space="0" w:color="auto"/>
              <w:right w:val="single" w:sz="4" w:space="0" w:color="auto"/>
            </w:tcBorders>
            <w:shd w:val="clear" w:color="auto" w:fill="auto"/>
            <w:vAlign w:val="bottom"/>
            <w:hideMark/>
          </w:tcPr>
          <w:p w14:paraId="3991BD6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Axe stratégique 4 : Organisation et encadrement de l’Orpaillage : Organiser et encadrer le secteur de l’orpaillage pour un meilleur respect des réglementations et normes ainsi que la préservation du bien-être des acteurs locaux et des populations </w:t>
            </w:r>
          </w:p>
        </w:tc>
        <w:tc>
          <w:tcPr>
            <w:tcW w:w="1405" w:type="dxa"/>
            <w:tcBorders>
              <w:top w:val="nil"/>
              <w:left w:val="nil"/>
              <w:bottom w:val="single" w:sz="4" w:space="0" w:color="auto"/>
              <w:right w:val="single" w:sz="4" w:space="0" w:color="auto"/>
            </w:tcBorders>
            <w:shd w:val="clear" w:color="auto" w:fill="auto"/>
            <w:vAlign w:val="center"/>
            <w:hideMark/>
          </w:tcPr>
          <w:p w14:paraId="271C3E9C"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Recenser les opérateurs miniers traditionnels </w:t>
            </w:r>
          </w:p>
        </w:tc>
        <w:tc>
          <w:tcPr>
            <w:tcW w:w="1417" w:type="dxa"/>
            <w:tcBorders>
              <w:top w:val="nil"/>
              <w:left w:val="nil"/>
              <w:bottom w:val="single" w:sz="4" w:space="0" w:color="auto"/>
              <w:right w:val="single" w:sz="4" w:space="0" w:color="auto"/>
            </w:tcBorders>
            <w:shd w:val="clear" w:color="auto" w:fill="auto"/>
            <w:vAlign w:val="center"/>
            <w:hideMark/>
          </w:tcPr>
          <w:p w14:paraId="019ABBD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200 000   </w:t>
            </w:r>
          </w:p>
        </w:tc>
        <w:tc>
          <w:tcPr>
            <w:tcW w:w="1276" w:type="dxa"/>
            <w:tcBorders>
              <w:top w:val="nil"/>
              <w:left w:val="nil"/>
              <w:bottom w:val="single" w:sz="4" w:space="0" w:color="auto"/>
              <w:right w:val="single" w:sz="4" w:space="0" w:color="auto"/>
            </w:tcBorders>
            <w:shd w:val="clear" w:color="auto" w:fill="auto"/>
            <w:vAlign w:val="center"/>
            <w:hideMark/>
          </w:tcPr>
          <w:p w14:paraId="2825FB4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425C58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4816F51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50 000   </w:t>
            </w:r>
          </w:p>
        </w:tc>
        <w:tc>
          <w:tcPr>
            <w:tcW w:w="1842" w:type="dxa"/>
            <w:tcBorders>
              <w:top w:val="nil"/>
              <w:left w:val="nil"/>
              <w:bottom w:val="single" w:sz="4" w:space="0" w:color="auto"/>
              <w:right w:val="single" w:sz="4" w:space="0" w:color="auto"/>
            </w:tcBorders>
            <w:shd w:val="clear" w:color="auto" w:fill="auto"/>
            <w:vAlign w:val="center"/>
            <w:hideMark/>
          </w:tcPr>
          <w:p w14:paraId="33C541E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70 000   </w:t>
            </w:r>
          </w:p>
        </w:tc>
        <w:tc>
          <w:tcPr>
            <w:tcW w:w="1843" w:type="dxa"/>
            <w:tcBorders>
              <w:top w:val="nil"/>
              <w:left w:val="nil"/>
              <w:bottom w:val="single" w:sz="4" w:space="0" w:color="auto"/>
              <w:right w:val="single" w:sz="4" w:space="0" w:color="auto"/>
            </w:tcBorders>
            <w:shd w:val="clear" w:color="auto" w:fill="auto"/>
            <w:vAlign w:val="center"/>
            <w:hideMark/>
          </w:tcPr>
          <w:p w14:paraId="317D3C5E"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80 000   </w:t>
            </w:r>
          </w:p>
        </w:tc>
        <w:tc>
          <w:tcPr>
            <w:tcW w:w="2693" w:type="dxa"/>
            <w:tcBorders>
              <w:top w:val="nil"/>
              <w:left w:val="nil"/>
              <w:bottom w:val="single" w:sz="4" w:space="0" w:color="auto"/>
              <w:right w:val="single" w:sz="4" w:space="0" w:color="auto"/>
            </w:tcBorders>
            <w:shd w:val="clear" w:color="auto" w:fill="auto"/>
            <w:vAlign w:val="center"/>
            <w:hideMark/>
          </w:tcPr>
          <w:p w14:paraId="2C819DA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200 000   </w:t>
            </w:r>
          </w:p>
        </w:tc>
      </w:tr>
      <w:tr w:rsidR="009C33F9" w:rsidRPr="009C33F9" w14:paraId="101E60A1" w14:textId="77777777" w:rsidTr="009C33F9">
        <w:trPr>
          <w:trHeight w:val="1185"/>
        </w:trPr>
        <w:tc>
          <w:tcPr>
            <w:tcW w:w="1289" w:type="dxa"/>
            <w:tcBorders>
              <w:top w:val="nil"/>
              <w:left w:val="single" w:sz="4" w:space="0" w:color="auto"/>
              <w:bottom w:val="single" w:sz="4" w:space="0" w:color="auto"/>
              <w:right w:val="single" w:sz="4" w:space="0" w:color="auto"/>
            </w:tcBorders>
            <w:shd w:val="clear" w:color="auto" w:fill="auto"/>
            <w:vAlign w:val="bottom"/>
            <w:hideMark/>
          </w:tcPr>
          <w:p w14:paraId="4CD869C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255FAD6C"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Rendre disponible et mieux gérer les couloirs d’orpaillage afin de réduire les conflits potentiels entre exploitants traditionnels et </w:t>
            </w:r>
            <w:r w:rsidRPr="009C33F9">
              <w:rPr>
                <w:rFonts w:asciiTheme="minorHAnsi" w:hAnsiTheme="minorHAnsi"/>
                <w:color w:val="000000"/>
                <w:sz w:val="16"/>
                <w:szCs w:val="16"/>
              </w:rPr>
              <w:lastRenderedPageBreak/>
              <w:t>opérateurs industriels</w:t>
            </w:r>
          </w:p>
        </w:tc>
        <w:tc>
          <w:tcPr>
            <w:tcW w:w="1417" w:type="dxa"/>
            <w:tcBorders>
              <w:top w:val="nil"/>
              <w:left w:val="nil"/>
              <w:bottom w:val="single" w:sz="4" w:space="0" w:color="auto"/>
              <w:right w:val="single" w:sz="4" w:space="0" w:color="auto"/>
            </w:tcBorders>
            <w:shd w:val="clear" w:color="auto" w:fill="auto"/>
            <w:vAlign w:val="center"/>
            <w:hideMark/>
          </w:tcPr>
          <w:p w14:paraId="628CDACE"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lastRenderedPageBreak/>
              <w:t xml:space="preserve">            410 400   </w:t>
            </w:r>
          </w:p>
        </w:tc>
        <w:tc>
          <w:tcPr>
            <w:tcW w:w="1276" w:type="dxa"/>
            <w:tcBorders>
              <w:top w:val="nil"/>
              <w:left w:val="nil"/>
              <w:bottom w:val="single" w:sz="4" w:space="0" w:color="auto"/>
              <w:right w:val="single" w:sz="4" w:space="0" w:color="auto"/>
            </w:tcBorders>
            <w:shd w:val="clear" w:color="auto" w:fill="auto"/>
            <w:vAlign w:val="center"/>
            <w:hideMark/>
          </w:tcPr>
          <w:p w14:paraId="50B2F11E"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BD8F56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4D4B1A4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102 600   </w:t>
            </w:r>
          </w:p>
        </w:tc>
        <w:tc>
          <w:tcPr>
            <w:tcW w:w="1842" w:type="dxa"/>
            <w:tcBorders>
              <w:top w:val="nil"/>
              <w:left w:val="nil"/>
              <w:bottom w:val="single" w:sz="4" w:space="0" w:color="auto"/>
              <w:right w:val="single" w:sz="4" w:space="0" w:color="auto"/>
            </w:tcBorders>
            <w:shd w:val="clear" w:color="auto" w:fill="auto"/>
            <w:vAlign w:val="center"/>
            <w:hideMark/>
          </w:tcPr>
          <w:p w14:paraId="553CEA7E"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143 640   </w:t>
            </w:r>
          </w:p>
        </w:tc>
        <w:tc>
          <w:tcPr>
            <w:tcW w:w="1843" w:type="dxa"/>
            <w:tcBorders>
              <w:top w:val="nil"/>
              <w:left w:val="nil"/>
              <w:bottom w:val="single" w:sz="4" w:space="0" w:color="auto"/>
              <w:right w:val="single" w:sz="4" w:space="0" w:color="auto"/>
            </w:tcBorders>
            <w:shd w:val="clear" w:color="auto" w:fill="auto"/>
            <w:vAlign w:val="center"/>
            <w:hideMark/>
          </w:tcPr>
          <w:p w14:paraId="1CFCBA8B"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164 160   </w:t>
            </w:r>
          </w:p>
        </w:tc>
        <w:tc>
          <w:tcPr>
            <w:tcW w:w="2693" w:type="dxa"/>
            <w:tcBorders>
              <w:top w:val="nil"/>
              <w:left w:val="nil"/>
              <w:bottom w:val="single" w:sz="4" w:space="0" w:color="auto"/>
              <w:right w:val="single" w:sz="4" w:space="0" w:color="auto"/>
            </w:tcBorders>
            <w:shd w:val="clear" w:color="auto" w:fill="auto"/>
            <w:vAlign w:val="center"/>
            <w:hideMark/>
          </w:tcPr>
          <w:p w14:paraId="268D270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410 400   </w:t>
            </w:r>
          </w:p>
        </w:tc>
      </w:tr>
      <w:tr w:rsidR="009C33F9" w:rsidRPr="009C33F9" w14:paraId="321A8E18" w14:textId="77777777" w:rsidTr="009C33F9">
        <w:trPr>
          <w:trHeight w:val="2112"/>
        </w:trPr>
        <w:tc>
          <w:tcPr>
            <w:tcW w:w="1289" w:type="dxa"/>
            <w:tcBorders>
              <w:top w:val="nil"/>
              <w:left w:val="single" w:sz="4" w:space="0" w:color="auto"/>
              <w:bottom w:val="single" w:sz="4" w:space="0" w:color="auto"/>
              <w:right w:val="single" w:sz="4" w:space="0" w:color="auto"/>
            </w:tcBorders>
            <w:shd w:val="clear" w:color="auto" w:fill="auto"/>
            <w:vAlign w:val="bottom"/>
            <w:hideMark/>
          </w:tcPr>
          <w:p w14:paraId="786DBF5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2552C8BF"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Mettre en œuvre de programmes d’information et de sensibilisation sur les enjeux individuels et communautaires et sur l’importance du respect des règlements en vigueur (y compris la fiscalité), des normes et de l’écosystème</w:t>
            </w:r>
          </w:p>
        </w:tc>
        <w:tc>
          <w:tcPr>
            <w:tcW w:w="1417" w:type="dxa"/>
            <w:tcBorders>
              <w:top w:val="nil"/>
              <w:left w:val="nil"/>
              <w:bottom w:val="single" w:sz="4" w:space="0" w:color="auto"/>
              <w:right w:val="single" w:sz="4" w:space="0" w:color="auto"/>
            </w:tcBorders>
            <w:shd w:val="clear" w:color="auto" w:fill="auto"/>
            <w:vAlign w:val="center"/>
            <w:hideMark/>
          </w:tcPr>
          <w:p w14:paraId="73EC145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1 010 900   </w:t>
            </w:r>
          </w:p>
        </w:tc>
        <w:tc>
          <w:tcPr>
            <w:tcW w:w="1276" w:type="dxa"/>
            <w:tcBorders>
              <w:top w:val="nil"/>
              <w:left w:val="nil"/>
              <w:bottom w:val="single" w:sz="4" w:space="0" w:color="auto"/>
              <w:right w:val="single" w:sz="4" w:space="0" w:color="auto"/>
            </w:tcBorders>
            <w:shd w:val="clear" w:color="auto" w:fill="auto"/>
            <w:vAlign w:val="center"/>
            <w:hideMark/>
          </w:tcPr>
          <w:p w14:paraId="42D515F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03B9505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774D0E9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252 725   </w:t>
            </w:r>
          </w:p>
        </w:tc>
        <w:tc>
          <w:tcPr>
            <w:tcW w:w="1842" w:type="dxa"/>
            <w:tcBorders>
              <w:top w:val="nil"/>
              <w:left w:val="nil"/>
              <w:bottom w:val="single" w:sz="4" w:space="0" w:color="auto"/>
              <w:right w:val="single" w:sz="4" w:space="0" w:color="auto"/>
            </w:tcBorders>
            <w:shd w:val="clear" w:color="auto" w:fill="auto"/>
            <w:vAlign w:val="center"/>
            <w:hideMark/>
          </w:tcPr>
          <w:p w14:paraId="6235E55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353 815   </w:t>
            </w:r>
          </w:p>
        </w:tc>
        <w:tc>
          <w:tcPr>
            <w:tcW w:w="1843" w:type="dxa"/>
            <w:tcBorders>
              <w:top w:val="nil"/>
              <w:left w:val="nil"/>
              <w:bottom w:val="single" w:sz="4" w:space="0" w:color="auto"/>
              <w:right w:val="single" w:sz="4" w:space="0" w:color="auto"/>
            </w:tcBorders>
            <w:shd w:val="clear" w:color="auto" w:fill="auto"/>
            <w:vAlign w:val="center"/>
            <w:hideMark/>
          </w:tcPr>
          <w:p w14:paraId="48ACFC4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404 360   </w:t>
            </w:r>
          </w:p>
        </w:tc>
        <w:tc>
          <w:tcPr>
            <w:tcW w:w="2693" w:type="dxa"/>
            <w:tcBorders>
              <w:top w:val="nil"/>
              <w:left w:val="nil"/>
              <w:bottom w:val="single" w:sz="4" w:space="0" w:color="auto"/>
              <w:right w:val="single" w:sz="4" w:space="0" w:color="auto"/>
            </w:tcBorders>
            <w:shd w:val="clear" w:color="auto" w:fill="auto"/>
            <w:vAlign w:val="center"/>
            <w:hideMark/>
          </w:tcPr>
          <w:p w14:paraId="2F56DAF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1 010 900   </w:t>
            </w:r>
          </w:p>
        </w:tc>
      </w:tr>
      <w:tr w:rsidR="009C33F9" w:rsidRPr="009C33F9" w14:paraId="1B9B7942" w14:textId="77777777" w:rsidTr="009C33F9">
        <w:trPr>
          <w:trHeight w:val="1872"/>
        </w:trPr>
        <w:tc>
          <w:tcPr>
            <w:tcW w:w="1289" w:type="dxa"/>
            <w:tcBorders>
              <w:top w:val="nil"/>
              <w:left w:val="single" w:sz="4" w:space="0" w:color="auto"/>
              <w:bottom w:val="single" w:sz="4" w:space="0" w:color="auto"/>
              <w:right w:val="single" w:sz="4" w:space="0" w:color="auto"/>
            </w:tcBorders>
            <w:shd w:val="clear" w:color="auto" w:fill="auto"/>
            <w:vAlign w:val="bottom"/>
            <w:hideMark/>
          </w:tcPr>
          <w:p w14:paraId="3FCA053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4435CD71"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Mettre en place d’organisations professionnelles et/ou coopératives ayant des rôles de représentation, de défense des intérêts individuels et collectifs de leurs membres, de sensibilisation, de formation et d’appui aux membres</w:t>
            </w:r>
          </w:p>
        </w:tc>
        <w:tc>
          <w:tcPr>
            <w:tcW w:w="1417" w:type="dxa"/>
            <w:tcBorders>
              <w:top w:val="nil"/>
              <w:left w:val="nil"/>
              <w:bottom w:val="single" w:sz="4" w:space="0" w:color="auto"/>
              <w:right w:val="single" w:sz="4" w:space="0" w:color="auto"/>
            </w:tcBorders>
            <w:shd w:val="clear" w:color="auto" w:fill="auto"/>
            <w:vAlign w:val="center"/>
            <w:hideMark/>
          </w:tcPr>
          <w:p w14:paraId="5F173B1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1 000 000   </w:t>
            </w:r>
          </w:p>
        </w:tc>
        <w:tc>
          <w:tcPr>
            <w:tcW w:w="1276" w:type="dxa"/>
            <w:tcBorders>
              <w:top w:val="nil"/>
              <w:left w:val="nil"/>
              <w:bottom w:val="single" w:sz="4" w:space="0" w:color="auto"/>
              <w:right w:val="single" w:sz="4" w:space="0" w:color="auto"/>
            </w:tcBorders>
            <w:shd w:val="clear" w:color="auto" w:fill="auto"/>
            <w:vAlign w:val="center"/>
            <w:hideMark/>
          </w:tcPr>
          <w:p w14:paraId="1942054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4D0F8D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2FE7229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250 000   </w:t>
            </w:r>
          </w:p>
        </w:tc>
        <w:tc>
          <w:tcPr>
            <w:tcW w:w="1842" w:type="dxa"/>
            <w:tcBorders>
              <w:top w:val="nil"/>
              <w:left w:val="nil"/>
              <w:bottom w:val="single" w:sz="4" w:space="0" w:color="auto"/>
              <w:right w:val="single" w:sz="4" w:space="0" w:color="auto"/>
            </w:tcBorders>
            <w:shd w:val="clear" w:color="auto" w:fill="auto"/>
            <w:vAlign w:val="center"/>
            <w:hideMark/>
          </w:tcPr>
          <w:p w14:paraId="5127474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350 000   </w:t>
            </w:r>
          </w:p>
        </w:tc>
        <w:tc>
          <w:tcPr>
            <w:tcW w:w="1843" w:type="dxa"/>
            <w:tcBorders>
              <w:top w:val="nil"/>
              <w:left w:val="nil"/>
              <w:bottom w:val="single" w:sz="4" w:space="0" w:color="auto"/>
              <w:right w:val="single" w:sz="4" w:space="0" w:color="auto"/>
            </w:tcBorders>
            <w:shd w:val="clear" w:color="auto" w:fill="auto"/>
            <w:vAlign w:val="center"/>
            <w:hideMark/>
          </w:tcPr>
          <w:p w14:paraId="6AE59C9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400 000   </w:t>
            </w:r>
          </w:p>
        </w:tc>
        <w:tc>
          <w:tcPr>
            <w:tcW w:w="2693" w:type="dxa"/>
            <w:tcBorders>
              <w:top w:val="nil"/>
              <w:left w:val="nil"/>
              <w:bottom w:val="single" w:sz="4" w:space="0" w:color="auto"/>
              <w:right w:val="single" w:sz="4" w:space="0" w:color="auto"/>
            </w:tcBorders>
            <w:shd w:val="clear" w:color="auto" w:fill="auto"/>
            <w:vAlign w:val="center"/>
            <w:hideMark/>
          </w:tcPr>
          <w:p w14:paraId="05B5697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1 000 000   </w:t>
            </w:r>
          </w:p>
        </w:tc>
      </w:tr>
      <w:tr w:rsidR="009C33F9" w:rsidRPr="009C33F9" w14:paraId="4B70F8C6" w14:textId="77777777" w:rsidTr="009C33F9">
        <w:trPr>
          <w:trHeight w:val="1872"/>
        </w:trPr>
        <w:tc>
          <w:tcPr>
            <w:tcW w:w="1289" w:type="dxa"/>
            <w:tcBorders>
              <w:top w:val="nil"/>
              <w:left w:val="single" w:sz="4" w:space="0" w:color="auto"/>
              <w:bottom w:val="single" w:sz="4" w:space="0" w:color="auto"/>
              <w:right w:val="single" w:sz="4" w:space="0" w:color="auto"/>
            </w:tcBorders>
            <w:shd w:val="clear" w:color="auto" w:fill="auto"/>
            <w:vAlign w:val="bottom"/>
            <w:hideMark/>
          </w:tcPr>
          <w:p w14:paraId="3687A4F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0CD00587"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Formaliser des cadres de concertations entre les collectivités et les groupements des orpailleurs dans le cadre de l’amélioration de la gouvernance dans l’orpaillage, l’artisanat minier et la petite mine</w:t>
            </w:r>
          </w:p>
        </w:tc>
        <w:tc>
          <w:tcPr>
            <w:tcW w:w="1417" w:type="dxa"/>
            <w:tcBorders>
              <w:top w:val="nil"/>
              <w:left w:val="nil"/>
              <w:bottom w:val="single" w:sz="4" w:space="0" w:color="auto"/>
              <w:right w:val="single" w:sz="4" w:space="0" w:color="auto"/>
            </w:tcBorders>
            <w:shd w:val="clear" w:color="auto" w:fill="auto"/>
            <w:vAlign w:val="center"/>
            <w:hideMark/>
          </w:tcPr>
          <w:p w14:paraId="2370BA3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400 000   </w:t>
            </w:r>
          </w:p>
        </w:tc>
        <w:tc>
          <w:tcPr>
            <w:tcW w:w="1276" w:type="dxa"/>
            <w:tcBorders>
              <w:top w:val="nil"/>
              <w:left w:val="nil"/>
              <w:bottom w:val="single" w:sz="4" w:space="0" w:color="auto"/>
              <w:right w:val="single" w:sz="4" w:space="0" w:color="auto"/>
            </w:tcBorders>
            <w:shd w:val="clear" w:color="auto" w:fill="auto"/>
            <w:vAlign w:val="center"/>
            <w:hideMark/>
          </w:tcPr>
          <w:p w14:paraId="36A40C2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E73BF1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4975A2C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100 000   </w:t>
            </w:r>
          </w:p>
        </w:tc>
        <w:tc>
          <w:tcPr>
            <w:tcW w:w="1842" w:type="dxa"/>
            <w:tcBorders>
              <w:top w:val="nil"/>
              <w:left w:val="nil"/>
              <w:bottom w:val="single" w:sz="4" w:space="0" w:color="auto"/>
              <w:right w:val="single" w:sz="4" w:space="0" w:color="auto"/>
            </w:tcBorders>
            <w:shd w:val="clear" w:color="auto" w:fill="auto"/>
            <w:vAlign w:val="center"/>
            <w:hideMark/>
          </w:tcPr>
          <w:p w14:paraId="40F3721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140 000   </w:t>
            </w:r>
          </w:p>
        </w:tc>
        <w:tc>
          <w:tcPr>
            <w:tcW w:w="1843" w:type="dxa"/>
            <w:tcBorders>
              <w:top w:val="nil"/>
              <w:left w:val="nil"/>
              <w:bottom w:val="single" w:sz="4" w:space="0" w:color="auto"/>
              <w:right w:val="single" w:sz="4" w:space="0" w:color="auto"/>
            </w:tcBorders>
            <w:shd w:val="clear" w:color="auto" w:fill="auto"/>
            <w:vAlign w:val="center"/>
            <w:hideMark/>
          </w:tcPr>
          <w:p w14:paraId="566C60C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160 000   </w:t>
            </w:r>
          </w:p>
        </w:tc>
        <w:tc>
          <w:tcPr>
            <w:tcW w:w="2693" w:type="dxa"/>
            <w:tcBorders>
              <w:top w:val="nil"/>
              <w:left w:val="nil"/>
              <w:bottom w:val="single" w:sz="4" w:space="0" w:color="auto"/>
              <w:right w:val="single" w:sz="4" w:space="0" w:color="auto"/>
            </w:tcBorders>
            <w:shd w:val="clear" w:color="auto" w:fill="auto"/>
            <w:vAlign w:val="center"/>
            <w:hideMark/>
          </w:tcPr>
          <w:p w14:paraId="16C9814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400 000   </w:t>
            </w:r>
          </w:p>
        </w:tc>
      </w:tr>
      <w:tr w:rsidR="009C33F9" w:rsidRPr="009C33F9" w14:paraId="7F8EAB91" w14:textId="77777777" w:rsidTr="009C33F9">
        <w:trPr>
          <w:trHeight w:val="1403"/>
        </w:trPr>
        <w:tc>
          <w:tcPr>
            <w:tcW w:w="1289" w:type="dxa"/>
            <w:tcBorders>
              <w:top w:val="nil"/>
              <w:left w:val="single" w:sz="4" w:space="0" w:color="auto"/>
              <w:bottom w:val="single" w:sz="4" w:space="0" w:color="auto"/>
              <w:right w:val="single" w:sz="4" w:space="0" w:color="auto"/>
            </w:tcBorders>
            <w:shd w:val="clear" w:color="auto" w:fill="auto"/>
            <w:vAlign w:val="bottom"/>
            <w:hideMark/>
          </w:tcPr>
          <w:p w14:paraId="4804B36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lastRenderedPageBreak/>
              <w:t> </w:t>
            </w:r>
          </w:p>
        </w:tc>
        <w:tc>
          <w:tcPr>
            <w:tcW w:w="1405" w:type="dxa"/>
            <w:tcBorders>
              <w:top w:val="nil"/>
              <w:left w:val="nil"/>
              <w:bottom w:val="single" w:sz="4" w:space="0" w:color="auto"/>
              <w:right w:val="single" w:sz="4" w:space="0" w:color="auto"/>
            </w:tcBorders>
            <w:shd w:val="clear" w:color="auto" w:fill="auto"/>
            <w:vAlign w:val="center"/>
            <w:hideMark/>
          </w:tcPr>
          <w:p w14:paraId="77641ADC"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Mettre en place un mécanisme d’appui et de renforcement de capacité des collectivités locales en matière de suivi et de contrôle des activités d’orpaillage</w:t>
            </w:r>
          </w:p>
        </w:tc>
        <w:tc>
          <w:tcPr>
            <w:tcW w:w="1417" w:type="dxa"/>
            <w:tcBorders>
              <w:top w:val="nil"/>
              <w:left w:val="nil"/>
              <w:bottom w:val="single" w:sz="4" w:space="0" w:color="auto"/>
              <w:right w:val="single" w:sz="4" w:space="0" w:color="auto"/>
            </w:tcBorders>
            <w:shd w:val="clear" w:color="auto" w:fill="auto"/>
            <w:vAlign w:val="center"/>
            <w:hideMark/>
          </w:tcPr>
          <w:p w14:paraId="566767F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250 000   </w:t>
            </w:r>
          </w:p>
        </w:tc>
        <w:tc>
          <w:tcPr>
            <w:tcW w:w="1276" w:type="dxa"/>
            <w:tcBorders>
              <w:top w:val="nil"/>
              <w:left w:val="nil"/>
              <w:bottom w:val="single" w:sz="4" w:space="0" w:color="auto"/>
              <w:right w:val="single" w:sz="4" w:space="0" w:color="auto"/>
            </w:tcBorders>
            <w:shd w:val="clear" w:color="auto" w:fill="auto"/>
            <w:vAlign w:val="center"/>
            <w:hideMark/>
          </w:tcPr>
          <w:p w14:paraId="580BC33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64C40E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46630C2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62 500   </w:t>
            </w:r>
          </w:p>
        </w:tc>
        <w:tc>
          <w:tcPr>
            <w:tcW w:w="1842" w:type="dxa"/>
            <w:tcBorders>
              <w:top w:val="nil"/>
              <w:left w:val="nil"/>
              <w:bottom w:val="single" w:sz="4" w:space="0" w:color="auto"/>
              <w:right w:val="single" w:sz="4" w:space="0" w:color="auto"/>
            </w:tcBorders>
            <w:shd w:val="clear" w:color="auto" w:fill="auto"/>
            <w:vAlign w:val="center"/>
            <w:hideMark/>
          </w:tcPr>
          <w:p w14:paraId="60D50D8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87 500   </w:t>
            </w:r>
          </w:p>
        </w:tc>
        <w:tc>
          <w:tcPr>
            <w:tcW w:w="1843" w:type="dxa"/>
            <w:tcBorders>
              <w:top w:val="nil"/>
              <w:left w:val="nil"/>
              <w:bottom w:val="single" w:sz="4" w:space="0" w:color="auto"/>
              <w:right w:val="single" w:sz="4" w:space="0" w:color="auto"/>
            </w:tcBorders>
            <w:shd w:val="clear" w:color="auto" w:fill="auto"/>
            <w:vAlign w:val="center"/>
            <w:hideMark/>
          </w:tcPr>
          <w:p w14:paraId="6874CF1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100 000   </w:t>
            </w:r>
          </w:p>
        </w:tc>
        <w:tc>
          <w:tcPr>
            <w:tcW w:w="2693" w:type="dxa"/>
            <w:tcBorders>
              <w:top w:val="nil"/>
              <w:left w:val="nil"/>
              <w:bottom w:val="single" w:sz="4" w:space="0" w:color="auto"/>
              <w:right w:val="single" w:sz="4" w:space="0" w:color="auto"/>
            </w:tcBorders>
            <w:shd w:val="clear" w:color="auto" w:fill="auto"/>
            <w:vAlign w:val="center"/>
            <w:hideMark/>
          </w:tcPr>
          <w:p w14:paraId="643926B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250 000   </w:t>
            </w:r>
          </w:p>
        </w:tc>
      </w:tr>
      <w:tr w:rsidR="009C33F9" w:rsidRPr="009C33F9" w14:paraId="1AE467E3" w14:textId="77777777" w:rsidTr="009C33F9">
        <w:trPr>
          <w:trHeight w:val="852"/>
        </w:trPr>
        <w:tc>
          <w:tcPr>
            <w:tcW w:w="1289" w:type="dxa"/>
            <w:tcBorders>
              <w:top w:val="nil"/>
              <w:left w:val="single" w:sz="4" w:space="0" w:color="auto"/>
              <w:bottom w:val="single" w:sz="4" w:space="0" w:color="auto"/>
              <w:right w:val="single" w:sz="4" w:space="0" w:color="auto"/>
            </w:tcBorders>
            <w:shd w:val="clear" w:color="auto" w:fill="auto"/>
            <w:vAlign w:val="bottom"/>
            <w:hideMark/>
          </w:tcPr>
          <w:p w14:paraId="1F58D44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2DD3C81C"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Faciliter l’octroi des titres d’exploitation</w:t>
            </w:r>
          </w:p>
        </w:tc>
        <w:tc>
          <w:tcPr>
            <w:tcW w:w="1417" w:type="dxa"/>
            <w:tcBorders>
              <w:top w:val="nil"/>
              <w:left w:val="nil"/>
              <w:bottom w:val="single" w:sz="4" w:space="0" w:color="auto"/>
              <w:right w:val="single" w:sz="4" w:space="0" w:color="auto"/>
            </w:tcBorders>
            <w:shd w:val="clear" w:color="auto" w:fill="auto"/>
            <w:vAlign w:val="center"/>
            <w:hideMark/>
          </w:tcPr>
          <w:p w14:paraId="30B0B5B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95 000   </w:t>
            </w:r>
          </w:p>
        </w:tc>
        <w:tc>
          <w:tcPr>
            <w:tcW w:w="1276" w:type="dxa"/>
            <w:tcBorders>
              <w:top w:val="nil"/>
              <w:left w:val="nil"/>
              <w:bottom w:val="single" w:sz="4" w:space="0" w:color="auto"/>
              <w:right w:val="single" w:sz="4" w:space="0" w:color="auto"/>
            </w:tcBorders>
            <w:shd w:val="clear" w:color="auto" w:fill="auto"/>
            <w:vAlign w:val="center"/>
            <w:hideMark/>
          </w:tcPr>
          <w:p w14:paraId="0638C5CB"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B089DB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24974C5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23 750   </w:t>
            </w:r>
          </w:p>
        </w:tc>
        <w:tc>
          <w:tcPr>
            <w:tcW w:w="1842" w:type="dxa"/>
            <w:tcBorders>
              <w:top w:val="nil"/>
              <w:left w:val="nil"/>
              <w:bottom w:val="single" w:sz="4" w:space="0" w:color="auto"/>
              <w:right w:val="single" w:sz="4" w:space="0" w:color="auto"/>
            </w:tcBorders>
            <w:shd w:val="clear" w:color="auto" w:fill="auto"/>
            <w:vAlign w:val="center"/>
            <w:hideMark/>
          </w:tcPr>
          <w:p w14:paraId="5B57D3A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33 250   </w:t>
            </w:r>
          </w:p>
        </w:tc>
        <w:tc>
          <w:tcPr>
            <w:tcW w:w="1843" w:type="dxa"/>
            <w:tcBorders>
              <w:top w:val="nil"/>
              <w:left w:val="nil"/>
              <w:bottom w:val="single" w:sz="4" w:space="0" w:color="auto"/>
              <w:right w:val="single" w:sz="4" w:space="0" w:color="auto"/>
            </w:tcBorders>
            <w:shd w:val="clear" w:color="auto" w:fill="auto"/>
            <w:vAlign w:val="center"/>
            <w:hideMark/>
          </w:tcPr>
          <w:p w14:paraId="535ED2A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38 000   </w:t>
            </w:r>
          </w:p>
        </w:tc>
        <w:tc>
          <w:tcPr>
            <w:tcW w:w="2693" w:type="dxa"/>
            <w:tcBorders>
              <w:top w:val="nil"/>
              <w:left w:val="nil"/>
              <w:bottom w:val="single" w:sz="4" w:space="0" w:color="auto"/>
              <w:right w:val="single" w:sz="4" w:space="0" w:color="auto"/>
            </w:tcBorders>
            <w:shd w:val="clear" w:color="auto" w:fill="auto"/>
            <w:vAlign w:val="center"/>
            <w:hideMark/>
          </w:tcPr>
          <w:p w14:paraId="77C3501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95 000   </w:t>
            </w:r>
          </w:p>
        </w:tc>
      </w:tr>
      <w:tr w:rsidR="009C33F9" w:rsidRPr="009C33F9" w14:paraId="1DE684C0" w14:textId="77777777" w:rsidTr="009C33F9">
        <w:trPr>
          <w:trHeight w:val="1103"/>
        </w:trPr>
        <w:tc>
          <w:tcPr>
            <w:tcW w:w="1289" w:type="dxa"/>
            <w:tcBorders>
              <w:top w:val="nil"/>
              <w:left w:val="single" w:sz="4" w:space="0" w:color="auto"/>
              <w:bottom w:val="single" w:sz="4" w:space="0" w:color="auto"/>
              <w:right w:val="single" w:sz="4" w:space="0" w:color="auto"/>
            </w:tcBorders>
            <w:shd w:val="clear" w:color="auto" w:fill="auto"/>
            <w:vAlign w:val="bottom"/>
            <w:hideMark/>
          </w:tcPr>
          <w:p w14:paraId="477227B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016B40F3"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Favoriser l’installation des comptoirs d’achats dans le secteur de l’orpaillage</w:t>
            </w:r>
          </w:p>
        </w:tc>
        <w:tc>
          <w:tcPr>
            <w:tcW w:w="1417" w:type="dxa"/>
            <w:tcBorders>
              <w:top w:val="nil"/>
              <w:left w:val="nil"/>
              <w:bottom w:val="single" w:sz="4" w:space="0" w:color="auto"/>
              <w:right w:val="single" w:sz="4" w:space="0" w:color="auto"/>
            </w:tcBorders>
            <w:shd w:val="clear" w:color="auto" w:fill="auto"/>
            <w:vAlign w:val="center"/>
            <w:hideMark/>
          </w:tcPr>
          <w:p w14:paraId="0AA7621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200 000   </w:t>
            </w:r>
          </w:p>
        </w:tc>
        <w:tc>
          <w:tcPr>
            <w:tcW w:w="1276" w:type="dxa"/>
            <w:tcBorders>
              <w:top w:val="nil"/>
              <w:left w:val="nil"/>
              <w:bottom w:val="single" w:sz="4" w:space="0" w:color="auto"/>
              <w:right w:val="single" w:sz="4" w:space="0" w:color="auto"/>
            </w:tcBorders>
            <w:shd w:val="clear" w:color="auto" w:fill="auto"/>
            <w:vAlign w:val="center"/>
            <w:hideMark/>
          </w:tcPr>
          <w:p w14:paraId="526B3F4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767AF9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5FC7405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50 000   </w:t>
            </w:r>
          </w:p>
        </w:tc>
        <w:tc>
          <w:tcPr>
            <w:tcW w:w="1842" w:type="dxa"/>
            <w:tcBorders>
              <w:top w:val="nil"/>
              <w:left w:val="nil"/>
              <w:bottom w:val="single" w:sz="4" w:space="0" w:color="auto"/>
              <w:right w:val="single" w:sz="4" w:space="0" w:color="auto"/>
            </w:tcBorders>
            <w:shd w:val="clear" w:color="auto" w:fill="auto"/>
            <w:vAlign w:val="center"/>
            <w:hideMark/>
          </w:tcPr>
          <w:p w14:paraId="79FB39F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70 000   </w:t>
            </w:r>
          </w:p>
        </w:tc>
        <w:tc>
          <w:tcPr>
            <w:tcW w:w="1843" w:type="dxa"/>
            <w:tcBorders>
              <w:top w:val="nil"/>
              <w:left w:val="nil"/>
              <w:bottom w:val="single" w:sz="4" w:space="0" w:color="auto"/>
              <w:right w:val="single" w:sz="4" w:space="0" w:color="auto"/>
            </w:tcBorders>
            <w:shd w:val="clear" w:color="auto" w:fill="auto"/>
            <w:vAlign w:val="center"/>
            <w:hideMark/>
          </w:tcPr>
          <w:p w14:paraId="35EBB11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80 000   </w:t>
            </w:r>
          </w:p>
        </w:tc>
        <w:tc>
          <w:tcPr>
            <w:tcW w:w="2693" w:type="dxa"/>
            <w:tcBorders>
              <w:top w:val="nil"/>
              <w:left w:val="nil"/>
              <w:bottom w:val="single" w:sz="4" w:space="0" w:color="auto"/>
              <w:right w:val="single" w:sz="4" w:space="0" w:color="auto"/>
            </w:tcBorders>
            <w:shd w:val="clear" w:color="auto" w:fill="auto"/>
            <w:vAlign w:val="center"/>
            <w:hideMark/>
          </w:tcPr>
          <w:p w14:paraId="2DF4A83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200 000   </w:t>
            </w:r>
          </w:p>
        </w:tc>
      </w:tr>
      <w:tr w:rsidR="009C33F9" w:rsidRPr="009C33F9" w14:paraId="5618013E" w14:textId="77777777" w:rsidTr="009C33F9">
        <w:trPr>
          <w:trHeight w:val="552"/>
        </w:trPr>
        <w:tc>
          <w:tcPr>
            <w:tcW w:w="1289" w:type="dxa"/>
            <w:tcBorders>
              <w:top w:val="nil"/>
              <w:left w:val="single" w:sz="4" w:space="0" w:color="auto"/>
              <w:bottom w:val="single" w:sz="4" w:space="0" w:color="auto"/>
              <w:right w:val="single" w:sz="4" w:space="0" w:color="auto"/>
            </w:tcBorders>
            <w:shd w:val="clear" w:color="auto" w:fill="auto"/>
            <w:hideMark/>
          </w:tcPr>
          <w:p w14:paraId="2F7F7EC3"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Sous total axe 4</w:t>
            </w:r>
          </w:p>
        </w:tc>
        <w:tc>
          <w:tcPr>
            <w:tcW w:w="1405" w:type="dxa"/>
            <w:tcBorders>
              <w:top w:val="nil"/>
              <w:left w:val="nil"/>
              <w:bottom w:val="single" w:sz="4" w:space="0" w:color="auto"/>
              <w:right w:val="single" w:sz="4" w:space="0" w:color="auto"/>
            </w:tcBorders>
            <w:shd w:val="clear" w:color="auto" w:fill="auto"/>
            <w:vAlign w:val="center"/>
            <w:hideMark/>
          </w:tcPr>
          <w:p w14:paraId="492EBD7B"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2127EBD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3 566 300   </w:t>
            </w:r>
          </w:p>
        </w:tc>
        <w:tc>
          <w:tcPr>
            <w:tcW w:w="1276" w:type="dxa"/>
            <w:tcBorders>
              <w:top w:val="nil"/>
              <w:left w:val="nil"/>
              <w:bottom w:val="single" w:sz="4" w:space="0" w:color="auto"/>
              <w:right w:val="single" w:sz="4" w:space="0" w:color="auto"/>
            </w:tcBorders>
            <w:shd w:val="clear" w:color="auto" w:fill="auto"/>
            <w:vAlign w:val="center"/>
            <w:hideMark/>
          </w:tcPr>
          <w:p w14:paraId="138EFD2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6F93AD6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0F6FD3C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891 575   </w:t>
            </w:r>
          </w:p>
        </w:tc>
        <w:tc>
          <w:tcPr>
            <w:tcW w:w="1842" w:type="dxa"/>
            <w:tcBorders>
              <w:top w:val="nil"/>
              <w:left w:val="nil"/>
              <w:bottom w:val="single" w:sz="4" w:space="0" w:color="auto"/>
              <w:right w:val="single" w:sz="4" w:space="0" w:color="auto"/>
            </w:tcBorders>
            <w:shd w:val="clear" w:color="auto" w:fill="auto"/>
            <w:vAlign w:val="center"/>
            <w:hideMark/>
          </w:tcPr>
          <w:p w14:paraId="501D770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1 248 205   </w:t>
            </w:r>
          </w:p>
        </w:tc>
        <w:tc>
          <w:tcPr>
            <w:tcW w:w="1843" w:type="dxa"/>
            <w:tcBorders>
              <w:top w:val="nil"/>
              <w:left w:val="nil"/>
              <w:bottom w:val="single" w:sz="4" w:space="0" w:color="auto"/>
              <w:right w:val="single" w:sz="4" w:space="0" w:color="auto"/>
            </w:tcBorders>
            <w:shd w:val="clear" w:color="auto" w:fill="auto"/>
            <w:vAlign w:val="center"/>
            <w:hideMark/>
          </w:tcPr>
          <w:p w14:paraId="156D192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1 426 520   </w:t>
            </w:r>
          </w:p>
        </w:tc>
        <w:tc>
          <w:tcPr>
            <w:tcW w:w="2693" w:type="dxa"/>
            <w:tcBorders>
              <w:top w:val="nil"/>
              <w:left w:val="nil"/>
              <w:bottom w:val="single" w:sz="4" w:space="0" w:color="auto"/>
              <w:right w:val="single" w:sz="4" w:space="0" w:color="auto"/>
            </w:tcBorders>
            <w:shd w:val="clear" w:color="auto" w:fill="auto"/>
            <w:vAlign w:val="center"/>
            <w:hideMark/>
          </w:tcPr>
          <w:p w14:paraId="156B729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3 566 300   </w:t>
            </w:r>
          </w:p>
        </w:tc>
      </w:tr>
      <w:tr w:rsidR="009C33F9" w:rsidRPr="009C33F9" w14:paraId="608C64D7" w14:textId="77777777" w:rsidTr="009C33F9">
        <w:trPr>
          <w:trHeight w:val="2700"/>
        </w:trPr>
        <w:tc>
          <w:tcPr>
            <w:tcW w:w="1289" w:type="dxa"/>
            <w:vMerge w:val="restart"/>
            <w:tcBorders>
              <w:top w:val="nil"/>
              <w:left w:val="single" w:sz="4" w:space="0" w:color="auto"/>
              <w:bottom w:val="single" w:sz="4" w:space="0" w:color="auto"/>
              <w:right w:val="single" w:sz="4" w:space="0" w:color="auto"/>
            </w:tcBorders>
            <w:shd w:val="clear" w:color="auto" w:fill="auto"/>
            <w:vAlign w:val="center"/>
            <w:hideMark/>
          </w:tcPr>
          <w:p w14:paraId="71F4810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Axe stratégique 5 : Ressources humaines :</w:t>
            </w:r>
            <w:r w:rsidRPr="009C33F9">
              <w:rPr>
                <w:rFonts w:asciiTheme="minorHAnsi" w:hAnsiTheme="minorHAnsi"/>
                <w:color w:val="000000"/>
                <w:sz w:val="16"/>
                <w:szCs w:val="16"/>
              </w:rPr>
              <w:t xml:space="preserve"> Améliorer la qualité de la ressource humaine sur toute la chaîne de valeur verticale et horizontale de l'industrie minière </w:t>
            </w:r>
          </w:p>
        </w:tc>
        <w:tc>
          <w:tcPr>
            <w:tcW w:w="1405" w:type="dxa"/>
            <w:tcBorders>
              <w:top w:val="nil"/>
              <w:left w:val="nil"/>
              <w:bottom w:val="single" w:sz="4" w:space="0" w:color="auto"/>
              <w:right w:val="single" w:sz="4" w:space="0" w:color="auto"/>
            </w:tcBorders>
            <w:shd w:val="clear" w:color="auto" w:fill="auto"/>
            <w:vAlign w:val="center"/>
            <w:hideMark/>
          </w:tcPr>
          <w:p w14:paraId="4C081EF9"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Faire une évaluation détaillée des besoins du secteur minier et pétrolier malien, en ressources humaines en volume, en qualité et dans son évolution en fonction de la politique et des stratégies adoptées pour son développement</w:t>
            </w:r>
          </w:p>
        </w:tc>
        <w:tc>
          <w:tcPr>
            <w:tcW w:w="1417" w:type="dxa"/>
            <w:tcBorders>
              <w:top w:val="nil"/>
              <w:left w:val="nil"/>
              <w:bottom w:val="single" w:sz="4" w:space="0" w:color="auto"/>
              <w:right w:val="single" w:sz="4" w:space="0" w:color="auto"/>
            </w:tcBorders>
            <w:shd w:val="clear" w:color="auto" w:fill="auto"/>
            <w:vAlign w:val="center"/>
            <w:hideMark/>
          </w:tcPr>
          <w:p w14:paraId="6E99207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200 000   </w:t>
            </w:r>
          </w:p>
        </w:tc>
        <w:tc>
          <w:tcPr>
            <w:tcW w:w="1276" w:type="dxa"/>
            <w:tcBorders>
              <w:top w:val="nil"/>
              <w:left w:val="nil"/>
              <w:bottom w:val="single" w:sz="4" w:space="0" w:color="auto"/>
              <w:right w:val="single" w:sz="4" w:space="0" w:color="auto"/>
            </w:tcBorders>
            <w:shd w:val="clear" w:color="auto" w:fill="auto"/>
            <w:vAlign w:val="center"/>
            <w:hideMark/>
          </w:tcPr>
          <w:p w14:paraId="037FE95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D27CD1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5AF3589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50 000   </w:t>
            </w:r>
          </w:p>
        </w:tc>
        <w:tc>
          <w:tcPr>
            <w:tcW w:w="1842" w:type="dxa"/>
            <w:tcBorders>
              <w:top w:val="nil"/>
              <w:left w:val="nil"/>
              <w:bottom w:val="single" w:sz="4" w:space="0" w:color="auto"/>
              <w:right w:val="single" w:sz="4" w:space="0" w:color="auto"/>
            </w:tcBorders>
            <w:shd w:val="clear" w:color="auto" w:fill="auto"/>
            <w:vAlign w:val="center"/>
            <w:hideMark/>
          </w:tcPr>
          <w:p w14:paraId="449BBC3B"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70 000   </w:t>
            </w:r>
          </w:p>
        </w:tc>
        <w:tc>
          <w:tcPr>
            <w:tcW w:w="1843" w:type="dxa"/>
            <w:tcBorders>
              <w:top w:val="nil"/>
              <w:left w:val="nil"/>
              <w:bottom w:val="single" w:sz="4" w:space="0" w:color="auto"/>
              <w:right w:val="single" w:sz="4" w:space="0" w:color="auto"/>
            </w:tcBorders>
            <w:shd w:val="clear" w:color="auto" w:fill="auto"/>
            <w:vAlign w:val="center"/>
            <w:hideMark/>
          </w:tcPr>
          <w:p w14:paraId="2590EF9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80 000   </w:t>
            </w:r>
          </w:p>
        </w:tc>
        <w:tc>
          <w:tcPr>
            <w:tcW w:w="2693" w:type="dxa"/>
            <w:tcBorders>
              <w:top w:val="nil"/>
              <w:left w:val="nil"/>
              <w:bottom w:val="single" w:sz="4" w:space="0" w:color="auto"/>
              <w:right w:val="single" w:sz="4" w:space="0" w:color="auto"/>
            </w:tcBorders>
            <w:shd w:val="clear" w:color="auto" w:fill="auto"/>
            <w:vAlign w:val="center"/>
            <w:hideMark/>
          </w:tcPr>
          <w:p w14:paraId="44432FC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200 000   </w:t>
            </w:r>
          </w:p>
        </w:tc>
      </w:tr>
      <w:tr w:rsidR="009C33F9" w:rsidRPr="009C33F9" w14:paraId="5700CD98" w14:textId="77777777" w:rsidTr="009C33F9">
        <w:trPr>
          <w:trHeight w:val="1800"/>
        </w:trPr>
        <w:tc>
          <w:tcPr>
            <w:tcW w:w="1289" w:type="dxa"/>
            <w:vMerge/>
            <w:tcBorders>
              <w:top w:val="nil"/>
              <w:left w:val="single" w:sz="4" w:space="0" w:color="auto"/>
              <w:bottom w:val="single" w:sz="4" w:space="0" w:color="auto"/>
              <w:right w:val="single" w:sz="4" w:space="0" w:color="auto"/>
            </w:tcBorders>
            <w:vAlign w:val="center"/>
            <w:hideMark/>
          </w:tcPr>
          <w:p w14:paraId="050588DD" w14:textId="77777777" w:rsidR="009C33F9" w:rsidRPr="009C33F9" w:rsidRDefault="009C33F9" w:rsidP="009C33F9">
            <w:pPr>
              <w:rPr>
                <w:rFonts w:asciiTheme="minorHAnsi" w:hAnsiTheme="minorHAnsi"/>
                <w:b/>
                <w:bCs/>
                <w:color w:val="000000"/>
                <w:sz w:val="16"/>
                <w:szCs w:val="16"/>
              </w:rPr>
            </w:pPr>
          </w:p>
        </w:tc>
        <w:tc>
          <w:tcPr>
            <w:tcW w:w="1405" w:type="dxa"/>
            <w:tcBorders>
              <w:top w:val="nil"/>
              <w:left w:val="nil"/>
              <w:bottom w:val="single" w:sz="4" w:space="0" w:color="auto"/>
              <w:right w:val="single" w:sz="4" w:space="0" w:color="auto"/>
            </w:tcBorders>
            <w:shd w:val="clear" w:color="auto" w:fill="auto"/>
            <w:vAlign w:val="center"/>
            <w:hideMark/>
          </w:tcPr>
          <w:p w14:paraId="40604A52"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Renforcer les acteurs nationaux en termes de capacité de négociation de contrats, accords et avantages de développement communautaire</w:t>
            </w:r>
          </w:p>
        </w:tc>
        <w:tc>
          <w:tcPr>
            <w:tcW w:w="1417" w:type="dxa"/>
            <w:tcBorders>
              <w:top w:val="nil"/>
              <w:left w:val="nil"/>
              <w:bottom w:val="single" w:sz="4" w:space="0" w:color="auto"/>
              <w:right w:val="single" w:sz="4" w:space="0" w:color="auto"/>
            </w:tcBorders>
            <w:shd w:val="clear" w:color="auto" w:fill="auto"/>
            <w:vAlign w:val="center"/>
            <w:hideMark/>
          </w:tcPr>
          <w:p w14:paraId="491002EE"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150 000   </w:t>
            </w:r>
          </w:p>
        </w:tc>
        <w:tc>
          <w:tcPr>
            <w:tcW w:w="1276" w:type="dxa"/>
            <w:tcBorders>
              <w:top w:val="nil"/>
              <w:left w:val="nil"/>
              <w:bottom w:val="single" w:sz="4" w:space="0" w:color="auto"/>
              <w:right w:val="single" w:sz="4" w:space="0" w:color="auto"/>
            </w:tcBorders>
            <w:shd w:val="clear" w:color="auto" w:fill="auto"/>
            <w:vAlign w:val="center"/>
            <w:hideMark/>
          </w:tcPr>
          <w:p w14:paraId="064D47D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DC8F13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00DAD87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37 500   </w:t>
            </w:r>
          </w:p>
        </w:tc>
        <w:tc>
          <w:tcPr>
            <w:tcW w:w="1842" w:type="dxa"/>
            <w:tcBorders>
              <w:top w:val="nil"/>
              <w:left w:val="nil"/>
              <w:bottom w:val="single" w:sz="4" w:space="0" w:color="auto"/>
              <w:right w:val="single" w:sz="4" w:space="0" w:color="auto"/>
            </w:tcBorders>
            <w:shd w:val="clear" w:color="auto" w:fill="auto"/>
            <w:vAlign w:val="center"/>
            <w:hideMark/>
          </w:tcPr>
          <w:p w14:paraId="66AE64D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52 500   </w:t>
            </w:r>
          </w:p>
        </w:tc>
        <w:tc>
          <w:tcPr>
            <w:tcW w:w="1843" w:type="dxa"/>
            <w:tcBorders>
              <w:top w:val="nil"/>
              <w:left w:val="nil"/>
              <w:bottom w:val="single" w:sz="4" w:space="0" w:color="auto"/>
              <w:right w:val="single" w:sz="4" w:space="0" w:color="auto"/>
            </w:tcBorders>
            <w:shd w:val="clear" w:color="auto" w:fill="auto"/>
            <w:vAlign w:val="center"/>
            <w:hideMark/>
          </w:tcPr>
          <w:p w14:paraId="4B5FFE6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60 000   </w:t>
            </w:r>
          </w:p>
        </w:tc>
        <w:tc>
          <w:tcPr>
            <w:tcW w:w="2693" w:type="dxa"/>
            <w:tcBorders>
              <w:top w:val="nil"/>
              <w:left w:val="nil"/>
              <w:bottom w:val="single" w:sz="4" w:space="0" w:color="auto"/>
              <w:right w:val="single" w:sz="4" w:space="0" w:color="auto"/>
            </w:tcBorders>
            <w:shd w:val="clear" w:color="auto" w:fill="auto"/>
            <w:vAlign w:val="center"/>
            <w:hideMark/>
          </w:tcPr>
          <w:p w14:paraId="3CB06AD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150 000   </w:t>
            </w:r>
          </w:p>
        </w:tc>
      </w:tr>
      <w:tr w:rsidR="009C33F9" w:rsidRPr="009C33F9" w14:paraId="409955B6" w14:textId="77777777" w:rsidTr="009C33F9">
        <w:trPr>
          <w:trHeight w:val="612"/>
        </w:trPr>
        <w:tc>
          <w:tcPr>
            <w:tcW w:w="1289" w:type="dxa"/>
            <w:vMerge/>
            <w:tcBorders>
              <w:top w:val="nil"/>
              <w:left w:val="single" w:sz="4" w:space="0" w:color="auto"/>
              <w:bottom w:val="single" w:sz="4" w:space="0" w:color="auto"/>
              <w:right w:val="single" w:sz="4" w:space="0" w:color="auto"/>
            </w:tcBorders>
            <w:vAlign w:val="center"/>
            <w:hideMark/>
          </w:tcPr>
          <w:p w14:paraId="54DC1F3A" w14:textId="77777777" w:rsidR="009C33F9" w:rsidRPr="009C33F9" w:rsidRDefault="009C33F9" w:rsidP="009C33F9">
            <w:pPr>
              <w:rPr>
                <w:rFonts w:asciiTheme="minorHAnsi" w:hAnsiTheme="minorHAnsi"/>
                <w:b/>
                <w:bCs/>
                <w:color w:val="000000"/>
                <w:sz w:val="16"/>
                <w:szCs w:val="16"/>
              </w:rPr>
            </w:pPr>
          </w:p>
        </w:tc>
        <w:tc>
          <w:tcPr>
            <w:tcW w:w="1405" w:type="dxa"/>
            <w:tcBorders>
              <w:top w:val="nil"/>
              <w:left w:val="nil"/>
              <w:bottom w:val="single" w:sz="4" w:space="0" w:color="auto"/>
              <w:right w:val="single" w:sz="4" w:space="0" w:color="auto"/>
            </w:tcBorders>
            <w:shd w:val="clear" w:color="auto" w:fill="auto"/>
            <w:vAlign w:val="center"/>
            <w:hideMark/>
          </w:tcPr>
          <w:p w14:paraId="1BA6DA33"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Créer l’Ecole des Mines </w:t>
            </w:r>
          </w:p>
        </w:tc>
        <w:tc>
          <w:tcPr>
            <w:tcW w:w="1417" w:type="dxa"/>
            <w:tcBorders>
              <w:top w:val="nil"/>
              <w:left w:val="nil"/>
              <w:bottom w:val="single" w:sz="4" w:space="0" w:color="auto"/>
              <w:right w:val="single" w:sz="4" w:space="0" w:color="auto"/>
            </w:tcBorders>
            <w:shd w:val="clear" w:color="auto" w:fill="auto"/>
            <w:vAlign w:val="center"/>
            <w:hideMark/>
          </w:tcPr>
          <w:p w14:paraId="6B0DA01B"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4 035 600   </w:t>
            </w:r>
          </w:p>
        </w:tc>
        <w:tc>
          <w:tcPr>
            <w:tcW w:w="1276" w:type="dxa"/>
            <w:tcBorders>
              <w:top w:val="nil"/>
              <w:left w:val="nil"/>
              <w:bottom w:val="single" w:sz="4" w:space="0" w:color="auto"/>
              <w:right w:val="single" w:sz="4" w:space="0" w:color="auto"/>
            </w:tcBorders>
            <w:shd w:val="clear" w:color="auto" w:fill="auto"/>
            <w:vAlign w:val="center"/>
            <w:hideMark/>
          </w:tcPr>
          <w:p w14:paraId="04C413E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13BAA7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1908014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1 008 900   </w:t>
            </w:r>
          </w:p>
        </w:tc>
        <w:tc>
          <w:tcPr>
            <w:tcW w:w="1842" w:type="dxa"/>
            <w:tcBorders>
              <w:top w:val="nil"/>
              <w:left w:val="nil"/>
              <w:bottom w:val="single" w:sz="4" w:space="0" w:color="auto"/>
              <w:right w:val="single" w:sz="4" w:space="0" w:color="auto"/>
            </w:tcBorders>
            <w:shd w:val="clear" w:color="auto" w:fill="auto"/>
            <w:vAlign w:val="center"/>
            <w:hideMark/>
          </w:tcPr>
          <w:p w14:paraId="6326F84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1 412 460   </w:t>
            </w:r>
          </w:p>
        </w:tc>
        <w:tc>
          <w:tcPr>
            <w:tcW w:w="1843" w:type="dxa"/>
            <w:tcBorders>
              <w:top w:val="nil"/>
              <w:left w:val="nil"/>
              <w:bottom w:val="single" w:sz="4" w:space="0" w:color="auto"/>
              <w:right w:val="single" w:sz="4" w:space="0" w:color="auto"/>
            </w:tcBorders>
            <w:shd w:val="clear" w:color="auto" w:fill="auto"/>
            <w:vAlign w:val="center"/>
            <w:hideMark/>
          </w:tcPr>
          <w:p w14:paraId="690EDD8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1 614 240   </w:t>
            </w:r>
          </w:p>
        </w:tc>
        <w:tc>
          <w:tcPr>
            <w:tcW w:w="2693" w:type="dxa"/>
            <w:tcBorders>
              <w:top w:val="nil"/>
              <w:left w:val="nil"/>
              <w:bottom w:val="single" w:sz="4" w:space="0" w:color="auto"/>
              <w:right w:val="single" w:sz="4" w:space="0" w:color="auto"/>
            </w:tcBorders>
            <w:shd w:val="clear" w:color="auto" w:fill="auto"/>
            <w:vAlign w:val="center"/>
            <w:hideMark/>
          </w:tcPr>
          <w:p w14:paraId="7A55974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4 035 600   </w:t>
            </w:r>
          </w:p>
        </w:tc>
      </w:tr>
      <w:tr w:rsidR="009C33F9" w:rsidRPr="009C33F9" w14:paraId="4E4E45EF" w14:textId="77777777" w:rsidTr="009C33F9">
        <w:trPr>
          <w:trHeight w:val="1200"/>
        </w:trPr>
        <w:tc>
          <w:tcPr>
            <w:tcW w:w="1289" w:type="dxa"/>
            <w:vMerge/>
            <w:tcBorders>
              <w:top w:val="nil"/>
              <w:left w:val="single" w:sz="4" w:space="0" w:color="auto"/>
              <w:bottom w:val="single" w:sz="4" w:space="0" w:color="auto"/>
              <w:right w:val="single" w:sz="4" w:space="0" w:color="auto"/>
            </w:tcBorders>
            <w:vAlign w:val="center"/>
            <w:hideMark/>
          </w:tcPr>
          <w:p w14:paraId="5579F591" w14:textId="77777777" w:rsidR="009C33F9" w:rsidRPr="009C33F9" w:rsidRDefault="009C33F9" w:rsidP="009C33F9">
            <w:pPr>
              <w:rPr>
                <w:rFonts w:asciiTheme="minorHAnsi" w:hAnsiTheme="minorHAnsi"/>
                <w:b/>
                <w:bCs/>
                <w:color w:val="000000"/>
                <w:sz w:val="16"/>
                <w:szCs w:val="16"/>
              </w:rPr>
            </w:pPr>
          </w:p>
        </w:tc>
        <w:tc>
          <w:tcPr>
            <w:tcW w:w="1405" w:type="dxa"/>
            <w:tcBorders>
              <w:top w:val="nil"/>
              <w:left w:val="nil"/>
              <w:bottom w:val="single" w:sz="4" w:space="0" w:color="auto"/>
              <w:right w:val="single" w:sz="4" w:space="0" w:color="auto"/>
            </w:tcBorders>
            <w:shd w:val="clear" w:color="auto" w:fill="auto"/>
            <w:vAlign w:val="center"/>
            <w:hideMark/>
          </w:tcPr>
          <w:p w14:paraId="42CE9C55"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Doter les établissements d’enseignement supérieur de filières conformes aux besoins du secteur minier et pétrolier</w:t>
            </w:r>
          </w:p>
        </w:tc>
        <w:tc>
          <w:tcPr>
            <w:tcW w:w="1417" w:type="dxa"/>
            <w:tcBorders>
              <w:top w:val="nil"/>
              <w:left w:val="nil"/>
              <w:bottom w:val="single" w:sz="4" w:space="0" w:color="auto"/>
              <w:right w:val="single" w:sz="4" w:space="0" w:color="auto"/>
            </w:tcBorders>
            <w:shd w:val="clear" w:color="auto" w:fill="auto"/>
            <w:vAlign w:val="center"/>
            <w:hideMark/>
          </w:tcPr>
          <w:p w14:paraId="0B504ED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1 300 000   </w:t>
            </w:r>
          </w:p>
        </w:tc>
        <w:tc>
          <w:tcPr>
            <w:tcW w:w="1276" w:type="dxa"/>
            <w:tcBorders>
              <w:top w:val="nil"/>
              <w:left w:val="nil"/>
              <w:bottom w:val="single" w:sz="4" w:space="0" w:color="auto"/>
              <w:right w:val="single" w:sz="4" w:space="0" w:color="auto"/>
            </w:tcBorders>
            <w:shd w:val="clear" w:color="auto" w:fill="auto"/>
            <w:vAlign w:val="center"/>
            <w:hideMark/>
          </w:tcPr>
          <w:p w14:paraId="22EE099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0F1C9A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76D10A0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325 000   </w:t>
            </w:r>
          </w:p>
        </w:tc>
        <w:tc>
          <w:tcPr>
            <w:tcW w:w="1842" w:type="dxa"/>
            <w:tcBorders>
              <w:top w:val="nil"/>
              <w:left w:val="nil"/>
              <w:bottom w:val="single" w:sz="4" w:space="0" w:color="auto"/>
              <w:right w:val="single" w:sz="4" w:space="0" w:color="auto"/>
            </w:tcBorders>
            <w:shd w:val="clear" w:color="auto" w:fill="auto"/>
            <w:vAlign w:val="center"/>
            <w:hideMark/>
          </w:tcPr>
          <w:p w14:paraId="4C7B18B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455 000   </w:t>
            </w:r>
          </w:p>
        </w:tc>
        <w:tc>
          <w:tcPr>
            <w:tcW w:w="1843" w:type="dxa"/>
            <w:tcBorders>
              <w:top w:val="nil"/>
              <w:left w:val="nil"/>
              <w:bottom w:val="single" w:sz="4" w:space="0" w:color="auto"/>
              <w:right w:val="single" w:sz="4" w:space="0" w:color="auto"/>
            </w:tcBorders>
            <w:shd w:val="clear" w:color="auto" w:fill="auto"/>
            <w:vAlign w:val="center"/>
            <w:hideMark/>
          </w:tcPr>
          <w:p w14:paraId="296F304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520 000   </w:t>
            </w:r>
          </w:p>
        </w:tc>
        <w:tc>
          <w:tcPr>
            <w:tcW w:w="2693" w:type="dxa"/>
            <w:tcBorders>
              <w:top w:val="nil"/>
              <w:left w:val="nil"/>
              <w:bottom w:val="single" w:sz="4" w:space="0" w:color="auto"/>
              <w:right w:val="single" w:sz="4" w:space="0" w:color="auto"/>
            </w:tcBorders>
            <w:shd w:val="clear" w:color="auto" w:fill="auto"/>
            <w:vAlign w:val="center"/>
            <w:hideMark/>
          </w:tcPr>
          <w:p w14:paraId="299B851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1 300 000   </w:t>
            </w:r>
          </w:p>
        </w:tc>
      </w:tr>
      <w:tr w:rsidR="009C33F9" w:rsidRPr="009C33F9" w14:paraId="5A787715" w14:textId="77777777" w:rsidTr="009C33F9">
        <w:trPr>
          <w:trHeight w:val="1800"/>
        </w:trPr>
        <w:tc>
          <w:tcPr>
            <w:tcW w:w="1289" w:type="dxa"/>
            <w:vMerge/>
            <w:tcBorders>
              <w:top w:val="nil"/>
              <w:left w:val="single" w:sz="4" w:space="0" w:color="auto"/>
              <w:bottom w:val="single" w:sz="4" w:space="0" w:color="auto"/>
              <w:right w:val="single" w:sz="4" w:space="0" w:color="auto"/>
            </w:tcBorders>
            <w:vAlign w:val="center"/>
            <w:hideMark/>
          </w:tcPr>
          <w:p w14:paraId="2BDDB598" w14:textId="77777777" w:rsidR="009C33F9" w:rsidRPr="009C33F9" w:rsidRDefault="009C33F9" w:rsidP="009C33F9">
            <w:pPr>
              <w:rPr>
                <w:rFonts w:asciiTheme="minorHAnsi" w:hAnsiTheme="minorHAnsi"/>
                <w:b/>
                <w:bCs/>
                <w:color w:val="000000"/>
                <w:sz w:val="16"/>
                <w:szCs w:val="16"/>
              </w:rPr>
            </w:pPr>
          </w:p>
        </w:tc>
        <w:tc>
          <w:tcPr>
            <w:tcW w:w="1405" w:type="dxa"/>
            <w:tcBorders>
              <w:top w:val="nil"/>
              <w:left w:val="nil"/>
              <w:bottom w:val="single" w:sz="4" w:space="0" w:color="auto"/>
              <w:right w:val="single" w:sz="4" w:space="0" w:color="auto"/>
            </w:tcBorders>
            <w:shd w:val="clear" w:color="auto" w:fill="auto"/>
            <w:vAlign w:val="center"/>
            <w:hideMark/>
          </w:tcPr>
          <w:p w14:paraId="738C64E7"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Mettre en place une plateforme pour la promotion des nationaux en matière de recrutement auprès des sociétés minières et pétrolières</w:t>
            </w:r>
          </w:p>
        </w:tc>
        <w:tc>
          <w:tcPr>
            <w:tcW w:w="1417" w:type="dxa"/>
            <w:tcBorders>
              <w:top w:val="nil"/>
              <w:left w:val="nil"/>
              <w:bottom w:val="single" w:sz="4" w:space="0" w:color="auto"/>
              <w:right w:val="single" w:sz="4" w:space="0" w:color="auto"/>
            </w:tcBorders>
            <w:shd w:val="clear" w:color="auto" w:fill="auto"/>
            <w:vAlign w:val="center"/>
            <w:hideMark/>
          </w:tcPr>
          <w:p w14:paraId="6C07E63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1 500 000   </w:t>
            </w:r>
          </w:p>
        </w:tc>
        <w:tc>
          <w:tcPr>
            <w:tcW w:w="1276" w:type="dxa"/>
            <w:tcBorders>
              <w:top w:val="nil"/>
              <w:left w:val="nil"/>
              <w:bottom w:val="single" w:sz="4" w:space="0" w:color="auto"/>
              <w:right w:val="single" w:sz="4" w:space="0" w:color="auto"/>
            </w:tcBorders>
            <w:shd w:val="clear" w:color="auto" w:fill="auto"/>
            <w:vAlign w:val="center"/>
            <w:hideMark/>
          </w:tcPr>
          <w:p w14:paraId="0617558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4837C5A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1EA73DD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375 000   </w:t>
            </w:r>
          </w:p>
        </w:tc>
        <w:tc>
          <w:tcPr>
            <w:tcW w:w="1842" w:type="dxa"/>
            <w:tcBorders>
              <w:top w:val="nil"/>
              <w:left w:val="nil"/>
              <w:bottom w:val="single" w:sz="4" w:space="0" w:color="auto"/>
              <w:right w:val="single" w:sz="4" w:space="0" w:color="auto"/>
            </w:tcBorders>
            <w:shd w:val="clear" w:color="auto" w:fill="auto"/>
            <w:vAlign w:val="center"/>
            <w:hideMark/>
          </w:tcPr>
          <w:p w14:paraId="10FC193B"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525 000   </w:t>
            </w:r>
          </w:p>
        </w:tc>
        <w:tc>
          <w:tcPr>
            <w:tcW w:w="1843" w:type="dxa"/>
            <w:tcBorders>
              <w:top w:val="nil"/>
              <w:left w:val="nil"/>
              <w:bottom w:val="single" w:sz="4" w:space="0" w:color="auto"/>
              <w:right w:val="single" w:sz="4" w:space="0" w:color="auto"/>
            </w:tcBorders>
            <w:shd w:val="clear" w:color="auto" w:fill="auto"/>
            <w:vAlign w:val="center"/>
            <w:hideMark/>
          </w:tcPr>
          <w:p w14:paraId="3260A1C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600 000   </w:t>
            </w:r>
          </w:p>
        </w:tc>
        <w:tc>
          <w:tcPr>
            <w:tcW w:w="2693" w:type="dxa"/>
            <w:tcBorders>
              <w:top w:val="nil"/>
              <w:left w:val="nil"/>
              <w:bottom w:val="single" w:sz="4" w:space="0" w:color="auto"/>
              <w:right w:val="single" w:sz="4" w:space="0" w:color="auto"/>
            </w:tcBorders>
            <w:shd w:val="clear" w:color="auto" w:fill="auto"/>
            <w:vAlign w:val="center"/>
            <w:hideMark/>
          </w:tcPr>
          <w:p w14:paraId="402B5C1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1 500 000   </w:t>
            </w:r>
          </w:p>
        </w:tc>
      </w:tr>
      <w:tr w:rsidR="009C33F9" w:rsidRPr="009C33F9" w14:paraId="19612B03" w14:textId="77777777" w:rsidTr="009C33F9">
        <w:trPr>
          <w:trHeight w:val="600"/>
        </w:trPr>
        <w:tc>
          <w:tcPr>
            <w:tcW w:w="1289" w:type="dxa"/>
            <w:tcBorders>
              <w:top w:val="nil"/>
              <w:left w:val="single" w:sz="4" w:space="0" w:color="auto"/>
              <w:bottom w:val="single" w:sz="4" w:space="0" w:color="auto"/>
              <w:right w:val="single" w:sz="4" w:space="0" w:color="auto"/>
            </w:tcBorders>
            <w:shd w:val="clear" w:color="auto" w:fill="auto"/>
            <w:hideMark/>
          </w:tcPr>
          <w:p w14:paraId="5A7D3838"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Sous total axe 5</w:t>
            </w:r>
          </w:p>
        </w:tc>
        <w:tc>
          <w:tcPr>
            <w:tcW w:w="1405" w:type="dxa"/>
            <w:tcBorders>
              <w:top w:val="nil"/>
              <w:left w:val="nil"/>
              <w:bottom w:val="single" w:sz="4" w:space="0" w:color="auto"/>
              <w:right w:val="single" w:sz="4" w:space="0" w:color="auto"/>
            </w:tcBorders>
            <w:shd w:val="clear" w:color="auto" w:fill="auto"/>
            <w:hideMark/>
          </w:tcPr>
          <w:p w14:paraId="10E2A326"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6199A45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7 185 600   </w:t>
            </w:r>
          </w:p>
        </w:tc>
        <w:tc>
          <w:tcPr>
            <w:tcW w:w="1276" w:type="dxa"/>
            <w:tcBorders>
              <w:top w:val="nil"/>
              <w:left w:val="nil"/>
              <w:bottom w:val="single" w:sz="4" w:space="0" w:color="auto"/>
              <w:right w:val="single" w:sz="4" w:space="0" w:color="auto"/>
            </w:tcBorders>
            <w:shd w:val="clear" w:color="auto" w:fill="auto"/>
            <w:hideMark/>
          </w:tcPr>
          <w:p w14:paraId="5E43B9DC"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73E159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53CF5EE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1 796 400   </w:t>
            </w:r>
          </w:p>
        </w:tc>
        <w:tc>
          <w:tcPr>
            <w:tcW w:w="1842" w:type="dxa"/>
            <w:tcBorders>
              <w:top w:val="nil"/>
              <w:left w:val="nil"/>
              <w:bottom w:val="single" w:sz="4" w:space="0" w:color="auto"/>
              <w:right w:val="single" w:sz="4" w:space="0" w:color="auto"/>
            </w:tcBorders>
            <w:shd w:val="clear" w:color="auto" w:fill="auto"/>
            <w:vAlign w:val="center"/>
            <w:hideMark/>
          </w:tcPr>
          <w:p w14:paraId="5578B95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2 514 960   </w:t>
            </w:r>
          </w:p>
        </w:tc>
        <w:tc>
          <w:tcPr>
            <w:tcW w:w="1843" w:type="dxa"/>
            <w:tcBorders>
              <w:top w:val="nil"/>
              <w:left w:val="nil"/>
              <w:bottom w:val="single" w:sz="4" w:space="0" w:color="auto"/>
              <w:right w:val="single" w:sz="4" w:space="0" w:color="auto"/>
            </w:tcBorders>
            <w:shd w:val="clear" w:color="auto" w:fill="auto"/>
            <w:vAlign w:val="center"/>
            <w:hideMark/>
          </w:tcPr>
          <w:p w14:paraId="136ABD8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2 874 240   </w:t>
            </w:r>
          </w:p>
        </w:tc>
        <w:tc>
          <w:tcPr>
            <w:tcW w:w="2693" w:type="dxa"/>
            <w:tcBorders>
              <w:top w:val="nil"/>
              <w:left w:val="nil"/>
              <w:bottom w:val="single" w:sz="4" w:space="0" w:color="auto"/>
              <w:right w:val="single" w:sz="4" w:space="0" w:color="auto"/>
            </w:tcBorders>
            <w:shd w:val="clear" w:color="auto" w:fill="auto"/>
            <w:vAlign w:val="center"/>
            <w:hideMark/>
          </w:tcPr>
          <w:p w14:paraId="00F6DBF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7 185 600   </w:t>
            </w:r>
          </w:p>
        </w:tc>
      </w:tr>
      <w:tr w:rsidR="009C33F9" w:rsidRPr="009C33F9" w14:paraId="40E46A22" w14:textId="77777777" w:rsidTr="009C33F9">
        <w:trPr>
          <w:trHeight w:val="1545"/>
        </w:trPr>
        <w:tc>
          <w:tcPr>
            <w:tcW w:w="1289" w:type="dxa"/>
            <w:tcBorders>
              <w:top w:val="nil"/>
              <w:left w:val="single" w:sz="4" w:space="0" w:color="auto"/>
              <w:bottom w:val="single" w:sz="4" w:space="0" w:color="auto"/>
              <w:right w:val="single" w:sz="4" w:space="0" w:color="auto"/>
            </w:tcBorders>
            <w:shd w:val="clear" w:color="auto" w:fill="auto"/>
            <w:vAlign w:val="center"/>
            <w:hideMark/>
          </w:tcPr>
          <w:p w14:paraId="3FBBBFD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Axe stratégique 6 : Intégration à l’économie :</w:t>
            </w:r>
            <w:r w:rsidRPr="009C33F9">
              <w:rPr>
                <w:rFonts w:asciiTheme="minorHAnsi" w:hAnsiTheme="minorHAnsi"/>
                <w:color w:val="000000"/>
                <w:sz w:val="16"/>
                <w:szCs w:val="16"/>
              </w:rPr>
              <w:t xml:space="preserve"> Intégrer le secteur minier et pétrolier à l’ensemble de l’économie malienne </w:t>
            </w:r>
          </w:p>
        </w:tc>
        <w:tc>
          <w:tcPr>
            <w:tcW w:w="1405" w:type="dxa"/>
            <w:tcBorders>
              <w:top w:val="nil"/>
              <w:left w:val="nil"/>
              <w:bottom w:val="single" w:sz="4" w:space="0" w:color="auto"/>
              <w:right w:val="single" w:sz="4" w:space="0" w:color="auto"/>
            </w:tcBorders>
            <w:shd w:val="clear" w:color="auto" w:fill="auto"/>
            <w:vAlign w:val="center"/>
            <w:hideMark/>
          </w:tcPr>
          <w:p w14:paraId="20BCB2AE"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Promouvoir la sous-traitance </w:t>
            </w:r>
          </w:p>
        </w:tc>
        <w:tc>
          <w:tcPr>
            <w:tcW w:w="1417" w:type="dxa"/>
            <w:tcBorders>
              <w:top w:val="nil"/>
              <w:left w:val="nil"/>
              <w:bottom w:val="single" w:sz="4" w:space="0" w:color="auto"/>
              <w:right w:val="single" w:sz="4" w:space="0" w:color="auto"/>
            </w:tcBorders>
            <w:shd w:val="clear" w:color="auto" w:fill="auto"/>
            <w:vAlign w:val="center"/>
            <w:hideMark/>
          </w:tcPr>
          <w:p w14:paraId="021F852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300 000   </w:t>
            </w:r>
          </w:p>
        </w:tc>
        <w:tc>
          <w:tcPr>
            <w:tcW w:w="1276" w:type="dxa"/>
            <w:tcBorders>
              <w:top w:val="nil"/>
              <w:left w:val="nil"/>
              <w:bottom w:val="single" w:sz="4" w:space="0" w:color="auto"/>
              <w:right w:val="single" w:sz="4" w:space="0" w:color="auto"/>
            </w:tcBorders>
            <w:shd w:val="clear" w:color="auto" w:fill="auto"/>
            <w:vAlign w:val="center"/>
            <w:hideMark/>
          </w:tcPr>
          <w:p w14:paraId="0E439E4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31CE33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16458D6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75 000   </w:t>
            </w:r>
          </w:p>
        </w:tc>
        <w:tc>
          <w:tcPr>
            <w:tcW w:w="1842" w:type="dxa"/>
            <w:tcBorders>
              <w:top w:val="nil"/>
              <w:left w:val="nil"/>
              <w:bottom w:val="single" w:sz="4" w:space="0" w:color="auto"/>
              <w:right w:val="single" w:sz="4" w:space="0" w:color="auto"/>
            </w:tcBorders>
            <w:shd w:val="clear" w:color="auto" w:fill="auto"/>
            <w:vAlign w:val="center"/>
            <w:hideMark/>
          </w:tcPr>
          <w:p w14:paraId="054E426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105 000   </w:t>
            </w:r>
          </w:p>
        </w:tc>
        <w:tc>
          <w:tcPr>
            <w:tcW w:w="1843" w:type="dxa"/>
            <w:tcBorders>
              <w:top w:val="nil"/>
              <w:left w:val="nil"/>
              <w:bottom w:val="single" w:sz="4" w:space="0" w:color="auto"/>
              <w:right w:val="single" w:sz="4" w:space="0" w:color="auto"/>
            </w:tcBorders>
            <w:shd w:val="clear" w:color="auto" w:fill="auto"/>
            <w:vAlign w:val="center"/>
            <w:hideMark/>
          </w:tcPr>
          <w:p w14:paraId="2656DDD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120 000   </w:t>
            </w:r>
          </w:p>
        </w:tc>
        <w:tc>
          <w:tcPr>
            <w:tcW w:w="2693" w:type="dxa"/>
            <w:tcBorders>
              <w:top w:val="nil"/>
              <w:left w:val="nil"/>
              <w:bottom w:val="single" w:sz="4" w:space="0" w:color="auto"/>
              <w:right w:val="single" w:sz="4" w:space="0" w:color="auto"/>
            </w:tcBorders>
            <w:shd w:val="clear" w:color="auto" w:fill="auto"/>
            <w:vAlign w:val="center"/>
            <w:hideMark/>
          </w:tcPr>
          <w:p w14:paraId="6D8921D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300 000   </w:t>
            </w:r>
          </w:p>
        </w:tc>
      </w:tr>
      <w:tr w:rsidR="009C33F9" w:rsidRPr="009C33F9" w14:paraId="2D2742A5" w14:textId="77777777" w:rsidTr="009C33F9">
        <w:trPr>
          <w:trHeight w:val="623"/>
        </w:trPr>
        <w:tc>
          <w:tcPr>
            <w:tcW w:w="1289" w:type="dxa"/>
            <w:tcBorders>
              <w:top w:val="nil"/>
              <w:left w:val="single" w:sz="4" w:space="0" w:color="auto"/>
              <w:bottom w:val="single" w:sz="4" w:space="0" w:color="auto"/>
              <w:right w:val="single" w:sz="4" w:space="0" w:color="auto"/>
            </w:tcBorders>
            <w:shd w:val="clear" w:color="auto" w:fill="auto"/>
            <w:hideMark/>
          </w:tcPr>
          <w:p w14:paraId="15C86E33"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453857D2" w14:textId="77777777" w:rsidR="009C33F9" w:rsidRPr="009C33F9" w:rsidRDefault="009C33F9" w:rsidP="009C33F9">
            <w:pPr>
              <w:rPr>
                <w:rFonts w:asciiTheme="minorHAnsi" w:hAnsiTheme="minorHAnsi"/>
                <w:color w:val="000000"/>
                <w:sz w:val="16"/>
                <w:szCs w:val="16"/>
              </w:rPr>
            </w:pPr>
            <w:proofErr w:type="gramStart"/>
            <w:r w:rsidRPr="009C33F9">
              <w:rPr>
                <w:rFonts w:asciiTheme="minorHAnsi" w:hAnsiTheme="minorHAnsi"/>
                <w:color w:val="000000"/>
                <w:sz w:val="16"/>
                <w:szCs w:val="16"/>
              </w:rPr>
              <w:t>promouvoir</w:t>
            </w:r>
            <w:proofErr w:type="gramEnd"/>
            <w:r w:rsidRPr="009C33F9">
              <w:rPr>
                <w:rFonts w:asciiTheme="minorHAnsi" w:hAnsiTheme="minorHAnsi"/>
                <w:color w:val="000000"/>
                <w:sz w:val="16"/>
                <w:szCs w:val="16"/>
              </w:rPr>
              <w:t xml:space="preserve"> les achats locaux</w:t>
            </w:r>
          </w:p>
        </w:tc>
        <w:tc>
          <w:tcPr>
            <w:tcW w:w="1417" w:type="dxa"/>
            <w:tcBorders>
              <w:top w:val="nil"/>
              <w:left w:val="nil"/>
              <w:bottom w:val="single" w:sz="4" w:space="0" w:color="auto"/>
              <w:right w:val="single" w:sz="4" w:space="0" w:color="auto"/>
            </w:tcBorders>
            <w:shd w:val="clear" w:color="auto" w:fill="auto"/>
            <w:vAlign w:val="center"/>
            <w:hideMark/>
          </w:tcPr>
          <w:p w14:paraId="1D8DDD1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500 000   </w:t>
            </w:r>
          </w:p>
        </w:tc>
        <w:tc>
          <w:tcPr>
            <w:tcW w:w="1276" w:type="dxa"/>
            <w:tcBorders>
              <w:top w:val="nil"/>
              <w:left w:val="nil"/>
              <w:bottom w:val="single" w:sz="4" w:space="0" w:color="auto"/>
              <w:right w:val="single" w:sz="4" w:space="0" w:color="auto"/>
            </w:tcBorders>
            <w:shd w:val="clear" w:color="auto" w:fill="auto"/>
            <w:vAlign w:val="center"/>
            <w:hideMark/>
          </w:tcPr>
          <w:p w14:paraId="6667B85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417942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079C99DB"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125 000   </w:t>
            </w:r>
          </w:p>
        </w:tc>
        <w:tc>
          <w:tcPr>
            <w:tcW w:w="1842" w:type="dxa"/>
            <w:tcBorders>
              <w:top w:val="nil"/>
              <w:left w:val="nil"/>
              <w:bottom w:val="single" w:sz="4" w:space="0" w:color="auto"/>
              <w:right w:val="single" w:sz="4" w:space="0" w:color="auto"/>
            </w:tcBorders>
            <w:shd w:val="clear" w:color="auto" w:fill="auto"/>
            <w:vAlign w:val="center"/>
            <w:hideMark/>
          </w:tcPr>
          <w:p w14:paraId="1DC724A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175 000   </w:t>
            </w:r>
          </w:p>
        </w:tc>
        <w:tc>
          <w:tcPr>
            <w:tcW w:w="1843" w:type="dxa"/>
            <w:tcBorders>
              <w:top w:val="nil"/>
              <w:left w:val="nil"/>
              <w:bottom w:val="single" w:sz="4" w:space="0" w:color="auto"/>
              <w:right w:val="single" w:sz="4" w:space="0" w:color="auto"/>
            </w:tcBorders>
            <w:shd w:val="clear" w:color="auto" w:fill="auto"/>
            <w:vAlign w:val="center"/>
            <w:hideMark/>
          </w:tcPr>
          <w:p w14:paraId="7BD6CA9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200 000   </w:t>
            </w:r>
          </w:p>
        </w:tc>
        <w:tc>
          <w:tcPr>
            <w:tcW w:w="2693" w:type="dxa"/>
            <w:tcBorders>
              <w:top w:val="nil"/>
              <w:left w:val="nil"/>
              <w:bottom w:val="single" w:sz="4" w:space="0" w:color="auto"/>
              <w:right w:val="single" w:sz="4" w:space="0" w:color="auto"/>
            </w:tcBorders>
            <w:shd w:val="clear" w:color="auto" w:fill="auto"/>
            <w:vAlign w:val="center"/>
            <w:hideMark/>
          </w:tcPr>
          <w:p w14:paraId="7A265F6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500 000   </w:t>
            </w:r>
          </w:p>
        </w:tc>
      </w:tr>
      <w:tr w:rsidR="009C33F9" w:rsidRPr="009C33F9" w14:paraId="3F64DA16" w14:textId="77777777" w:rsidTr="009C33F9">
        <w:trPr>
          <w:trHeight w:val="1500"/>
        </w:trPr>
        <w:tc>
          <w:tcPr>
            <w:tcW w:w="1289" w:type="dxa"/>
            <w:tcBorders>
              <w:top w:val="nil"/>
              <w:left w:val="single" w:sz="4" w:space="0" w:color="auto"/>
              <w:bottom w:val="single" w:sz="4" w:space="0" w:color="auto"/>
              <w:right w:val="single" w:sz="4" w:space="0" w:color="auto"/>
            </w:tcBorders>
            <w:shd w:val="clear" w:color="auto" w:fill="auto"/>
            <w:hideMark/>
          </w:tcPr>
          <w:p w14:paraId="56348563"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lastRenderedPageBreak/>
              <w:t> </w:t>
            </w:r>
          </w:p>
        </w:tc>
        <w:tc>
          <w:tcPr>
            <w:tcW w:w="1405" w:type="dxa"/>
            <w:tcBorders>
              <w:top w:val="nil"/>
              <w:left w:val="nil"/>
              <w:bottom w:val="single" w:sz="4" w:space="0" w:color="auto"/>
              <w:right w:val="single" w:sz="4" w:space="0" w:color="auto"/>
            </w:tcBorders>
            <w:shd w:val="clear" w:color="auto" w:fill="auto"/>
            <w:vAlign w:val="center"/>
            <w:hideMark/>
          </w:tcPr>
          <w:p w14:paraId="37EE11D0"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Soutenir l’initiative privée par la création de co-entreprise (joint-venture) avec des sociétés minières africaines ou internationales </w:t>
            </w:r>
          </w:p>
        </w:tc>
        <w:tc>
          <w:tcPr>
            <w:tcW w:w="1417" w:type="dxa"/>
            <w:tcBorders>
              <w:top w:val="nil"/>
              <w:left w:val="nil"/>
              <w:bottom w:val="single" w:sz="4" w:space="0" w:color="auto"/>
              <w:right w:val="single" w:sz="4" w:space="0" w:color="auto"/>
            </w:tcBorders>
            <w:shd w:val="clear" w:color="auto" w:fill="auto"/>
            <w:vAlign w:val="center"/>
            <w:hideMark/>
          </w:tcPr>
          <w:p w14:paraId="432E332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PM (cf. Sous-traitance)  </w:t>
            </w:r>
          </w:p>
        </w:tc>
        <w:tc>
          <w:tcPr>
            <w:tcW w:w="1276" w:type="dxa"/>
            <w:tcBorders>
              <w:top w:val="nil"/>
              <w:left w:val="nil"/>
              <w:bottom w:val="single" w:sz="4" w:space="0" w:color="auto"/>
              <w:right w:val="single" w:sz="4" w:space="0" w:color="auto"/>
            </w:tcBorders>
            <w:shd w:val="clear" w:color="auto" w:fill="auto"/>
            <w:vAlign w:val="center"/>
            <w:hideMark/>
          </w:tcPr>
          <w:p w14:paraId="5E6D29C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CE94DA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D54D1A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14:paraId="79FB4F7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3924DF6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2693" w:type="dxa"/>
            <w:tcBorders>
              <w:top w:val="nil"/>
              <w:left w:val="nil"/>
              <w:bottom w:val="single" w:sz="4" w:space="0" w:color="auto"/>
              <w:right w:val="single" w:sz="4" w:space="0" w:color="auto"/>
            </w:tcBorders>
            <w:shd w:val="clear" w:color="auto" w:fill="auto"/>
            <w:vAlign w:val="center"/>
            <w:hideMark/>
          </w:tcPr>
          <w:p w14:paraId="569C25D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r>
      <w:tr w:rsidR="009C33F9" w:rsidRPr="009C33F9" w14:paraId="1FBEE79C" w14:textId="77777777" w:rsidTr="009C33F9">
        <w:trPr>
          <w:trHeight w:val="1500"/>
        </w:trPr>
        <w:tc>
          <w:tcPr>
            <w:tcW w:w="1289" w:type="dxa"/>
            <w:tcBorders>
              <w:top w:val="nil"/>
              <w:left w:val="single" w:sz="4" w:space="0" w:color="auto"/>
              <w:bottom w:val="single" w:sz="4" w:space="0" w:color="auto"/>
              <w:right w:val="single" w:sz="4" w:space="0" w:color="auto"/>
            </w:tcBorders>
            <w:shd w:val="clear" w:color="auto" w:fill="auto"/>
            <w:hideMark/>
          </w:tcPr>
          <w:p w14:paraId="1B0F592F"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36DD15B9"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Aider à développer un partenariat entre les sociétés minières et les banques et autres établissements financiers  </w:t>
            </w:r>
          </w:p>
        </w:tc>
        <w:tc>
          <w:tcPr>
            <w:tcW w:w="1417" w:type="dxa"/>
            <w:tcBorders>
              <w:top w:val="nil"/>
              <w:left w:val="nil"/>
              <w:bottom w:val="single" w:sz="4" w:space="0" w:color="auto"/>
              <w:right w:val="single" w:sz="4" w:space="0" w:color="auto"/>
            </w:tcBorders>
            <w:shd w:val="clear" w:color="auto" w:fill="auto"/>
            <w:vAlign w:val="center"/>
            <w:hideMark/>
          </w:tcPr>
          <w:p w14:paraId="5A97362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PM (sous –</w:t>
            </w:r>
            <w:proofErr w:type="spellStart"/>
            <w:r w:rsidRPr="009C33F9">
              <w:rPr>
                <w:rFonts w:asciiTheme="minorHAnsi" w:hAnsiTheme="minorHAnsi"/>
                <w:b/>
                <w:bCs/>
                <w:color w:val="000000"/>
                <w:sz w:val="16"/>
                <w:szCs w:val="16"/>
              </w:rPr>
              <w:t>traitance</w:t>
            </w:r>
            <w:proofErr w:type="spellEnd"/>
            <w:r w:rsidRPr="009C33F9">
              <w:rPr>
                <w:rFonts w:asciiTheme="minorHAnsi" w:hAnsiTheme="minorHAnsi"/>
                <w:b/>
                <w:bCs/>
                <w:color w:val="000000"/>
                <w:sz w:val="16"/>
                <w:szCs w:val="16"/>
              </w:rPr>
              <w:t xml:space="preserve">) </w:t>
            </w:r>
          </w:p>
        </w:tc>
        <w:tc>
          <w:tcPr>
            <w:tcW w:w="1276" w:type="dxa"/>
            <w:tcBorders>
              <w:top w:val="nil"/>
              <w:left w:val="nil"/>
              <w:bottom w:val="single" w:sz="4" w:space="0" w:color="auto"/>
              <w:right w:val="single" w:sz="4" w:space="0" w:color="auto"/>
            </w:tcBorders>
            <w:shd w:val="clear" w:color="auto" w:fill="auto"/>
            <w:vAlign w:val="center"/>
            <w:hideMark/>
          </w:tcPr>
          <w:p w14:paraId="7604FE6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38A0DB3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0E07659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842" w:type="dxa"/>
            <w:tcBorders>
              <w:top w:val="nil"/>
              <w:left w:val="nil"/>
              <w:bottom w:val="single" w:sz="4" w:space="0" w:color="auto"/>
              <w:right w:val="single" w:sz="4" w:space="0" w:color="auto"/>
            </w:tcBorders>
            <w:shd w:val="clear" w:color="auto" w:fill="auto"/>
            <w:vAlign w:val="center"/>
            <w:hideMark/>
          </w:tcPr>
          <w:p w14:paraId="4CD10EB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843" w:type="dxa"/>
            <w:tcBorders>
              <w:top w:val="nil"/>
              <w:left w:val="nil"/>
              <w:bottom w:val="single" w:sz="4" w:space="0" w:color="auto"/>
              <w:right w:val="single" w:sz="4" w:space="0" w:color="auto"/>
            </w:tcBorders>
            <w:shd w:val="clear" w:color="auto" w:fill="auto"/>
            <w:vAlign w:val="center"/>
            <w:hideMark/>
          </w:tcPr>
          <w:p w14:paraId="0B2DAF6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2693" w:type="dxa"/>
            <w:tcBorders>
              <w:top w:val="nil"/>
              <w:left w:val="nil"/>
              <w:bottom w:val="single" w:sz="4" w:space="0" w:color="auto"/>
              <w:right w:val="single" w:sz="4" w:space="0" w:color="auto"/>
            </w:tcBorders>
            <w:shd w:val="clear" w:color="auto" w:fill="auto"/>
            <w:vAlign w:val="center"/>
            <w:hideMark/>
          </w:tcPr>
          <w:p w14:paraId="72AE31F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r>
      <w:tr w:rsidR="009C33F9" w:rsidRPr="009C33F9" w14:paraId="29CDF937" w14:textId="77777777" w:rsidTr="009C33F9">
        <w:trPr>
          <w:trHeight w:val="900"/>
        </w:trPr>
        <w:tc>
          <w:tcPr>
            <w:tcW w:w="1289" w:type="dxa"/>
            <w:tcBorders>
              <w:top w:val="nil"/>
              <w:left w:val="single" w:sz="4" w:space="0" w:color="auto"/>
              <w:bottom w:val="single" w:sz="4" w:space="0" w:color="auto"/>
              <w:right w:val="single" w:sz="4" w:space="0" w:color="auto"/>
            </w:tcBorders>
            <w:shd w:val="clear" w:color="auto" w:fill="auto"/>
            <w:hideMark/>
          </w:tcPr>
          <w:p w14:paraId="79C8054A"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097FDBE0"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Création d’un fonds souverain pour soutenir le développement d’industrie de diverses natures</w:t>
            </w:r>
          </w:p>
        </w:tc>
        <w:tc>
          <w:tcPr>
            <w:tcW w:w="1417" w:type="dxa"/>
            <w:tcBorders>
              <w:top w:val="nil"/>
              <w:left w:val="nil"/>
              <w:bottom w:val="single" w:sz="4" w:space="0" w:color="auto"/>
              <w:right w:val="single" w:sz="4" w:space="0" w:color="auto"/>
            </w:tcBorders>
            <w:shd w:val="clear" w:color="auto" w:fill="auto"/>
            <w:vAlign w:val="center"/>
            <w:hideMark/>
          </w:tcPr>
          <w:p w14:paraId="0922DAB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6 500 000   </w:t>
            </w:r>
          </w:p>
        </w:tc>
        <w:tc>
          <w:tcPr>
            <w:tcW w:w="1276" w:type="dxa"/>
            <w:tcBorders>
              <w:top w:val="nil"/>
              <w:left w:val="nil"/>
              <w:bottom w:val="single" w:sz="4" w:space="0" w:color="auto"/>
              <w:right w:val="single" w:sz="4" w:space="0" w:color="auto"/>
            </w:tcBorders>
            <w:shd w:val="clear" w:color="auto" w:fill="auto"/>
            <w:vAlign w:val="center"/>
            <w:hideMark/>
          </w:tcPr>
          <w:p w14:paraId="192E97F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B88E2FB"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D78818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1 625 000   </w:t>
            </w:r>
          </w:p>
        </w:tc>
        <w:tc>
          <w:tcPr>
            <w:tcW w:w="1842" w:type="dxa"/>
            <w:tcBorders>
              <w:top w:val="nil"/>
              <w:left w:val="nil"/>
              <w:bottom w:val="single" w:sz="4" w:space="0" w:color="auto"/>
              <w:right w:val="single" w:sz="4" w:space="0" w:color="auto"/>
            </w:tcBorders>
            <w:shd w:val="clear" w:color="auto" w:fill="auto"/>
            <w:vAlign w:val="center"/>
            <w:hideMark/>
          </w:tcPr>
          <w:p w14:paraId="530D5F9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2 275 000   </w:t>
            </w:r>
          </w:p>
        </w:tc>
        <w:tc>
          <w:tcPr>
            <w:tcW w:w="1843" w:type="dxa"/>
            <w:tcBorders>
              <w:top w:val="nil"/>
              <w:left w:val="nil"/>
              <w:bottom w:val="single" w:sz="4" w:space="0" w:color="auto"/>
              <w:right w:val="single" w:sz="4" w:space="0" w:color="auto"/>
            </w:tcBorders>
            <w:shd w:val="clear" w:color="auto" w:fill="auto"/>
            <w:vAlign w:val="center"/>
            <w:hideMark/>
          </w:tcPr>
          <w:p w14:paraId="431A393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2 600 000   </w:t>
            </w:r>
          </w:p>
        </w:tc>
        <w:tc>
          <w:tcPr>
            <w:tcW w:w="2693" w:type="dxa"/>
            <w:tcBorders>
              <w:top w:val="nil"/>
              <w:left w:val="nil"/>
              <w:bottom w:val="single" w:sz="4" w:space="0" w:color="auto"/>
              <w:right w:val="single" w:sz="4" w:space="0" w:color="auto"/>
            </w:tcBorders>
            <w:shd w:val="clear" w:color="auto" w:fill="auto"/>
            <w:vAlign w:val="center"/>
            <w:hideMark/>
          </w:tcPr>
          <w:p w14:paraId="6011E6BE"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6 500 000   </w:t>
            </w:r>
          </w:p>
        </w:tc>
      </w:tr>
      <w:tr w:rsidR="009C33F9" w:rsidRPr="009C33F9" w14:paraId="30EE4B7A" w14:textId="77777777" w:rsidTr="009C33F9">
        <w:trPr>
          <w:trHeight w:val="945"/>
        </w:trPr>
        <w:tc>
          <w:tcPr>
            <w:tcW w:w="1289" w:type="dxa"/>
            <w:tcBorders>
              <w:top w:val="nil"/>
              <w:left w:val="single" w:sz="4" w:space="0" w:color="auto"/>
              <w:bottom w:val="single" w:sz="4" w:space="0" w:color="auto"/>
              <w:right w:val="single" w:sz="4" w:space="0" w:color="auto"/>
            </w:tcBorders>
            <w:shd w:val="clear" w:color="auto" w:fill="auto"/>
            <w:vAlign w:val="center"/>
            <w:hideMark/>
          </w:tcPr>
          <w:p w14:paraId="5DDE85E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Sous total axe 6 </w:t>
            </w:r>
          </w:p>
        </w:tc>
        <w:tc>
          <w:tcPr>
            <w:tcW w:w="1405" w:type="dxa"/>
            <w:tcBorders>
              <w:top w:val="nil"/>
              <w:left w:val="nil"/>
              <w:bottom w:val="single" w:sz="4" w:space="0" w:color="auto"/>
              <w:right w:val="single" w:sz="4" w:space="0" w:color="auto"/>
            </w:tcBorders>
            <w:shd w:val="clear" w:color="auto" w:fill="auto"/>
            <w:vAlign w:val="center"/>
            <w:hideMark/>
          </w:tcPr>
          <w:p w14:paraId="3CC4B1D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60E819D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7 300 000   </w:t>
            </w:r>
          </w:p>
        </w:tc>
        <w:tc>
          <w:tcPr>
            <w:tcW w:w="1276" w:type="dxa"/>
            <w:tcBorders>
              <w:top w:val="nil"/>
              <w:left w:val="nil"/>
              <w:bottom w:val="single" w:sz="4" w:space="0" w:color="auto"/>
              <w:right w:val="single" w:sz="4" w:space="0" w:color="auto"/>
            </w:tcBorders>
            <w:shd w:val="clear" w:color="auto" w:fill="auto"/>
            <w:vAlign w:val="center"/>
            <w:hideMark/>
          </w:tcPr>
          <w:p w14:paraId="4333390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F205E3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7CA800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1 825 000   </w:t>
            </w:r>
          </w:p>
        </w:tc>
        <w:tc>
          <w:tcPr>
            <w:tcW w:w="1842" w:type="dxa"/>
            <w:tcBorders>
              <w:top w:val="nil"/>
              <w:left w:val="nil"/>
              <w:bottom w:val="single" w:sz="4" w:space="0" w:color="auto"/>
              <w:right w:val="single" w:sz="4" w:space="0" w:color="auto"/>
            </w:tcBorders>
            <w:shd w:val="clear" w:color="auto" w:fill="auto"/>
            <w:vAlign w:val="center"/>
            <w:hideMark/>
          </w:tcPr>
          <w:p w14:paraId="6E9E5A8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2 555 000   </w:t>
            </w:r>
          </w:p>
        </w:tc>
        <w:tc>
          <w:tcPr>
            <w:tcW w:w="1843" w:type="dxa"/>
            <w:tcBorders>
              <w:top w:val="nil"/>
              <w:left w:val="nil"/>
              <w:bottom w:val="single" w:sz="4" w:space="0" w:color="auto"/>
              <w:right w:val="single" w:sz="4" w:space="0" w:color="auto"/>
            </w:tcBorders>
            <w:shd w:val="clear" w:color="auto" w:fill="auto"/>
            <w:vAlign w:val="center"/>
            <w:hideMark/>
          </w:tcPr>
          <w:p w14:paraId="4C0463B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2 920 000   </w:t>
            </w:r>
          </w:p>
        </w:tc>
        <w:tc>
          <w:tcPr>
            <w:tcW w:w="2693" w:type="dxa"/>
            <w:tcBorders>
              <w:top w:val="nil"/>
              <w:left w:val="nil"/>
              <w:bottom w:val="single" w:sz="4" w:space="0" w:color="auto"/>
              <w:right w:val="single" w:sz="4" w:space="0" w:color="auto"/>
            </w:tcBorders>
            <w:shd w:val="clear" w:color="auto" w:fill="auto"/>
            <w:vAlign w:val="center"/>
            <w:hideMark/>
          </w:tcPr>
          <w:p w14:paraId="5F71EF1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7 300 000   </w:t>
            </w:r>
          </w:p>
        </w:tc>
      </w:tr>
      <w:tr w:rsidR="009C33F9" w:rsidRPr="009C33F9" w14:paraId="49F18CC9" w14:textId="77777777" w:rsidTr="009C33F9">
        <w:trPr>
          <w:trHeight w:val="1500"/>
        </w:trPr>
        <w:tc>
          <w:tcPr>
            <w:tcW w:w="1289" w:type="dxa"/>
            <w:tcBorders>
              <w:top w:val="nil"/>
              <w:left w:val="single" w:sz="4" w:space="0" w:color="auto"/>
              <w:bottom w:val="single" w:sz="4" w:space="0" w:color="auto"/>
              <w:right w:val="single" w:sz="4" w:space="0" w:color="auto"/>
            </w:tcBorders>
            <w:shd w:val="clear" w:color="auto" w:fill="auto"/>
            <w:vAlign w:val="center"/>
            <w:hideMark/>
          </w:tcPr>
          <w:p w14:paraId="40D26668" w14:textId="77777777" w:rsidR="009C33F9" w:rsidRPr="009C33F9" w:rsidRDefault="009C33F9" w:rsidP="009C33F9">
            <w:pPr>
              <w:rPr>
                <w:rFonts w:asciiTheme="minorHAnsi" w:hAnsiTheme="minorHAnsi"/>
                <w:sz w:val="16"/>
                <w:szCs w:val="16"/>
              </w:rPr>
            </w:pPr>
            <w:r w:rsidRPr="009C33F9">
              <w:rPr>
                <w:rFonts w:asciiTheme="minorHAnsi" w:hAnsiTheme="minorHAnsi"/>
                <w:sz w:val="16"/>
                <w:szCs w:val="16"/>
              </w:rPr>
              <w:t xml:space="preserve">Axe stratégique 7 : Contribution au développement durable Faire des mines un vecteur de développement durable </w:t>
            </w:r>
          </w:p>
        </w:tc>
        <w:tc>
          <w:tcPr>
            <w:tcW w:w="1405" w:type="dxa"/>
            <w:tcBorders>
              <w:top w:val="nil"/>
              <w:left w:val="nil"/>
              <w:bottom w:val="single" w:sz="4" w:space="0" w:color="auto"/>
              <w:right w:val="single" w:sz="4" w:space="0" w:color="auto"/>
            </w:tcBorders>
            <w:shd w:val="clear" w:color="auto" w:fill="auto"/>
            <w:vAlign w:val="center"/>
            <w:hideMark/>
          </w:tcPr>
          <w:p w14:paraId="62AF6A83" w14:textId="60A04D81"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Intégrer les </w:t>
            </w:r>
            <w:r w:rsidR="002607E5" w:rsidRPr="009C33F9">
              <w:rPr>
                <w:rFonts w:asciiTheme="minorHAnsi" w:hAnsiTheme="minorHAnsi"/>
                <w:color w:val="000000"/>
                <w:sz w:val="16"/>
                <w:szCs w:val="16"/>
              </w:rPr>
              <w:t>projets miniers</w:t>
            </w:r>
            <w:r w:rsidRPr="009C33F9">
              <w:rPr>
                <w:rFonts w:asciiTheme="minorHAnsi" w:hAnsiTheme="minorHAnsi"/>
                <w:color w:val="000000"/>
                <w:sz w:val="16"/>
                <w:szCs w:val="16"/>
              </w:rPr>
              <w:t xml:space="preserve"> et pétroliers dans </w:t>
            </w:r>
            <w:r w:rsidR="002607E5" w:rsidRPr="009C33F9">
              <w:rPr>
                <w:rFonts w:asciiTheme="minorHAnsi" w:hAnsiTheme="minorHAnsi"/>
                <w:color w:val="000000"/>
                <w:sz w:val="16"/>
                <w:szCs w:val="16"/>
              </w:rPr>
              <w:t>les PDESC</w:t>
            </w:r>
            <w:r w:rsidRPr="009C33F9">
              <w:rPr>
                <w:rFonts w:asciiTheme="minorHAnsi" w:hAnsiTheme="minorHAnsi"/>
                <w:color w:val="000000"/>
                <w:sz w:val="16"/>
                <w:szCs w:val="16"/>
              </w:rPr>
              <w:t xml:space="preserve"> </w:t>
            </w:r>
          </w:p>
        </w:tc>
        <w:tc>
          <w:tcPr>
            <w:tcW w:w="1417" w:type="dxa"/>
            <w:tcBorders>
              <w:top w:val="nil"/>
              <w:left w:val="nil"/>
              <w:bottom w:val="single" w:sz="4" w:space="0" w:color="auto"/>
              <w:right w:val="single" w:sz="4" w:space="0" w:color="auto"/>
            </w:tcBorders>
            <w:shd w:val="clear" w:color="auto" w:fill="auto"/>
            <w:vAlign w:val="center"/>
            <w:hideMark/>
          </w:tcPr>
          <w:p w14:paraId="7E960F6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100 000   </w:t>
            </w:r>
          </w:p>
        </w:tc>
        <w:tc>
          <w:tcPr>
            <w:tcW w:w="1276" w:type="dxa"/>
            <w:tcBorders>
              <w:top w:val="nil"/>
              <w:left w:val="nil"/>
              <w:bottom w:val="single" w:sz="4" w:space="0" w:color="auto"/>
              <w:right w:val="single" w:sz="4" w:space="0" w:color="auto"/>
            </w:tcBorders>
            <w:shd w:val="clear" w:color="auto" w:fill="auto"/>
            <w:vAlign w:val="center"/>
            <w:hideMark/>
          </w:tcPr>
          <w:p w14:paraId="5DDA179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12C8042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1E540F2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25 000   </w:t>
            </w:r>
          </w:p>
        </w:tc>
        <w:tc>
          <w:tcPr>
            <w:tcW w:w="1842" w:type="dxa"/>
            <w:tcBorders>
              <w:top w:val="nil"/>
              <w:left w:val="nil"/>
              <w:bottom w:val="single" w:sz="4" w:space="0" w:color="auto"/>
              <w:right w:val="single" w:sz="4" w:space="0" w:color="auto"/>
            </w:tcBorders>
            <w:shd w:val="clear" w:color="auto" w:fill="auto"/>
            <w:vAlign w:val="center"/>
            <w:hideMark/>
          </w:tcPr>
          <w:p w14:paraId="19D633D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35 000   </w:t>
            </w:r>
          </w:p>
        </w:tc>
        <w:tc>
          <w:tcPr>
            <w:tcW w:w="1843" w:type="dxa"/>
            <w:tcBorders>
              <w:top w:val="nil"/>
              <w:left w:val="nil"/>
              <w:bottom w:val="single" w:sz="4" w:space="0" w:color="auto"/>
              <w:right w:val="single" w:sz="4" w:space="0" w:color="auto"/>
            </w:tcBorders>
            <w:shd w:val="clear" w:color="auto" w:fill="auto"/>
            <w:vAlign w:val="center"/>
            <w:hideMark/>
          </w:tcPr>
          <w:p w14:paraId="498FB5CB"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40 000   </w:t>
            </w:r>
          </w:p>
        </w:tc>
        <w:tc>
          <w:tcPr>
            <w:tcW w:w="2693" w:type="dxa"/>
            <w:tcBorders>
              <w:top w:val="nil"/>
              <w:left w:val="nil"/>
              <w:bottom w:val="single" w:sz="4" w:space="0" w:color="auto"/>
              <w:right w:val="single" w:sz="4" w:space="0" w:color="auto"/>
            </w:tcBorders>
            <w:shd w:val="clear" w:color="auto" w:fill="auto"/>
            <w:vAlign w:val="center"/>
            <w:hideMark/>
          </w:tcPr>
          <w:p w14:paraId="293DFBC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100 000   </w:t>
            </w:r>
          </w:p>
        </w:tc>
      </w:tr>
      <w:tr w:rsidR="009C33F9" w:rsidRPr="009C33F9" w14:paraId="51D38295" w14:textId="77777777" w:rsidTr="009C33F9">
        <w:trPr>
          <w:trHeight w:val="900"/>
        </w:trPr>
        <w:tc>
          <w:tcPr>
            <w:tcW w:w="1289" w:type="dxa"/>
            <w:tcBorders>
              <w:top w:val="nil"/>
              <w:left w:val="single" w:sz="4" w:space="0" w:color="auto"/>
              <w:bottom w:val="single" w:sz="4" w:space="0" w:color="auto"/>
              <w:right w:val="single" w:sz="4" w:space="0" w:color="auto"/>
            </w:tcBorders>
            <w:shd w:val="clear" w:color="auto" w:fill="auto"/>
            <w:vAlign w:val="center"/>
            <w:hideMark/>
          </w:tcPr>
          <w:p w14:paraId="52B2E664" w14:textId="77777777" w:rsidR="009C33F9" w:rsidRPr="009C33F9" w:rsidRDefault="009C33F9" w:rsidP="009C33F9">
            <w:pPr>
              <w:rPr>
                <w:rFonts w:asciiTheme="minorHAnsi" w:hAnsiTheme="minorHAnsi"/>
                <w:sz w:val="16"/>
                <w:szCs w:val="16"/>
              </w:rPr>
            </w:pPr>
            <w:r w:rsidRPr="009C33F9">
              <w:rPr>
                <w:rFonts w:asciiTheme="minorHAnsi" w:hAnsiTheme="minorHAnsi"/>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343D6F55"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Promouvoir la RSE des entreprises minières et pétrolières </w:t>
            </w:r>
          </w:p>
        </w:tc>
        <w:tc>
          <w:tcPr>
            <w:tcW w:w="1417" w:type="dxa"/>
            <w:tcBorders>
              <w:top w:val="nil"/>
              <w:left w:val="nil"/>
              <w:bottom w:val="single" w:sz="4" w:space="0" w:color="auto"/>
              <w:right w:val="single" w:sz="4" w:space="0" w:color="auto"/>
            </w:tcBorders>
            <w:shd w:val="clear" w:color="auto" w:fill="auto"/>
            <w:vAlign w:val="center"/>
            <w:hideMark/>
          </w:tcPr>
          <w:p w14:paraId="33E4E40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14:paraId="6F0C935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07D76A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783DBCDB"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1842" w:type="dxa"/>
            <w:tcBorders>
              <w:top w:val="nil"/>
              <w:left w:val="nil"/>
              <w:bottom w:val="single" w:sz="4" w:space="0" w:color="auto"/>
              <w:right w:val="single" w:sz="4" w:space="0" w:color="auto"/>
            </w:tcBorders>
            <w:shd w:val="clear" w:color="auto" w:fill="auto"/>
            <w:vAlign w:val="center"/>
            <w:hideMark/>
          </w:tcPr>
          <w:p w14:paraId="738315BE"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1843" w:type="dxa"/>
            <w:tcBorders>
              <w:top w:val="nil"/>
              <w:left w:val="nil"/>
              <w:bottom w:val="single" w:sz="4" w:space="0" w:color="auto"/>
              <w:right w:val="single" w:sz="4" w:space="0" w:color="auto"/>
            </w:tcBorders>
            <w:shd w:val="clear" w:color="auto" w:fill="auto"/>
            <w:vAlign w:val="center"/>
            <w:hideMark/>
          </w:tcPr>
          <w:p w14:paraId="06E6015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c>
          <w:tcPr>
            <w:tcW w:w="2693" w:type="dxa"/>
            <w:tcBorders>
              <w:top w:val="nil"/>
              <w:left w:val="nil"/>
              <w:bottom w:val="single" w:sz="4" w:space="0" w:color="auto"/>
              <w:right w:val="single" w:sz="4" w:space="0" w:color="auto"/>
            </w:tcBorders>
            <w:shd w:val="clear" w:color="auto" w:fill="auto"/>
            <w:vAlign w:val="center"/>
            <w:hideMark/>
          </w:tcPr>
          <w:p w14:paraId="40CE9FC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     </w:t>
            </w:r>
          </w:p>
        </w:tc>
      </w:tr>
      <w:tr w:rsidR="009C33F9" w:rsidRPr="009C33F9" w14:paraId="079EABB1" w14:textId="77777777" w:rsidTr="009C33F9">
        <w:trPr>
          <w:trHeight w:val="900"/>
        </w:trPr>
        <w:tc>
          <w:tcPr>
            <w:tcW w:w="1289" w:type="dxa"/>
            <w:tcBorders>
              <w:top w:val="nil"/>
              <w:left w:val="single" w:sz="4" w:space="0" w:color="auto"/>
              <w:bottom w:val="single" w:sz="4" w:space="0" w:color="auto"/>
              <w:right w:val="single" w:sz="4" w:space="0" w:color="auto"/>
            </w:tcBorders>
            <w:shd w:val="clear" w:color="auto" w:fill="auto"/>
            <w:hideMark/>
          </w:tcPr>
          <w:p w14:paraId="3A45754E"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15B20FC0"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Renforcer les capacités de suivi et de contrôle des activités minières des populations </w:t>
            </w:r>
          </w:p>
        </w:tc>
        <w:tc>
          <w:tcPr>
            <w:tcW w:w="1417" w:type="dxa"/>
            <w:tcBorders>
              <w:top w:val="nil"/>
              <w:left w:val="nil"/>
              <w:bottom w:val="single" w:sz="4" w:space="0" w:color="auto"/>
              <w:right w:val="single" w:sz="4" w:space="0" w:color="auto"/>
            </w:tcBorders>
            <w:shd w:val="clear" w:color="auto" w:fill="auto"/>
            <w:vAlign w:val="center"/>
            <w:hideMark/>
          </w:tcPr>
          <w:p w14:paraId="6B12E721"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955 000   </w:t>
            </w:r>
          </w:p>
        </w:tc>
        <w:tc>
          <w:tcPr>
            <w:tcW w:w="1276" w:type="dxa"/>
            <w:tcBorders>
              <w:top w:val="nil"/>
              <w:left w:val="nil"/>
              <w:bottom w:val="single" w:sz="4" w:space="0" w:color="auto"/>
              <w:right w:val="single" w:sz="4" w:space="0" w:color="auto"/>
            </w:tcBorders>
            <w:shd w:val="clear" w:color="auto" w:fill="auto"/>
            <w:vAlign w:val="center"/>
            <w:hideMark/>
          </w:tcPr>
          <w:p w14:paraId="4F39C78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76A8B7F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41A79AB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238 750   </w:t>
            </w:r>
          </w:p>
        </w:tc>
        <w:tc>
          <w:tcPr>
            <w:tcW w:w="1842" w:type="dxa"/>
            <w:tcBorders>
              <w:top w:val="nil"/>
              <w:left w:val="nil"/>
              <w:bottom w:val="single" w:sz="4" w:space="0" w:color="auto"/>
              <w:right w:val="single" w:sz="4" w:space="0" w:color="auto"/>
            </w:tcBorders>
            <w:shd w:val="clear" w:color="auto" w:fill="auto"/>
            <w:vAlign w:val="center"/>
            <w:hideMark/>
          </w:tcPr>
          <w:p w14:paraId="55E61EE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334 250   </w:t>
            </w:r>
          </w:p>
        </w:tc>
        <w:tc>
          <w:tcPr>
            <w:tcW w:w="1843" w:type="dxa"/>
            <w:tcBorders>
              <w:top w:val="nil"/>
              <w:left w:val="nil"/>
              <w:bottom w:val="single" w:sz="4" w:space="0" w:color="auto"/>
              <w:right w:val="single" w:sz="4" w:space="0" w:color="auto"/>
            </w:tcBorders>
            <w:shd w:val="clear" w:color="auto" w:fill="auto"/>
            <w:vAlign w:val="center"/>
            <w:hideMark/>
          </w:tcPr>
          <w:p w14:paraId="783BD93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382 000   </w:t>
            </w:r>
          </w:p>
        </w:tc>
        <w:tc>
          <w:tcPr>
            <w:tcW w:w="2693" w:type="dxa"/>
            <w:tcBorders>
              <w:top w:val="nil"/>
              <w:left w:val="nil"/>
              <w:bottom w:val="single" w:sz="4" w:space="0" w:color="auto"/>
              <w:right w:val="single" w:sz="4" w:space="0" w:color="auto"/>
            </w:tcBorders>
            <w:shd w:val="clear" w:color="auto" w:fill="auto"/>
            <w:vAlign w:val="center"/>
            <w:hideMark/>
          </w:tcPr>
          <w:p w14:paraId="2B08B1E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955 000   </w:t>
            </w:r>
          </w:p>
        </w:tc>
      </w:tr>
      <w:tr w:rsidR="009C33F9" w:rsidRPr="009C33F9" w14:paraId="759F1E69" w14:textId="77777777" w:rsidTr="009C33F9">
        <w:trPr>
          <w:trHeight w:val="1500"/>
        </w:trPr>
        <w:tc>
          <w:tcPr>
            <w:tcW w:w="1289" w:type="dxa"/>
            <w:tcBorders>
              <w:top w:val="nil"/>
              <w:left w:val="single" w:sz="4" w:space="0" w:color="auto"/>
              <w:bottom w:val="single" w:sz="4" w:space="0" w:color="auto"/>
              <w:right w:val="single" w:sz="4" w:space="0" w:color="auto"/>
            </w:tcBorders>
            <w:shd w:val="clear" w:color="auto" w:fill="auto"/>
            <w:hideMark/>
          </w:tcPr>
          <w:p w14:paraId="6D2D4990"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lastRenderedPageBreak/>
              <w:t> </w:t>
            </w:r>
          </w:p>
        </w:tc>
        <w:tc>
          <w:tcPr>
            <w:tcW w:w="1405" w:type="dxa"/>
            <w:tcBorders>
              <w:top w:val="nil"/>
              <w:left w:val="nil"/>
              <w:bottom w:val="single" w:sz="4" w:space="0" w:color="auto"/>
              <w:right w:val="single" w:sz="4" w:space="0" w:color="auto"/>
            </w:tcBorders>
            <w:shd w:val="clear" w:color="auto" w:fill="auto"/>
            <w:vAlign w:val="center"/>
            <w:hideMark/>
          </w:tcPr>
          <w:p w14:paraId="7D6C1637" w14:textId="77777777" w:rsidR="009C33F9" w:rsidRPr="009C33F9" w:rsidRDefault="009C33F9" w:rsidP="009C33F9">
            <w:pPr>
              <w:rPr>
                <w:rFonts w:asciiTheme="minorHAnsi" w:hAnsiTheme="minorHAnsi"/>
                <w:color w:val="000000"/>
                <w:sz w:val="16"/>
                <w:szCs w:val="16"/>
              </w:rPr>
            </w:pPr>
            <w:proofErr w:type="gramStart"/>
            <w:r w:rsidRPr="009C33F9">
              <w:rPr>
                <w:rFonts w:asciiTheme="minorHAnsi" w:hAnsiTheme="minorHAnsi"/>
                <w:color w:val="000000"/>
                <w:sz w:val="16"/>
                <w:szCs w:val="16"/>
              </w:rPr>
              <w:t>Assurer  la</w:t>
            </w:r>
            <w:proofErr w:type="gramEnd"/>
            <w:r w:rsidRPr="009C33F9">
              <w:rPr>
                <w:rFonts w:asciiTheme="minorHAnsi" w:hAnsiTheme="minorHAnsi"/>
                <w:color w:val="000000"/>
                <w:sz w:val="16"/>
                <w:szCs w:val="16"/>
              </w:rPr>
              <w:t xml:space="preserve"> préservation et la gestion de l’environnement, la réhabilitation des sites d’exploitation et la prise en compte de l’après mine </w:t>
            </w:r>
          </w:p>
        </w:tc>
        <w:tc>
          <w:tcPr>
            <w:tcW w:w="1417" w:type="dxa"/>
            <w:tcBorders>
              <w:top w:val="nil"/>
              <w:left w:val="nil"/>
              <w:bottom w:val="single" w:sz="4" w:space="0" w:color="auto"/>
              <w:right w:val="single" w:sz="4" w:space="0" w:color="auto"/>
            </w:tcBorders>
            <w:shd w:val="clear" w:color="auto" w:fill="auto"/>
            <w:vAlign w:val="center"/>
            <w:hideMark/>
          </w:tcPr>
          <w:p w14:paraId="369D346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108 000   </w:t>
            </w:r>
          </w:p>
        </w:tc>
        <w:tc>
          <w:tcPr>
            <w:tcW w:w="1276" w:type="dxa"/>
            <w:tcBorders>
              <w:top w:val="nil"/>
              <w:left w:val="nil"/>
              <w:bottom w:val="single" w:sz="4" w:space="0" w:color="auto"/>
              <w:right w:val="single" w:sz="4" w:space="0" w:color="auto"/>
            </w:tcBorders>
            <w:shd w:val="clear" w:color="auto" w:fill="auto"/>
            <w:vAlign w:val="center"/>
            <w:hideMark/>
          </w:tcPr>
          <w:p w14:paraId="47EFB64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2305C0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2446F55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27 000   </w:t>
            </w:r>
          </w:p>
        </w:tc>
        <w:tc>
          <w:tcPr>
            <w:tcW w:w="1842" w:type="dxa"/>
            <w:tcBorders>
              <w:top w:val="nil"/>
              <w:left w:val="nil"/>
              <w:bottom w:val="single" w:sz="4" w:space="0" w:color="auto"/>
              <w:right w:val="single" w:sz="4" w:space="0" w:color="auto"/>
            </w:tcBorders>
            <w:shd w:val="clear" w:color="auto" w:fill="auto"/>
            <w:vAlign w:val="center"/>
            <w:hideMark/>
          </w:tcPr>
          <w:p w14:paraId="513E2BE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37 800   </w:t>
            </w:r>
          </w:p>
        </w:tc>
        <w:tc>
          <w:tcPr>
            <w:tcW w:w="1843" w:type="dxa"/>
            <w:tcBorders>
              <w:top w:val="nil"/>
              <w:left w:val="nil"/>
              <w:bottom w:val="single" w:sz="4" w:space="0" w:color="auto"/>
              <w:right w:val="single" w:sz="4" w:space="0" w:color="auto"/>
            </w:tcBorders>
            <w:shd w:val="clear" w:color="auto" w:fill="auto"/>
            <w:vAlign w:val="center"/>
            <w:hideMark/>
          </w:tcPr>
          <w:p w14:paraId="5926D99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43 200   </w:t>
            </w:r>
          </w:p>
        </w:tc>
        <w:tc>
          <w:tcPr>
            <w:tcW w:w="2693" w:type="dxa"/>
            <w:tcBorders>
              <w:top w:val="nil"/>
              <w:left w:val="nil"/>
              <w:bottom w:val="single" w:sz="4" w:space="0" w:color="auto"/>
              <w:right w:val="single" w:sz="4" w:space="0" w:color="auto"/>
            </w:tcBorders>
            <w:shd w:val="clear" w:color="auto" w:fill="auto"/>
            <w:vAlign w:val="center"/>
            <w:hideMark/>
          </w:tcPr>
          <w:p w14:paraId="42774BAE"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108 000   </w:t>
            </w:r>
          </w:p>
        </w:tc>
      </w:tr>
      <w:tr w:rsidR="009C33F9" w:rsidRPr="009C33F9" w14:paraId="0C17D922" w14:textId="77777777" w:rsidTr="009C33F9">
        <w:trPr>
          <w:trHeight w:val="1200"/>
        </w:trPr>
        <w:tc>
          <w:tcPr>
            <w:tcW w:w="1289" w:type="dxa"/>
            <w:tcBorders>
              <w:top w:val="nil"/>
              <w:left w:val="single" w:sz="4" w:space="0" w:color="auto"/>
              <w:bottom w:val="single" w:sz="4" w:space="0" w:color="auto"/>
              <w:right w:val="single" w:sz="4" w:space="0" w:color="auto"/>
            </w:tcBorders>
            <w:shd w:val="clear" w:color="auto" w:fill="auto"/>
            <w:hideMark/>
          </w:tcPr>
          <w:p w14:paraId="745E97EE"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6BF773FA"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xml:space="preserve">Développer des plans d’actions de prévention et de prise en charge les questions de VIH et d’autres </w:t>
            </w:r>
            <w:proofErr w:type="spellStart"/>
            <w:r w:rsidRPr="009C33F9">
              <w:rPr>
                <w:rFonts w:asciiTheme="minorHAnsi" w:hAnsiTheme="minorHAnsi"/>
                <w:color w:val="000000"/>
                <w:sz w:val="16"/>
                <w:szCs w:val="16"/>
              </w:rPr>
              <w:t>ISTs</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0F293B0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50 000   </w:t>
            </w:r>
          </w:p>
        </w:tc>
        <w:tc>
          <w:tcPr>
            <w:tcW w:w="1276" w:type="dxa"/>
            <w:tcBorders>
              <w:top w:val="nil"/>
              <w:left w:val="nil"/>
              <w:bottom w:val="single" w:sz="4" w:space="0" w:color="auto"/>
              <w:right w:val="single" w:sz="4" w:space="0" w:color="auto"/>
            </w:tcBorders>
            <w:shd w:val="clear" w:color="auto" w:fill="auto"/>
            <w:vAlign w:val="center"/>
            <w:hideMark/>
          </w:tcPr>
          <w:p w14:paraId="3BCA431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597D01D4"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2BBC038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12 500   </w:t>
            </w:r>
          </w:p>
        </w:tc>
        <w:tc>
          <w:tcPr>
            <w:tcW w:w="1842" w:type="dxa"/>
            <w:tcBorders>
              <w:top w:val="nil"/>
              <w:left w:val="nil"/>
              <w:bottom w:val="single" w:sz="4" w:space="0" w:color="auto"/>
              <w:right w:val="single" w:sz="4" w:space="0" w:color="auto"/>
            </w:tcBorders>
            <w:shd w:val="clear" w:color="auto" w:fill="auto"/>
            <w:vAlign w:val="center"/>
            <w:hideMark/>
          </w:tcPr>
          <w:p w14:paraId="66DF050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17 500   </w:t>
            </w:r>
          </w:p>
        </w:tc>
        <w:tc>
          <w:tcPr>
            <w:tcW w:w="1843" w:type="dxa"/>
            <w:tcBorders>
              <w:top w:val="nil"/>
              <w:left w:val="nil"/>
              <w:bottom w:val="single" w:sz="4" w:space="0" w:color="auto"/>
              <w:right w:val="single" w:sz="4" w:space="0" w:color="auto"/>
            </w:tcBorders>
            <w:shd w:val="clear" w:color="auto" w:fill="auto"/>
            <w:vAlign w:val="center"/>
            <w:hideMark/>
          </w:tcPr>
          <w:p w14:paraId="14D12BA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20 000   </w:t>
            </w:r>
          </w:p>
        </w:tc>
        <w:tc>
          <w:tcPr>
            <w:tcW w:w="2693" w:type="dxa"/>
            <w:tcBorders>
              <w:top w:val="nil"/>
              <w:left w:val="nil"/>
              <w:bottom w:val="single" w:sz="4" w:space="0" w:color="auto"/>
              <w:right w:val="single" w:sz="4" w:space="0" w:color="auto"/>
            </w:tcBorders>
            <w:shd w:val="clear" w:color="auto" w:fill="auto"/>
            <w:vAlign w:val="center"/>
            <w:hideMark/>
          </w:tcPr>
          <w:p w14:paraId="3785338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50 000   </w:t>
            </w:r>
          </w:p>
        </w:tc>
      </w:tr>
      <w:tr w:rsidR="009C33F9" w:rsidRPr="009C33F9" w14:paraId="17DBA852" w14:textId="77777777" w:rsidTr="009C33F9">
        <w:trPr>
          <w:trHeight w:val="600"/>
        </w:trPr>
        <w:tc>
          <w:tcPr>
            <w:tcW w:w="1289" w:type="dxa"/>
            <w:tcBorders>
              <w:top w:val="nil"/>
              <w:left w:val="single" w:sz="4" w:space="0" w:color="auto"/>
              <w:bottom w:val="single" w:sz="4" w:space="0" w:color="auto"/>
              <w:right w:val="single" w:sz="4" w:space="0" w:color="auto"/>
            </w:tcBorders>
            <w:shd w:val="clear" w:color="auto" w:fill="auto"/>
            <w:hideMark/>
          </w:tcPr>
          <w:p w14:paraId="09F19B36"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14DC2064"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Assurer la sécurité des sites d’exploitation minière</w:t>
            </w:r>
          </w:p>
        </w:tc>
        <w:tc>
          <w:tcPr>
            <w:tcW w:w="1417" w:type="dxa"/>
            <w:tcBorders>
              <w:top w:val="nil"/>
              <w:left w:val="nil"/>
              <w:bottom w:val="single" w:sz="4" w:space="0" w:color="auto"/>
              <w:right w:val="single" w:sz="4" w:space="0" w:color="auto"/>
            </w:tcBorders>
            <w:shd w:val="clear" w:color="auto" w:fill="auto"/>
            <w:vAlign w:val="center"/>
            <w:hideMark/>
          </w:tcPr>
          <w:p w14:paraId="5BD3518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4 000 000   </w:t>
            </w:r>
          </w:p>
        </w:tc>
        <w:tc>
          <w:tcPr>
            <w:tcW w:w="1276" w:type="dxa"/>
            <w:tcBorders>
              <w:top w:val="nil"/>
              <w:left w:val="nil"/>
              <w:bottom w:val="single" w:sz="4" w:space="0" w:color="auto"/>
              <w:right w:val="single" w:sz="4" w:space="0" w:color="auto"/>
            </w:tcBorders>
            <w:shd w:val="clear" w:color="auto" w:fill="auto"/>
            <w:vAlign w:val="center"/>
            <w:hideMark/>
          </w:tcPr>
          <w:p w14:paraId="54EB808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9AECF1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724BEF4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1 000 000   </w:t>
            </w:r>
          </w:p>
        </w:tc>
        <w:tc>
          <w:tcPr>
            <w:tcW w:w="1842" w:type="dxa"/>
            <w:tcBorders>
              <w:top w:val="nil"/>
              <w:left w:val="nil"/>
              <w:bottom w:val="single" w:sz="4" w:space="0" w:color="auto"/>
              <w:right w:val="single" w:sz="4" w:space="0" w:color="auto"/>
            </w:tcBorders>
            <w:shd w:val="clear" w:color="auto" w:fill="auto"/>
            <w:vAlign w:val="center"/>
            <w:hideMark/>
          </w:tcPr>
          <w:p w14:paraId="6627B15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1 400 000   </w:t>
            </w:r>
          </w:p>
        </w:tc>
        <w:tc>
          <w:tcPr>
            <w:tcW w:w="1843" w:type="dxa"/>
            <w:tcBorders>
              <w:top w:val="nil"/>
              <w:left w:val="nil"/>
              <w:bottom w:val="single" w:sz="4" w:space="0" w:color="auto"/>
              <w:right w:val="single" w:sz="4" w:space="0" w:color="auto"/>
            </w:tcBorders>
            <w:shd w:val="clear" w:color="auto" w:fill="auto"/>
            <w:vAlign w:val="center"/>
            <w:hideMark/>
          </w:tcPr>
          <w:p w14:paraId="1BCC21B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1 600 000   </w:t>
            </w:r>
          </w:p>
        </w:tc>
        <w:tc>
          <w:tcPr>
            <w:tcW w:w="2693" w:type="dxa"/>
            <w:tcBorders>
              <w:top w:val="nil"/>
              <w:left w:val="nil"/>
              <w:bottom w:val="single" w:sz="4" w:space="0" w:color="auto"/>
              <w:right w:val="single" w:sz="4" w:space="0" w:color="auto"/>
            </w:tcBorders>
            <w:shd w:val="clear" w:color="auto" w:fill="auto"/>
            <w:vAlign w:val="center"/>
            <w:hideMark/>
          </w:tcPr>
          <w:p w14:paraId="013636A9"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4 000 000   </w:t>
            </w:r>
          </w:p>
        </w:tc>
      </w:tr>
      <w:tr w:rsidR="009C33F9" w:rsidRPr="009C33F9" w14:paraId="7D173602" w14:textId="77777777" w:rsidTr="009C33F9">
        <w:trPr>
          <w:trHeight w:val="469"/>
        </w:trPr>
        <w:tc>
          <w:tcPr>
            <w:tcW w:w="1289" w:type="dxa"/>
            <w:tcBorders>
              <w:top w:val="nil"/>
              <w:left w:val="single" w:sz="4" w:space="0" w:color="auto"/>
              <w:bottom w:val="single" w:sz="4" w:space="0" w:color="auto"/>
              <w:right w:val="single" w:sz="4" w:space="0" w:color="auto"/>
            </w:tcBorders>
            <w:shd w:val="clear" w:color="auto" w:fill="auto"/>
            <w:hideMark/>
          </w:tcPr>
          <w:p w14:paraId="60D50ABC"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Sous total axe 7</w:t>
            </w:r>
          </w:p>
        </w:tc>
        <w:tc>
          <w:tcPr>
            <w:tcW w:w="1405" w:type="dxa"/>
            <w:tcBorders>
              <w:top w:val="nil"/>
              <w:left w:val="nil"/>
              <w:bottom w:val="single" w:sz="4" w:space="0" w:color="auto"/>
              <w:right w:val="single" w:sz="4" w:space="0" w:color="auto"/>
            </w:tcBorders>
            <w:shd w:val="clear" w:color="auto" w:fill="auto"/>
            <w:vAlign w:val="center"/>
            <w:hideMark/>
          </w:tcPr>
          <w:p w14:paraId="6809B56F"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5782517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5 213 000   </w:t>
            </w:r>
          </w:p>
        </w:tc>
        <w:tc>
          <w:tcPr>
            <w:tcW w:w="1276" w:type="dxa"/>
            <w:tcBorders>
              <w:top w:val="nil"/>
              <w:left w:val="nil"/>
              <w:bottom w:val="single" w:sz="4" w:space="0" w:color="auto"/>
              <w:right w:val="single" w:sz="4" w:space="0" w:color="auto"/>
            </w:tcBorders>
            <w:shd w:val="clear" w:color="auto" w:fill="auto"/>
            <w:vAlign w:val="center"/>
            <w:hideMark/>
          </w:tcPr>
          <w:p w14:paraId="3D7C42E2"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31EAD3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2AE8245F"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1 303 250   </w:t>
            </w:r>
          </w:p>
        </w:tc>
        <w:tc>
          <w:tcPr>
            <w:tcW w:w="1842" w:type="dxa"/>
            <w:tcBorders>
              <w:top w:val="nil"/>
              <w:left w:val="nil"/>
              <w:bottom w:val="single" w:sz="4" w:space="0" w:color="auto"/>
              <w:right w:val="single" w:sz="4" w:space="0" w:color="auto"/>
            </w:tcBorders>
            <w:shd w:val="clear" w:color="auto" w:fill="auto"/>
            <w:vAlign w:val="center"/>
            <w:hideMark/>
          </w:tcPr>
          <w:p w14:paraId="26C820FD"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1 824 550   </w:t>
            </w:r>
          </w:p>
        </w:tc>
        <w:tc>
          <w:tcPr>
            <w:tcW w:w="1843" w:type="dxa"/>
            <w:tcBorders>
              <w:top w:val="nil"/>
              <w:left w:val="nil"/>
              <w:bottom w:val="single" w:sz="4" w:space="0" w:color="auto"/>
              <w:right w:val="single" w:sz="4" w:space="0" w:color="auto"/>
            </w:tcBorders>
            <w:shd w:val="clear" w:color="auto" w:fill="auto"/>
            <w:vAlign w:val="center"/>
            <w:hideMark/>
          </w:tcPr>
          <w:p w14:paraId="66A64088"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2 085 200   </w:t>
            </w:r>
          </w:p>
        </w:tc>
        <w:tc>
          <w:tcPr>
            <w:tcW w:w="2693" w:type="dxa"/>
            <w:tcBorders>
              <w:top w:val="nil"/>
              <w:left w:val="nil"/>
              <w:bottom w:val="single" w:sz="4" w:space="0" w:color="auto"/>
              <w:right w:val="single" w:sz="4" w:space="0" w:color="auto"/>
            </w:tcBorders>
            <w:shd w:val="clear" w:color="auto" w:fill="auto"/>
            <w:vAlign w:val="center"/>
            <w:hideMark/>
          </w:tcPr>
          <w:p w14:paraId="13068B3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5 213 000   </w:t>
            </w:r>
          </w:p>
        </w:tc>
      </w:tr>
      <w:tr w:rsidR="009C33F9" w:rsidRPr="009C33F9" w14:paraId="5ECDC18D" w14:textId="77777777" w:rsidTr="009C33F9">
        <w:trPr>
          <w:trHeight w:val="492"/>
        </w:trPr>
        <w:tc>
          <w:tcPr>
            <w:tcW w:w="1289" w:type="dxa"/>
            <w:tcBorders>
              <w:top w:val="nil"/>
              <w:left w:val="single" w:sz="4" w:space="0" w:color="auto"/>
              <w:bottom w:val="single" w:sz="4" w:space="0" w:color="auto"/>
              <w:right w:val="single" w:sz="4" w:space="0" w:color="auto"/>
            </w:tcBorders>
            <w:shd w:val="clear" w:color="auto" w:fill="auto"/>
            <w:vAlign w:val="center"/>
            <w:hideMark/>
          </w:tcPr>
          <w:p w14:paraId="7E7FEF0C" w14:textId="77777777" w:rsidR="009C33F9" w:rsidRPr="009C33F9" w:rsidRDefault="009C33F9" w:rsidP="009C33F9">
            <w:pPr>
              <w:rPr>
                <w:rFonts w:asciiTheme="minorHAnsi" w:hAnsiTheme="minorHAnsi"/>
                <w:b/>
                <w:bCs/>
                <w:sz w:val="16"/>
                <w:szCs w:val="16"/>
              </w:rPr>
            </w:pPr>
            <w:r w:rsidRPr="009C33F9">
              <w:rPr>
                <w:rFonts w:asciiTheme="minorHAnsi" w:hAnsiTheme="minorHAnsi"/>
                <w:b/>
                <w:bCs/>
                <w:sz w:val="16"/>
                <w:szCs w:val="16"/>
              </w:rPr>
              <w:t>Dispositif de suivi évaluation</w:t>
            </w:r>
          </w:p>
        </w:tc>
        <w:tc>
          <w:tcPr>
            <w:tcW w:w="1405" w:type="dxa"/>
            <w:tcBorders>
              <w:top w:val="nil"/>
              <w:left w:val="nil"/>
              <w:bottom w:val="single" w:sz="4" w:space="0" w:color="auto"/>
              <w:right w:val="single" w:sz="4" w:space="0" w:color="auto"/>
            </w:tcBorders>
            <w:shd w:val="clear" w:color="auto" w:fill="auto"/>
            <w:vAlign w:val="center"/>
            <w:hideMark/>
          </w:tcPr>
          <w:p w14:paraId="0D02972C"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 </w:t>
            </w:r>
          </w:p>
        </w:tc>
        <w:tc>
          <w:tcPr>
            <w:tcW w:w="1417" w:type="dxa"/>
            <w:tcBorders>
              <w:top w:val="nil"/>
              <w:left w:val="nil"/>
              <w:bottom w:val="single" w:sz="4" w:space="0" w:color="auto"/>
              <w:right w:val="single" w:sz="4" w:space="0" w:color="auto"/>
            </w:tcBorders>
            <w:shd w:val="clear" w:color="auto" w:fill="auto"/>
            <w:vAlign w:val="center"/>
            <w:hideMark/>
          </w:tcPr>
          <w:p w14:paraId="376E378B"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100 000   </w:t>
            </w:r>
          </w:p>
        </w:tc>
        <w:tc>
          <w:tcPr>
            <w:tcW w:w="1276" w:type="dxa"/>
            <w:tcBorders>
              <w:top w:val="nil"/>
              <w:left w:val="nil"/>
              <w:bottom w:val="single" w:sz="4" w:space="0" w:color="auto"/>
              <w:right w:val="single" w:sz="4" w:space="0" w:color="auto"/>
            </w:tcBorders>
            <w:shd w:val="clear" w:color="auto" w:fill="auto"/>
            <w:vAlign w:val="center"/>
            <w:hideMark/>
          </w:tcPr>
          <w:p w14:paraId="1A55B10E"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64762C97"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24999A2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25 000   </w:t>
            </w:r>
          </w:p>
        </w:tc>
        <w:tc>
          <w:tcPr>
            <w:tcW w:w="1842" w:type="dxa"/>
            <w:tcBorders>
              <w:top w:val="nil"/>
              <w:left w:val="nil"/>
              <w:bottom w:val="single" w:sz="4" w:space="0" w:color="auto"/>
              <w:right w:val="single" w:sz="4" w:space="0" w:color="auto"/>
            </w:tcBorders>
            <w:shd w:val="clear" w:color="auto" w:fill="auto"/>
            <w:vAlign w:val="center"/>
            <w:hideMark/>
          </w:tcPr>
          <w:p w14:paraId="33BAFF2A"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35 000   </w:t>
            </w:r>
          </w:p>
        </w:tc>
        <w:tc>
          <w:tcPr>
            <w:tcW w:w="1843" w:type="dxa"/>
            <w:tcBorders>
              <w:top w:val="nil"/>
              <w:left w:val="nil"/>
              <w:bottom w:val="single" w:sz="4" w:space="0" w:color="auto"/>
              <w:right w:val="single" w:sz="4" w:space="0" w:color="auto"/>
            </w:tcBorders>
            <w:shd w:val="clear" w:color="auto" w:fill="auto"/>
            <w:vAlign w:val="center"/>
            <w:hideMark/>
          </w:tcPr>
          <w:p w14:paraId="27DBCEEB"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40 000   </w:t>
            </w:r>
          </w:p>
        </w:tc>
        <w:tc>
          <w:tcPr>
            <w:tcW w:w="2693" w:type="dxa"/>
            <w:tcBorders>
              <w:top w:val="nil"/>
              <w:left w:val="nil"/>
              <w:bottom w:val="single" w:sz="4" w:space="0" w:color="auto"/>
              <w:right w:val="single" w:sz="4" w:space="0" w:color="auto"/>
            </w:tcBorders>
            <w:shd w:val="clear" w:color="auto" w:fill="auto"/>
            <w:vAlign w:val="center"/>
            <w:hideMark/>
          </w:tcPr>
          <w:p w14:paraId="369DCCFC"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100 000   </w:t>
            </w:r>
          </w:p>
        </w:tc>
      </w:tr>
      <w:tr w:rsidR="009C33F9" w:rsidRPr="009C33F9" w14:paraId="0EA23331" w14:textId="77777777" w:rsidTr="009C33F9">
        <w:trPr>
          <w:trHeight w:val="480"/>
        </w:trPr>
        <w:tc>
          <w:tcPr>
            <w:tcW w:w="1289" w:type="dxa"/>
            <w:tcBorders>
              <w:top w:val="nil"/>
              <w:left w:val="single" w:sz="4" w:space="0" w:color="auto"/>
              <w:bottom w:val="single" w:sz="4" w:space="0" w:color="auto"/>
              <w:right w:val="single" w:sz="4" w:space="0" w:color="auto"/>
            </w:tcBorders>
            <w:shd w:val="clear" w:color="auto" w:fill="auto"/>
            <w:vAlign w:val="center"/>
            <w:hideMark/>
          </w:tcPr>
          <w:p w14:paraId="16872E8B" w14:textId="77777777" w:rsidR="009C33F9" w:rsidRPr="009C33F9" w:rsidRDefault="009C33F9" w:rsidP="009C33F9">
            <w:pPr>
              <w:rPr>
                <w:rFonts w:asciiTheme="minorHAnsi" w:hAnsiTheme="minorHAnsi"/>
                <w:b/>
                <w:bCs/>
                <w:sz w:val="16"/>
                <w:szCs w:val="16"/>
              </w:rPr>
            </w:pPr>
            <w:r w:rsidRPr="009C33F9">
              <w:rPr>
                <w:rFonts w:asciiTheme="minorHAnsi" w:hAnsiTheme="minorHAnsi"/>
                <w:b/>
                <w:bCs/>
                <w:sz w:val="16"/>
                <w:szCs w:val="16"/>
              </w:rPr>
              <w:t> </w:t>
            </w:r>
          </w:p>
        </w:tc>
        <w:tc>
          <w:tcPr>
            <w:tcW w:w="1405" w:type="dxa"/>
            <w:tcBorders>
              <w:top w:val="nil"/>
              <w:left w:val="nil"/>
              <w:bottom w:val="single" w:sz="4" w:space="0" w:color="auto"/>
              <w:right w:val="single" w:sz="4" w:space="0" w:color="auto"/>
            </w:tcBorders>
            <w:shd w:val="clear" w:color="auto" w:fill="auto"/>
            <w:vAlign w:val="center"/>
            <w:hideMark/>
          </w:tcPr>
          <w:p w14:paraId="5B1148AF" w14:textId="77777777" w:rsidR="009C33F9" w:rsidRPr="009C33F9" w:rsidRDefault="009C33F9" w:rsidP="009C33F9">
            <w:pPr>
              <w:rPr>
                <w:rFonts w:asciiTheme="minorHAnsi" w:hAnsiTheme="minorHAnsi"/>
                <w:color w:val="000000"/>
                <w:sz w:val="16"/>
                <w:szCs w:val="16"/>
              </w:rPr>
            </w:pPr>
            <w:r w:rsidRPr="009C33F9">
              <w:rPr>
                <w:rFonts w:asciiTheme="minorHAnsi" w:hAnsiTheme="minorHAnsi"/>
                <w:color w:val="000000"/>
                <w:sz w:val="16"/>
                <w:szCs w:val="16"/>
              </w:rPr>
              <w:t>TOTAL GENERAL</w:t>
            </w:r>
          </w:p>
        </w:tc>
        <w:tc>
          <w:tcPr>
            <w:tcW w:w="1417" w:type="dxa"/>
            <w:tcBorders>
              <w:top w:val="nil"/>
              <w:left w:val="nil"/>
              <w:bottom w:val="single" w:sz="4" w:space="0" w:color="auto"/>
              <w:right w:val="single" w:sz="4" w:space="0" w:color="auto"/>
            </w:tcBorders>
            <w:shd w:val="clear" w:color="auto" w:fill="auto"/>
            <w:vAlign w:val="center"/>
            <w:hideMark/>
          </w:tcPr>
          <w:p w14:paraId="411E58A3"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81 163 433   </w:t>
            </w:r>
          </w:p>
        </w:tc>
        <w:tc>
          <w:tcPr>
            <w:tcW w:w="1276" w:type="dxa"/>
            <w:tcBorders>
              <w:top w:val="nil"/>
              <w:left w:val="nil"/>
              <w:bottom w:val="single" w:sz="4" w:space="0" w:color="auto"/>
              <w:right w:val="single" w:sz="4" w:space="0" w:color="auto"/>
            </w:tcBorders>
            <w:shd w:val="clear" w:color="auto" w:fill="auto"/>
            <w:vAlign w:val="center"/>
            <w:hideMark/>
          </w:tcPr>
          <w:p w14:paraId="443B30BE"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276" w:type="dxa"/>
            <w:tcBorders>
              <w:top w:val="nil"/>
              <w:left w:val="nil"/>
              <w:bottom w:val="single" w:sz="4" w:space="0" w:color="auto"/>
              <w:right w:val="single" w:sz="4" w:space="0" w:color="auto"/>
            </w:tcBorders>
            <w:shd w:val="clear" w:color="auto" w:fill="auto"/>
            <w:vAlign w:val="center"/>
            <w:hideMark/>
          </w:tcPr>
          <w:p w14:paraId="2DC9C67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14:paraId="30CF63C0"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20 290 858   </w:t>
            </w:r>
          </w:p>
        </w:tc>
        <w:tc>
          <w:tcPr>
            <w:tcW w:w="1842" w:type="dxa"/>
            <w:tcBorders>
              <w:top w:val="nil"/>
              <w:left w:val="nil"/>
              <w:bottom w:val="single" w:sz="4" w:space="0" w:color="auto"/>
              <w:right w:val="single" w:sz="4" w:space="0" w:color="auto"/>
            </w:tcBorders>
            <w:shd w:val="clear" w:color="auto" w:fill="auto"/>
            <w:vAlign w:val="center"/>
            <w:hideMark/>
          </w:tcPr>
          <w:p w14:paraId="1F32902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28 407 202   </w:t>
            </w:r>
          </w:p>
        </w:tc>
        <w:tc>
          <w:tcPr>
            <w:tcW w:w="1843" w:type="dxa"/>
            <w:tcBorders>
              <w:top w:val="nil"/>
              <w:left w:val="nil"/>
              <w:bottom w:val="single" w:sz="4" w:space="0" w:color="auto"/>
              <w:right w:val="single" w:sz="4" w:space="0" w:color="auto"/>
            </w:tcBorders>
            <w:shd w:val="clear" w:color="auto" w:fill="auto"/>
            <w:vAlign w:val="center"/>
            <w:hideMark/>
          </w:tcPr>
          <w:p w14:paraId="71D0BBA6"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32 465 373   </w:t>
            </w:r>
          </w:p>
        </w:tc>
        <w:tc>
          <w:tcPr>
            <w:tcW w:w="2693" w:type="dxa"/>
            <w:tcBorders>
              <w:top w:val="nil"/>
              <w:left w:val="nil"/>
              <w:bottom w:val="single" w:sz="4" w:space="0" w:color="auto"/>
              <w:right w:val="single" w:sz="4" w:space="0" w:color="auto"/>
            </w:tcBorders>
            <w:shd w:val="clear" w:color="auto" w:fill="auto"/>
            <w:vAlign w:val="center"/>
            <w:hideMark/>
          </w:tcPr>
          <w:p w14:paraId="6FBBB1D5" w14:textId="77777777" w:rsidR="009C33F9" w:rsidRPr="009C33F9" w:rsidRDefault="009C33F9" w:rsidP="009C33F9">
            <w:pPr>
              <w:rPr>
                <w:rFonts w:asciiTheme="minorHAnsi" w:hAnsiTheme="minorHAnsi"/>
                <w:b/>
                <w:bCs/>
                <w:color w:val="000000"/>
                <w:sz w:val="16"/>
                <w:szCs w:val="16"/>
              </w:rPr>
            </w:pPr>
            <w:r w:rsidRPr="009C33F9">
              <w:rPr>
                <w:rFonts w:asciiTheme="minorHAnsi" w:hAnsiTheme="minorHAnsi"/>
                <w:b/>
                <w:bCs/>
                <w:color w:val="000000"/>
                <w:sz w:val="16"/>
                <w:szCs w:val="16"/>
              </w:rPr>
              <w:t xml:space="preserve">        81 163 433   </w:t>
            </w:r>
          </w:p>
        </w:tc>
      </w:tr>
    </w:tbl>
    <w:p w14:paraId="7979D009" w14:textId="292E01CE" w:rsidR="009C33F9" w:rsidRPr="00B94C00" w:rsidRDefault="009C33F9" w:rsidP="00C453DC">
      <w:pPr>
        <w:pStyle w:val="Paragraphedeliste"/>
        <w:numPr>
          <w:ilvl w:val="0"/>
          <w:numId w:val="18"/>
        </w:numPr>
        <w:autoSpaceDE w:val="0"/>
        <w:autoSpaceDN w:val="0"/>
        <w:adjustRightInd w:val="0"/>
        <w:spacing w:line="360" w:lineRule="auto"/>
        <w:jc w:val="both"/>
      </w:pPr>
    </w:p>
    <w:sectPr w:rsidR="009C33F9" w:rsidRPr="00B94C00" w:rsidSect="009C33F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A02E62" w14:textId="77777777" w:rsidR="00E00161" w:rsidRDefault="00E00161" w:rsidP="005B2CDB">
      <w:r>
        <w:separator/>
      </w:r>
    </w:p>
  </w:endnote>
  <w:endnote w:type="continuationSeparator" w:id="0">
    <w:p w14:paraId="366C9C6A" w14:textId="77777777" w:rsidR="00E00161" w:rsidRDefault="00E00161" w:rsidP="005B2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5158464"/>
      <w:docPartObj>
        <w:docPartGallery w:val="Page Numbers (Bottom of Page)"/>
        <w:docPartUnique/>
      </w:docPartObj>
    </w:sdtPr>
    <w:sdtEndPr/>
    <w:sdtContent>
      <w:sdt>
        <w:sdtPr>
          <w:id w:val="860082579"/>
          <w:docPartObj>
            <w:docPartGallery w:val="Page Numbers (Top of Page)"/>
            <w:docPartUnique/>
          </w:docPartObj>
        </w:sdtPr>
        <w:sdtEndPr/>
        <w:sdtContent>
          <w:p w14:paraId="2589379A" w14:textId="77777777" w:rsidR="00F01272" w:rsidRDefault="00F01272">
            <w:pPr>
              <w:pStyle w:val="Pieddepage"/>
              <w:jc w:val="right"/>
            </w:pPr>
            <w:r>
              <w:t xml:space="preserve">Page </w:t>
            </w:r>
            <w:r>
              <w:rPr>
                <w:b/>
                <w:bCs/>
              </w:rPr>
              <w:fldChar w:fldCharType="begin"/>
            </w:r>
            <w:r>
              <w:rPr>
                <w:b/>
                <w:bCs/>
              </w:rPr>
              <w:instrText>PAGE</w:instrText>
            </w:r>
            <w:r>
              <w:rPr>
                <w:b/>
                <w:bCs/>
              </w:rPr>
              <w:fldChar w:fldCharType="separate"/>
            </w:r>
            <w:r>
              <w:rPr>
                <w:b/>
                <w:bCs/>
                <w:noProof/>
              </w:rPr>
              <w:t>21</w:t>
            </w:r>
            <w:r>
              <w:rPr>
                <w:b/>
                <w:bCs/>
              </w:rPr>
              <w:fldChar w:fldCharType="end"/>
            </w:r>
            <w:r>
              <w:t xml:space="preserve"> sur </w:t>
            </w:r>
            <w:r>
              <w:rPr>
                <w:b/>
                <w:bCs/>
              </w:rPr>
              <w:fldChar w:fldCharType="begin"/>
            </w:r>
            <w:r>
              <w:rPr>
                <w:b/>
                <w:bCs/>
              </w:rPr>
              <w:instrText>NUMPAGES</w:instrText>
            </w:r>
            <w:r>
              <w:rPr>
                <w:b/>
                <w:bCs/>
              </w:rPr>
              <w:fldChar w:fldCharType="separate"/>
            </w:r>
            <w:r>
              <w:rPr>
                <w:b/>
                <w:bCs/>
                <w:noProof/>
              </w:rPr>
              <w:t>21</w:t>
            </w:r>
            <w:r>
              <w:rPr>
                <w:b/>
                <w:bCs/>
              </w:rPr>
              <w:fldChar w:fldCharType="end"/>
            </w:r>
          </w:p>
        </w:sdtContent>
      </w:sdt>
    </w:sdtContent>
  </w:sdt>
  <w:p w14:paraId="1C26D83A" w14:textId="77777777" w:rsidR="00F01272" w:rsidRDefault="00F0127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BB17" w14:textId="77777777" w:rsidR="00E00161" w:rsidRDefault="00E00161" w:rsidP="005B2CDB">
      <w:r>
        <w:separator/>
      </w:r>
    </w:p>
  </w:footnote>
  <w:footnote w:type="continuationSeparator" w:id="0">
    <w:p w14:paraId="295E085C" w14:textId="77777777" w:rsidR="00E00161" w:rsidRDefault="00E00161" w:rsidP="005B2CDB">
      <w:r>
        <w:continuationSeparator/>
      </w:r>
    </w:p>
  </w:footnote>
  <w:footnote w:id="1">
    <w:p w14:paraId="399692B7" w14:textId="77777777" w:rsidR="00F01272" w:rsidRDefault="00F01272">
      <w:pPr>
        <w:pStyle w:val="Notedebasdepage"/>
      </w:pPr>
      <w:r>
        <w:rPr>
          <w:rStyle w:val="Appelnotedebasdep"/>
        </w:rPr>
        <w:footnoteRef/>
      </w:r>
      <w:r>
        <w:t xml:space="preserve"> Source : RGPH 2009</w:t>
      </w:r>
    </w:p>
  </w:footnote>
  <w:footnote w:id="2">
    <w:p w14:paraId="60874D3F" w14:textId="77777777" w:rsidR="00F01272" w:rsidRDefault="00F01272" w:rsidP="002E7D29">
      <w:pPr>
        <w:pStyle w:val="Notedebasdepage"/>
      </w:pPr>
      <w:r>
        <w:rPr>
          <w:rStyle w:val="Appelnotedebasdep"/>
        </w:rPr>
        <w:footnoteRef/>
      </w:r>
      <w:r>
        <w:t xml:space="preserve"> </w:t>
      </w:r>
      <w:r w:rsidRPr="009E69B9">
        <w:rPr>
          <w:sz w:val="16"/>
        </w:rPr>
        <w:t xml:space="preserve">Source Rapport d’activités 2016 de la DNGM </w:t>
      </w:r>
    </w:p>
  </w:footnote>
  <w:footnote w:id="3">
    <w:p w14:paraId="41AB50C3" w14:textId="77777777" w:rsidR="00F01272" w:rsidRDefault="00F01272" w:rsidP="002E7D29">
      <w:pPr>
        <w:pStyle w:val="Notedebasdepage"/>
      </w:pPr>
      <w:r w:rsidRPr="00D06134">
        <w:rPr>
          <w:rFonts w:ascii="Baskerville Old Face" w:hAnsi="Baskerville Old Face"/>
          <w:sz w:val="18"/>
          <w:szCs w:val="24"/>
          <w:lang w:eastAsia="fr-FR"/>
        </w:rPr>
        <w:footnoteRef/>
      </w:r>
      <w:r w:rsidRPr="00D06134">
        <w:rPr>
          <w:rFonts w:ascii="Baskerville Old Face" w:hAnsi="Baskerville Old Face"/>
          <w:sz w:val="18"/>
          <w:szCs w:val="24"/>
          <w:lang w:eastAsia="fr-FR"/>
        </w:rPr>
        <w:t xml:space="preserve"> </w:t>
      </w:r>
      <w:r w:rsidRPr="009E69B9">
        <w:rPr>
          <w:rFonts w:ascii="Baskerville Old Face" w:hAnsi="Baskerville Old Face"/>
          <w:sz w:val="16"/>
          <w:szCs w:val="24"/>
          <w:lang w:eastAsia="fr-FR"/>
        </w:rPr>
        <w:t>Source d’hydrocarbures</w:t>
      </w:r>
    </w:p>
  </w:footnote>
  <w:footnote w:id="4">
    <w:p w14:paraId="644631BD" w14:textId="77777777" w:rsidR="00F01272" w:rsidRDefault="00F01272" w:rsidP="002E7D29">
      <w:pPr>
        <w:pStyle w:val="Notedebasdepage"/>
      </w:pPr>
      <w:r>
        <w:rPr>
          <w:rStyle w:val="Appelnotedebasdep"/>
        </w:rPr>
        <w:footnoteRef/>
      </w:r>
      <w:r w:rsidRPr="00804635">
        <w:rPr>
          <w:sz w:val="16"/>
          <w:szCs w:val="18"/>
        </w:rPr>
        <w:t>Situation de la Recherche Minière et pétrolière au Mali, 8 juin 1984, Mr Hilarion Traoré, DGA de la géologie et des Mines </w:t>
      </w:r>
    </w:p>
  </w:footnote>
  <w:footnote w:id="5">
    <w:p w14:paraId="73EF04E3" w14:textId="77777777" w:rsidR="00F01272" w:rsidRPr="00804635" w:rsidRDefault="00F01272" w:rsidP="002E7D29">
      <w:pPr>
        <w:pStyle w:val="Notedebasdepage"/>
        <w:rPr>
          <w:sz w:val="16"/>
          <w:szCs w:val="18"/>
        </w:rPr>
      </w:pPr>
      <w:r w:rsidRPr="00804635">
        <w:rPr>
          <w:rStyle w:val="Appelnotedebasdep"/>
          <w:sz w:val="16"/>
          <w:szCs w:val="18"/>
        </w:rPr>
        <w:footnoteRef/>
      </w:r>
      <w:r w:rsidRPr="00804635">
        <w:rPr>
          <w:sz w:val="16"/>
          <w:szCs w:val="18"/>
        </w:rPr>
        <w:t xml:space="preserve"> Situation de la Recherche Minière et pétrolière au Mali, 8 juin 1984, Mr Hilarion Traoré, DGA de la géologie et des Mines ; </w:t>
      </w:r>
    </w:p>
    <w:p w14:paraId="339B6184" w14:textId="77777777" w:rsidR="00F01272" w:rsidRPr="00804635" w:rsidRDefault="00F01272" w:rsidP="002E7D29">
      <w:pPr>
        <w:pStyle w:val="Notedebasdepage"/>
        <w:rPr>
          <w:sz w:val="16"/>
          <w:szCs w:val="18"/>
        </w:rPr>
      </w:pPr>
      <w:r w:rsidRPr="00804635">
        <w:rPr>
          <w:sz w:val="16"/>
          <w:szCs w:val="18"/>
        </w:rPr>
        <w:t xml:space="preserve">  Situation de la Recherche Minière et Pétrolière au Mali, 1990, DNGM</w:t>
      </w:r>
    </w:p>
  </w:footnote>
  <w:footnote w:id="6">
    <w:p w14:paraId="6AF8D1E7" w14:textId="77777777" w:rsidR="00F01272" w:rsidRDefault="00F01272" w:rsidP="002E7D29">
      <w:pPr>
        <w:pStyle w:val="Notedebasdepage"/>
      </w:pPr>
      <w:r w:rsidRPr="00804635">
        <w:rPr>
          <w:rStyle w:val="Appelnotedebasdep"/>
          <w:sz w:val="16"/>
          <w:szCs w:val="18"/>
        </w:rPr>
        <w:footnoteRef/>
      </w:r>
      <w:r w:rsidRPr="00804635">
        <w:rPr>
          <w:sz w:val="16"/>
          <w:szCs w:val="18"/>
        </w:rPr>
        <w:t xml:space="preserve"> Amendé par l’Ordonnance N°20/CMLN du 20 avril 1970</w:t>
      </w:r>
    </w:p>
  </w:footnote>
  <w:footnote w:id="7">
    <w:p w14:paraId="669979A9" w14:textId="77777777" w:rsidR="00F01272" w:rsidRDefault="00F01272" w:rsidP="002E7D29">
      <w:pPr>
        <w:pStyle w:val="Notedebasdepage"/>
      </w:pPr>
      <w:r>
        <w:rPr>
          <w:rStyle w:val="Appelnotedebasdep"/>
        </w:rPr>
        <w:footnoteRef/>
      </w:r>
      <w:r w:rsidRPr="00804635">
        <w:rPr>
          <w:sz w:val="16"/>
          <w:szCs w:val="18"/>
        </w:rPr>
        <w:t>Situation de la Recherche Minière et Pétrolière au Mali, 1990, DNGM</w:t>
      </w:r>
    </w:p>
  </w:footnote>
  <w:footnote w:id="8">
    <w:p w14:paraId="28DD3438" w14:textId="77777777" w:rsidR="00F01272" w:rsidRPr="00AC694E" w:rsidRDefault="00F01272" w:rsidP="002E7D29">
      <w:pPr>
        <w:pStyle w:val="Notedebasdepage"/>
        <w:rPr>
          <w:rFonts w:asciiTheme="minorHAnsi" w:hAnsiTheme="minorHAnsi" w:cstheme="minorHAnsi"/>
        </w:rPr>
      </w:pPr>
      <w:r w:rsidRPr="00AC694E">
        <w:rPr>
          <w:rStyle w:val="Appelnotedebasdep"/>
          <w:rFonts w:asciiTheme="minorHAnsi" w:hAnsiTheme="minorHAnsi" w:cstheme="minorHAnsi"/>
        </w:rPr>
        <w:footnoteRef/>
      </w:r>
      <w:r w:rsidRPr="009D0085">
        <w:rPr>
          <w:rFonts w:cstheme="minorHAnsi"/>
          <w:sz w:val="18"/>
        </w:rPr>
        <w:t>Programme de Développement du Secteur minier, Ministère des Mines, de l’Energie et de l’Eau, PAC/IDA,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5023_"/>
      </v:shape>
    </w:pict>
  </w:numPicBullet>
  <w:abstractNum w:abstractNumId="0" w15:restartNumberingAfterBreak="0">
    <w:nsid w:val="07B96802"/>
    <w:multiLevelType w:val="hybridMultilevel"/>
    <w:tmpl w:val="A3964F62"/>
    <w:lvl w:ilvl="0" w:tplc="3DC04E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D0C41"/>
    <w:multiLevelType w:val="hybridMultilevel"/>
    <w:tmpl w:val="A962B57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BF4F83"/>
    <w:multiLevelType w:val="hybridMultilevel"/>
    <w:tmpl w:val="52ECB662"/>
    <w:lvl w:ilvl="0" w:tplc="040C0005">
      <w:start w:val="1"/>
      <w:numFmt w:val="bullet"/>
      <w:lvlText w:val=""/>
      <w:lvlJc w:val="left"/>
      <w:pPr>
        <w:ind w:left="720" w:hanging="360"/>
      </w:pPr>
      <w:rPr>
        <w:rFonts w:ascii="Wingdings" w:hAnsi="Wingdings"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B35837"/>
    <w:multiLevelType w:val="hybridMultilevel"/>
    <w:tmpl w:val="090ECFEC"/>
    <w:lvl w:ilvl="0" w:tplc="040C0005">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40C56"/>
    <w:multiLevelType w:val="hybridMultilevel"/>
    <w:tmpl w:val="81C4D724"/>
    <w:lvl w:ilvl="0" w:tplc="671643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42DE8"/>
    <w:multiLevelType w:val="hybridMultilevel"/>
    <w:tmpl w:val="AE0C95AA"/>
    <w:lvl w:ilvl="0" w:tplc="040C0005">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41CF6"/>
    <w:multiLevelType w:val="hybridMultilevel"/>
    <w:tmpl w:val="9ADA061E"/>
    <w:lvl w:ilvl="0" w:tplc="040C0005">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3705E"/>
    <w:multiLevelType w:val="hybridMultilevel"/>
    <w:tmpl w:val="1FD24210"/>
    <w:lvl w:ilvl="0" w:tplc="040C0005">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82EE3"/>
    <w:multiLevelType w:val="hybridMultilevel"/>
    <w:tmpl w:val="FBEC5AC4"/>
    <w:lvl w:ilvl="0" w:tplc="040C000F">
      <w:start w:val="1"/>
      <w:numFmt w:val="decimal"/>
      <w:lvlText w:val="%1."/>
      <w:lvlJc w:val="left"/>
      <w:pPr>
        <w:ind w:left="63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9792F48"/>
    <w:multiLevelType w:val="hybridMultilevel"/>
    <w:tmpl w:val="318C4808"/>
    <w:lvl w:ilvl="0" w:tplc="040C0005">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9C1CAC"/>
    <w:multiLevelType w:val="multilevel"/>
    <w:tmpl w:val="4890244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30223"/>
    <w:multiLevelType w:val="hybridMultilevel"/>
    <w:tmpl w:val="30B86D8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43016C3"/>
    <w:multiLevelType w:val="hybridMultilevel"/>
    <w:tmpl w:val="D186BAD8"/>
    <w:lvl w:ilvl="0" w:tplc="040C0005">
      <w:start w:val="1"/>
      <w:numFmt w:val="bullet"/>
      <w:lvlText w:val=""/>
      <w:lvlJc w:val="left"/>
      <w:pPr>
        <w:ind w:left="720" w:hanging="360"/>
      </w:pPr>
      <w:rPr>
        <w:rFonts w:ascii="Wingdings" w:hAnsi="Wingdings"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FF7269"/>
    <w:multiLevelType w:val="hybridMultilevel"/>
    <w:tmpl w:val="F6E8DCF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EB74DF"/>
    <w:multiLevelType w:val="multilevel"/>
    <w:tmpl w:val="C1D8F8D8"/>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C3A5A46"/>
    <w:multiLevelType w:val="hybridMultilevel"/>
    <w:tmpl w:val="ADFC1604"/>
    <w:lvl w:ilvl="0" w:tplc="D58E330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107072E"/>
    <w:multiLevelType w:val="hybridMultilevel"/>
    <w:tmpl w:val="505668CE"/>
    <w:lvl w:ilvl="0" w:tplc="3DC04E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AA51BD"/>
    <w:multiLevelType w:val="multilevel"/>
    <w:tmpl w:val="03EA68BE"/>
    <w:lvl w:ilvl="0">
      <w:start w:val="5"/>
      <w:numFmt w:val="decimal"/>
      <w:lvlText w:val="%1"/>
      <w:lvlJc w:val="left"/>
      <w:pPr>
        <w:ind w:left="360" w:hanging="360"/>
      </w:pPr>
      <w:rPr>
        <w:rFonts w:hint="default"/>
        <w:i w:val="0"/>
        <w:u w:val="single"/>
      </w:rPr>
    </w:lvl>
    <w:lvl w:ilvl="1">
      <w:start w:val="1"/>
      <w:numFmt w:val="decimal"/>
      <w:lvlText w:val="%1.%2"/>
      <w:lvlJc w:val="left"/>
      <w:pPr>
        <w:ind w:left="644" w:hanging="360"/>
      </w:pPr>
      <w:rPr>
        <w:rFonts w:hint="default"/>
        <w:b/>
        <w:i w:val="0"/>
        <w:color w:val="FF0000"/>
        <w:u w:val="none"/>
      </w:rPr>
    </w:lvl>
    <w:lvl w:ilvl="2">
      <w:start w:val="1"/>
      <w:numFmt w:val="decimal"/>
      <w:lvlText w:val="%1.%2.%3"/>
      <w:lvlJc w:val="left"/>
      <w:pPr>
        <w:ind w:left="1260" w:hanging="720"/>
      </w:pPr>
      <w:rPr>
        <w:rFonts w:hint="default"/>
        <w:i w:val="0"/>
        <w:u w:val="single"/>
      </w:rPr>
    </w:lvl>
    <w:lvl w:ilvl="3">
      <w:start w:val="1"/>
      <w:numFmt w:val="decimal"/>
      <w:lvlText w:val="%1.%2.%3.%4"/>
      <w:lvlJc w:val="left"/>
      <w:pPr>
        <w:ind w:left="1530" w:hanging="720"/>
      </w:pPr>
      <w:rPr>
        <w:rFonts w:hint="default"/>
        <w:i w:val="0"/>
        <w:u w:val="single"/>
      </w:rPr>
    </w:lvl>
    <w:lvl w:ilvl="4">
      <w:start w:val="1"/>
      <w:numFmt w:val="decimal"/>
      <w:lvlText w:val="%1.%2.%3.%4.%5"/>
      <w:lvlJc w:val="left"/>
      <w:pPr>
        <w:ind w:left="2160" w:hanging="1080"/>
      </w:pPr>
      <w:rPr>
        <w:rFonts w:hint="default"/>
        <w:i w:val="0"/>
        <w:u w:val="single"/>
      </w:rPr>
    </w:lvl>
    <w:lvl w:ilvl="5">
      <w:start w:val="1"/>
      <w:numFmt w:val="decimal"/>
      <w:lvlText w:val="%1.%2.%3.%4.%5.%6"/>
      <w:lvlJc w:val="left"/>
      <w:pPr>
        <w:ind w:left="2430" w:hanging="1080"/>
      </w:pPr>
      <w:rPr>
        <w:rFonts w:hint="default"/>
        <w:i w:val="0"/>
        <w:u w:val="single"/>
      </w:rPr>
    </w:lvl>
    <w:lvl w:ilvl="6">
      <w:start w:val="1"/>
      <w:numFmt w:val="decimal"/>
      <w:lvlText w:val="%1.%2.%3.%4.%5.%6.%7"/>
      <w:lvlJc w:val="left"/>
      <w:pPr>
        <w:ind w:left="3060" w:hanging="1440"/>
      </w:pPr>
      <w:rPr>
        <w:rFonts w:hint="default"/>
        <w:i w:val="0"/>
        <w:u w:val="single"/>
      </w:rPr>
    </w:lvl>
    <w:lvl w:ilvl="7">
      <w:start w:val="1"/>
      <w:numFmt w:val="decimal"/>
      <w:lvlText w:val="%1.%2.%3.%4.%5.%6.%7.%8"/>
      <w:lvlJc w:val="left"/>
      <w:pPr>
        <w:ind w:left="3330" w:hanging="1440"/>
      </w:pPr>
      <w:rPr>
        <w:rFonts w:hint="default"/>
        <w:i w:val="0"/>
        <w:u w:val="single"/>
      </w:rPr>
    </w:lvl>
    <w:lvl w:ilvl="8">
      <w:start w:val="1"/>
      <w:numFmt w:val="decimal"/>
      <w:lvlText w:val="%1.%2.%3.%4.%5.%6.%7.%8.%9"/>
      <w:lvlJc w:val="left"/>
      <w:pPr>
        <w:ind w:left="3960" w:hanging="1800"/>
      </w:pPr>
      <w:rPr>
        <w:rFonts w:hint="default"/>
        <w:i w:val="0"/>
        <w:u w:val="single"/>
      </w:rPr>
    </w:lvl>
  </w:abstractNum>
  <w:abstractNum w:abstractNumId="18" w15:restartNumberingAfterBreak="0">
    <w:nsid w:val="6B1437AF"/>
    <w:multiLevelType w:val="hybridMultilevel"/>
    <w:tmpl w:val="18605F5E"/>
    <w:lvl w:ilvl="0" w:tplc="FF88AB58">
      <w:start w:val="1"/>
      <w:numFmt w:val="decimal"/>
      <w:lvlText w:val="%1."/>
      <w:lvlJc w:val="left"/>
      <w:pPr>
        <w:tabs>
          <w:tab w:val="num" w:pos="360"/>
        </w:tabs>
        <w:ind w:left="360" w:hanging="360"/>
      </w:pPr>
      <w:rPr>
        <w:rFonts w:hint="default"/>
        <w:sz w:val="22"/>
      </w:rPr>
    </w:lvl>
    <w:lvl w:ilvl="1" w:tplc="15F6D2CE">
      <w:start w:val="1"/>
      <w:numFmt w:val="decimal"/>
      <w:pStyle w:val="Style16"/>
      <w:lvlText w:val="1.%2"/>
      <w:lvlJc w:val="left"/>
      <w:pPr>
        <w:tabs>
          <w:tab w:val="num" w:pos="720"/>
        </w:tabs>
        <w:ind w:left="357" w:hanging="357"/>
      </w:pPr>
      <w:rPr>
        <w:rFonts w:hint="default"/>
        <w:sz w:val="22"/>
      </w:rPr>
    </w:lvl>
    <w:lvl w:ilvl="2" w:tplc="D22A3CF8">
      <w:start w:val="1"/>
      <w:numFmt w:val="decimal"/>
      <w:lvlText w:val="(%3)"/>
      <w:lvlJc w:val="left"/>
      <w:pPr>
        <w:tabs>
          <w:tab w:val="num" w:pos="360"/>
        </w:tabs>
        <w:ind w:left="357" w:hanging="357"/>
      </w:pPr>
      <w:rPr>
        <w:rFonts w:hint="default"/>
        <w:b/>
        <w:i w:val="0"/>
        <w:caps w:val="0"/>
        <w:strike w:val="0"/>
        <w:dstrike w:val="0"/>
        <w:vanish w:val="0"/>
        <w:color w:val="auto"/>
        <w:sz w:val="24"/>
        <w:vertAlign w:val="baseline"/>
      </w:rPr>
    </w:lvl>
    <w:lvl w:ilvl="3" w:tplc="50CE5426">
      <w:start w:val="1"/>
      <w:numFmt w:val="decimal"/>
      <w:lvlText w:val="(%4)"/>
      <w:lvlJc w:val="left"/>
      <w:pPr>
        <w:tabs>
          <w:tab w:val="num" w:pos="360"/>
        </w:tabs>
        <w:ind w:left="357" w:hanging="357"/>
      </w:pPr>
      <w:rPr>
        <w:rFonts w:hint="default"/>
        <w:b/>
        <w:i w:val="0"/>
        <w:caps w:val="0"/>
        <w:strike w:val="0"/>
        <w:dstrike w:val="0"/>
        <w:vanish w:val="0"/>
        <w:color w:val="auto"/>
        <w:sz w:val="24"/>
        <w:vertAlign w:val="baseline"/>
      </w:rPr>
    </w:lvl>
    <w:lvl w:ilvl="4" w:tplc="8B7ECD8A">
      <w:start w:val="1"/>
      <w:numFmt w:val="bullet"/>
      <w:lvlText w:val=""/>
      <w:lvlJc w:val="left"/>
      <w:pPr>
        <w:tabs>
          <w:tab w:val="num" w:pos="1069"/>
        </w:tabs>
        <w:ind w:left="1066" w:hanging="357"/>
      </w:pPr>
      <w:rPr>
        <w:rFonts w:ascii="Wingdings" w:eastAsia="Times New Roman" w:hAnsi="Wingdings" w:cs="Times New Roman" w:hint="default"/>
      </w:rPr>
    </w:lvl>
    <w:lvl w:ilvl="5" w:tplc="9B4C430A">
      <w:start w:val="1"/>
      <w:numFmt w:val="bullet"/>
      <w:lvlText w:val=""/>
      <w:lvlJc w:val="left"/>
      <w:pPr>
        <w:tabs>
          <w:tab w:val="num" w:pos="1069"/>
        </w:tabs>
        <w:ind w:left="1066" w:hanging="357"/>
      </w:pPr>
      <w:rPr>
        <w:rFonts w:ascii="Symbol" w:hAnsi="Symbol" w:hint="default"/>
      </w:rPr>
    </w:lvl>
    <w:lvl w:ilvl="6" w:tplc="3E86202E">
      <w:start w:val="1"/>
      <w:numFmt w:val="bullet"/>
      <w:lvlText w:val=""/>
      <w:lvlJc w:val="left"/>
      <w:pPr>
        <w:tabs>
          <w:tab w:val="num" w:pos="1069"/>
        </w:tabs>
        <w:ind w:left="1066" w:hanging="357"/>
      </w:pPr>
      <w:rPr>
        <w:rFonts w:ascii="Wingdings" w:hAnsi="Wingdings" w:hint="default"/>
      </w:rPr>
    </w:lvl>
    <w:lvl w:ilvl="7" w:tplc="C8E46942">
      <w:start w:val="1"/>
      <w:numFmt w:val="bullet"/>
      <w:lvlText w:val=""/>
      <w:lvlJc w:val="left"/>
      <w:pPr>
        <w:tabs>
          <w:tab w:val="num" w:pos="360"/>
        </w:tabs>
        <w:ind w:left="357" w:hanging="357"/>
      </w:pPr>
      <w:rPr>
        <w:rFonts w:ascii="Wingdings" w:eastAsia="Times New Roman" w:hAnsi="Wingdings" w:cs="Times New Roman" w:hint="default"/>
      </w:rPr>
    </w:lvl>
    <w:lvl w:ilvl="8" w:tplc="91B8D46A" w:tentative="1">
      <w:start w:val="1"/>
      <w:numFmt w:val="lowerRoman"/>
      <w:lvlText w:val="%9."/>
      <w:lvlJc w:val="right"/>
      <w:pPr>
        <w:tabs>
          <w:tab w:val="num" w:pos="6480"/>
        </w:tabs>
        <w:ind w:left="6480" w:hanging="180"/>
      </w:pPr>
    </w:lvl>
  </w:abstractNum>
  <w:abstractNum w:abstractNumId="19" w15:restartNumberingAfterBreak="0">
    <w:nsid w:val="6B416C9A"/>
    <w:multiLevelType w:val="hybridMultilevel"/>
    <w:tmpl w:val="421A36BC"/>
    <w:lvl w:ilvl="0" w:tplc="31C47380">
      <w:start w:val="1"/>
      <w:numFmt w:val="decimal"/>
      <w:lvlText w:val="%1)"/>
      <w:lvlJc w:val="left"/>
      <w:pPr>
        <w:ind w:left="63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2823CBE"/>
    <w:multiLevelType w:val="hybridMultilevel"/>
    <w:tmpl w:val="0B483824"/>
    <w:lvl w:ilvl="0" w:tplc="3DC04E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13E27"/>
    <w:multiLevelType w:val="hybridMultilevel"/>
    <w:tmpl w:val="47AAB788"/>
    <w:lvl w:ilvl="0" w:tplc="3DC04E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E65357"/>
    <w:multiLevelType w:val="hybridMultilevel"/>
    <w:tmpl w:val="12602F1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7E6672CE"/>
    <w:multiLevelType w:val="multilevel"/>
    <w:tmpl w:val="E6BA2134"/>
    <w:lvl w:ilvl="0">
      <w:start w:val="1"/>
      <w:numFmt w:val="decimal"/>
      <w:lvlText w:val="%1."/>
      <w:lvlJc w:val="left"/>
      <w:pPr>
        <w:ind w:left="720" w:hanging="360"/>
      </w:pPr>
      <w:rPr>
        <w:rFonts w:hint="default"/>
        <w:b/>
      </w:rPr>
    </w:lvl>
    <w:lvl w:ilvl="1">
      <w:start w:val="1"/>
      <w:numFmt w:val="decimal"/>
      <w:isLgl/>
      <w:lvlText w:val="%1.%2"/>
      <w:lvlJc w:val="left"/>
      <w:pPr>
        <w:ind w:left="1098"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14"/>
  </w:num>
  <w:num w:numId="3">
    <w:abstractNumId w:val="15"/>
  </w:num>
  <w:num w:numId="4">
    <w:abstractNumId w:val="18"/>
  </w:num>
  <w:num w:numId="5">
    <w:abstractNumId w:val="21"/>
  </w:num>
  <w:num w:numId="6">
    <w:abstractNumId w:val="1"/>
  </w:num>
  <w:num w:numId="7">
    <w:abstractNumId w:val="19"/>
  </w:num>
  <w:num w:numId="8">
    <w:abstractNumId w:val="2"/>
  </w:num>
  <w:num w:numId="9">
    <w:abstractNumId w:val="12"/>
  </w:num>
  <w:num w:numId="10">
    <w:abstractNumId w:val="9"/>
  </w:num>
  <w:num w:numId="11">
    <w:abstractNumId w:val="7"/>
  </w:num>
  <w:num w:numId="12">
    <w:abstractNumId w:val="6"/>
  </w:num>
  <w:num w:numId="13">
    <w:abstractNumId w:val="3"/>
  </w:num>
  <w:num w:numId="14">
    <w:abstractNumId w:val="5"/>
  </w:num>
  <w:num w:numId="15">
    <w:abstractNumId w:val="10"/>
  </w:num>
  <w:num w:numId="16">
    <w:abstractNumId w:val="0"/>
  </w:num>
  <w:num w:numId="17">
    <w:abstractNumId w:val="16"/>
  </w:num>
  <w:num w:numId="18">
    <w:abstractNumId w:val="20"/>
  </w:num>
  <w:num w:numId="19">
    <w:abstractNumId w:val="13"/>
  </w:num>
  <w:num w:numId="20">
    <w:abstractNumId w:val="23"/>
  </w:num>
  <w:num w:numId="21">
    <w:abstractNumId w:val="11"/>
  </w:num>
  <w:num w:numId="22">
    <w:abstractNumId w:val="17"/>
  </w:num>
  <w:num w:numId="23">
    <w:abstractNumId w:val="8"/>
  </w:num>
  <w:num w:numId="24">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CDB"/>
    <w:rsid w:val="000163EF"/>
    <w:rsid w:val="0003174A"/>
    <w:rsid w:val="00031EAB"/>
    <w:rsid w:val="00041811"/>
    <w:rsid w:val="000513D2"/>
    <w:rsid w:val="00057437"/>
    <w:rsid w:val="00062CF2"/>
    <w:rsid w:val="00065077"/>
    <w:rsid w:val="00074819"/>
    <w:rsid w:val="00077417"/>
    <w:rsid w:val="00080311"/>
    <w:rsid w:val="0008796A"/>
    <w:rsid w:val="00095A0A"/>
    <w:rsid w:val="00095CAD"/>
    <w:rsid w:val="000A0980"/>
    <w:rsid w:val="000A14D4"/>
    <w:rsid w:val="000A413B"/>
    <w:rsid w:val="000D706A"/>
    <w:rsid w:val="000E4325"/>
    <w:rsid w:val="001203F3"/>
    <w:rsid w:val="00144951"/>
    <w:rsid w:val="00156472"/>
    <w:rsid w:val="00162578"/>
    <w:rsid w:val="001638CD"/>
    <w:rsid w:val="001731C1"/>
    <w:rsid w:val="00186CD3"/>
    <w:rsid w:val="001C09C1"/>
    <w:rsid w:val="001D5375"/>
    <w:rsid w:val="001E1C6D"/>
    <w:rsid w:val="001F2A86"/>
    <w:rsid w:val="001F2E9B"/>
    <w:rsid w:val="0020295E"/>
    <w:rsid w:val="002074F0"/>
    <w:rsid w:val="002110C6"/>
    <w:rsid w:val="00247E0C"/>
    <w:rsid w:val="002607E5"/>
    <w:rsid w:val="00287474"/>
    <w:rsid w:val="00295AF2"/>
    <w:rsid w:val="002A7F7D"/>
    <w:rsid w:val="002C02CA"/>
    <w:rsid w:val="002C107D"/>
    <w:rsid w:val="002C1B80"/>
    <w:rsid w:val="002C50A6"/>
    <w:rsid w:val="002D3FD7"/>
    <w:rsid w:val="002E1604"/>
    <w:rsid w:val="002E488B"/>
    <w:rsid w:val="002E7D29"/>
    <w:rsid w:val="00301733"/>
    <w:rsid w:val="0030449C"/>
    <w:rsid w:val="003064AC"/>
    <w:rsid w:val="003225BB"/>
    <w:rsid w:val="00364399"/>
    <w:rsid w:val="0036785D"/>
    <w:rsid w:val="003934AC"/>
    <w:rsid w:val="003A4271"/>
    <w:rsid w:val="003B20E2"/>
    <w:rsid w:val="003B3581"/>
    <w:rsid w:val="00402BC2"/>
    <w:rsid w:val="00425512"/>
    <w:rsid w:val="004403BE"/>
    <w:rsid w:val="00445205"/>
    <w:rsid w:val="0044594C"/>
    <w:rsid w:val="004520B0"/>
    <w:rsid w:val="0046325A"/>
    <w:rsid w:val="0046658D"/>
    <w:rsid w:val="00473081"/>
    <w:rsid w:val="00480600"/>
    <w:rsid w:val="00484512"/>
    <w:rsid w:val="00485404"/>
    <w:rsid w:val="004A5496"/>
    <w:rsid w:val="004B1C21"/>
    <w:rsid w:val="004B3C8D"/>
    <w:rsid w:val="004C5E2D"/>
    <w:rsid w:val="004C7E41"/>
    <w:rsid w:val="004D6358"/>
    <w:rsid w:val="004E6278"/>
    <w:rsid w:val="004F4B7C"/>
    <w:rsid w:val="004F52D1"/>
    <w:rsid w:val="00503D1E"/>
    <w:rsid w:val="005046AB"/>
    <w:rsid w:val="00542F20"/>
    <w:rsid w:val="0055193A"/>
    <w:rsid w:val="005674A6"/>
    <w:rsid w:val="0057561D"/>
    <w:rsid w:val="005847EB"/>
    <w:rsid w:val="00587E54"/>
    <w:rsid w:val="005A2E16"/>
    <w:rsid w:val="005B02F0"/>
    <w:rsid w:val="005B05B0"/>
    <w:rsid w:val="005B2CDB"/>
    <w:rsid w:val="005D6CEE"/>
    <w:rsid w:val="005E5BA8"/>
    <w:rsid w:val="005E6714"/>
    <w:rsid w:val="005F41D9"/>
    <w:rsid w:val="00601AFE"/>
    <w:rsid w:val="00626C93"/>
    <w:rsid w:val="00637B48"/>
    <w:rsid w:val="00642A10"/>
    <w:rsid w:val="0065192F"/>
    <w:rsid w:val="006662F8"/>
    <w:rsid w:val="00676129"/>
    <w:rsid w:val="00677A90"/>
    <w:rsid w:val="0069113B"/>
    <w:rsid w:val="00692345"/>
    <w:rsid w:val="006D158F"/>
    <w:rsid w:val="006D5F04"/>
    <w:rsid w:val="006E1441"/>
    <w:rsid w:val="00710DEF"/>
    <w:rsid w:val="007137BD"/>
    <w:rsid w:val="00723DC1"/>
    <w:rsid w:val="007241B9"/>
    <w:rsid w:val="007248A4"/>
    <w:rsid w:val="00731EF9"/>
    <w:rsid w:val="00732560"/>
    <w:rsid w:val="007821A3"/>
    <w:rsid w:val="00795A1B"/>
    <w:rsid w:val="007A1DAB"/>
    <w:rsid w:val="007A4F15"/>
    <w:rsid w:val="007B72DE"/>
    <w:rsid w:val="007C7AB2"/>
    <w:rsid w:val="007D0CAE"/>
    <w:rsid w:val="007D6ACC"/>
    <w:rsid w:val="00800BE6"/>
    <w:rsid w:val="0080114A"/>
    <w:rsid w:val="008170B4"/>
    <w:rsid w:val="008245CC"/>
    <w:rsid w:val="0082789C"/>
    <w:rsid w:val="00831794"/>
    <w:rsid w:val="00831C3D"/>
    <w:rsid w:val="00845FEF"/>
    <w:rsid w:val="0084735A"/>
    <w:rsid w:val="008734BC"/>
    <w:rsid w:val="008A648F"/>
    <w:rsid w:val="008C4C7B"/>
    <w:rsid w:val="008E2ABA"/>
    <w:rsid w:val="008E5834"/>
    <w:rsid w:val="0092196C"/>
    <w:rsid w:val="00923186"/>
    <w:rsid w:val="009259D3"/>
    <w:rsid w:val="009418AB"/>
    <w:rsid w:val="00953D77"/>
    <w:rsid w:val="009662A8"/>
    <w:rsid w:val="009753C7"/>
    <w:rsid w:val="009876A4"/>
    <w:rsid w:val="009C143E"/>
    <w:rsid w:val="009C33F9"/>
    <w:rsid w:val="009E69B9"/>
    <w:rsid w:val="009F6F0A"/>
    <w:rsid w:val="00A043A1"/>
    <w:rsid w:val="00A31DF8"/>
    <w:rsid w:val="00A47304"/>
    <w:rsid w:val="00A52BD5"/>
    <w:rsid w:val="00A61960"/>
    <w:rsid w:val="00A8001C"/>
    <w:rsid w:val="00A930E7"/>
    <w:rsid w:val="00AA3749"/>
    <w:rsid w:val="00AB799C"/>
    <w:rsid w:val="00AE28B6"/>
    <w:rsid w:val="00AF30A4"/>
    <w:rsid w:val="00B02946"/>
    <w:rsid w:val="00B44112"/>
    <w:rsid w:val="00B57FED"/>
    <w:rsid w:val="00B75785"/>
    <w:rsid w:val="00B81804"/>
    <w:rsid w:val="00B9286F"/>
    <w:rsid w:val="00B94BAD"/>
    <w:rsid w:val="00B94C00"/>
    <w:rsid w:val="00BA6981"/>
    <w:rsid w:val="00BC45FD"/>
    <w:rsid w:val="00BD4383"/>
    <w:rsid w:val="00BD6448"/>
    <w:rsid w:val="00BE3775"/>
    <w:rsid w:val="00BE7D63"/>
    <w:rsid w:val="00BF54FA"/>
    <w:rsid w:val="00BF721F"/>
    <w:rsid w:val="00C12FC5"/>
    <w:rsid w:val="00C30B8F"/>
    <w:rsid w:val="00C37163"/>
    <w:rsid w:val="00C453DC"/>
    <w:rsid w:val="00C45563"/>
    <w:rsid w:val="00C551DF"/>
    <w:rsid w:val="00C55DDD"/>
    <w:rsid w:val="00C57408"/>
    <w:rsid w:val="00C70F45"/>
    <w:rsid w:val="00CA37F1"/>
    <w:rsid w:val="00CC0EE9"/>
    <w:rsid w:val="00CC542A"/>
    <w:rsid w:val="00D06134"/>
    <w:rsid w:val="00D23477"/>
    <w:rsid w:val="00D31F1E"/>
    <w:rsid w:val="00D42844"/>
    <w:rsid w:val="00D428E0"/>
    <w:rsid w:val="00D47233"/>
    <w:rsid w:val="00D96381"/>
    <w:rsid w:val="00DA41EA"/>
    <w:rsid w:val="00DA7A3B"/>
    <w:rsid w:val="00DB2DDD"/>
    <w:rsid w:val="00DD2B54"/>
    <w:rsid w:val="00DD2D25"/>
    <w:rsid w:val="00DF1522"/>
    <w:rsid w:val="00DF49BC"/>
    <w:rsid w:val="00DF4B3A"/>
    <w:rsid w:val="00DF5939"/>
    <w:rsid w:val="00E00161"/>
    <w:rsid w:val="00E0217D"/>
    <w:rsid w:val="00E244EA"/>
    <w:rsid w:val="00E31818"/>
    <w:rsid w:val="00E57320"/>
    <w:rsid w:val="00E63552"/>
    <w:rsid w:val="00E701B3"/>
    <w:rsid w:val="00E71B4A"/>
    <w:rsid w:val="00E92475"/>
    <w:rsid w:val="00E97923"/>
    <w:rsid w:val="00EA1B76"/>
    <w:rsid w:val="00EA693E"/>
    <w:rsid w:val="00EB4C78"/>
    <w:rsid w:val="00EB584B"/>
    <w:rsid w:val="00EB7B4C"/>
    <w:rsid w:val="00EC2645"/>
    <w:rsid w:val="00EC4C5E"/>
    <w:rsid w:val="00EC6377"/>
    <w:rsid w:val="00ED2EB3"/>
    <w:rsid w:val="00EF7301"/>
    <w:rsid w:val="00F01272"/>
    <w:rsid w:val="00F03D8C"/>
    <w:rsid w:val="00F204BE"/>
    <w:rsid w:val="00F2222A"/>
    <w:rsid w:val="00F26A92"/>
    <w:rsid w:val="00F36D9B"/>
    <w:rsid w:val="00F43CCE"/>
    <w:rsid w:val="00F62763"/>
    <w:rsid w:val="00F704FA"/>
    <w:rsid w:val="00F735F9"/>
    <w:rsid w:val="00F918A0"/>
    <w:rsid w:val="00F92497"/>
    <w:rsid w:val="00F927DD"/>
    <w:rsid w:val="00F96E71"/>
    <w:rsid w:val="00FB5B5E"/>
    <w:rsid w:val="00FD4EC5"/>
    <w:rsid w:val="00FD65C5"/>
    <w:rsid w:val="00FF35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C452D"/>
  <w15:docId w15:val="{F6FB89E1-8E21-44F7-83BA-F11178E63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CDB"/>
    <w:pPr>
      <w:spacing w:after="0" w:line="240" w:lineRule="auto"/>
    </w:pPr>
    <w:rPr>
      <w:rFonts w:ascii="Times New Roman" w:eastAsia="Times New Roman" w:hAnsi="Times New Roman" w:cs="Times New Roman"/>
      <w:sz w:val="24"/>
      <w:szCs w:val="24"/>
      <w:lang w:val="fr-FR" w:eastAsia="fr-FR"/>
    </w:rPr>
  </w:style>
  <w:style w:type="paragraph" w:styleId="Titre1">
    <w:name w:val="heading 1"/>
    <w:aliases w:val="*1-Titre 1"/>
    <w:basedOn w:val="Normal"/>
    <w:next w:val="Normal"/>
    <w:link w:val="Titre1Car"/>
    <w:qFormat/>
    <w:rsid w:val="005B2CDB"/>
    <w:pPr>
      <w:keepNext/>
      <w:outlineLvl w:val="0"/>
    </w:pPr>
    <w:rPr>
      <w:b/>
      <w:bCs/>
    </w:rPr>
  </w:style>
  <w:style w:type="paragraph" w:styleId="Titre2">
    <w:name w:val="heading 2"/>
    <w:basedOn w:val="Normal"/>
    <w:next w:val="Normal"/>
    <w:link w:val="Titre2Car"/>
    <w:uiPriority w:val="9"/>
    <w:unhideWhenUsed/>
    <w:qFormat/>
    <w:rsid w:val="001C09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80311"/>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Tableau Adere,References,Bullets,List Paragraph 1"/>
    <w:basedOn w:val="Normal"/>
    <w:link w:val="ParagraphedelisteCar"/>
    <w:uiPriority w:val="34"/>
    <w:qFormat/>
    <w:rsid w:val="005B2CDB"/>
    <w:pPr>
      <w:ind w:left="720"/>
      <w:contextualSpacing/>
    </w:pPr>
  </w:style>
  <w:style w:type="character" w:customStyle="1" w:styleId="Titre1Car">
    <w:name w:val="Titre 1 Car"/>
    <w:aliases w:val="*1-Titre 1 Car"/>
    <w:basedOn w:val="Policepardfaut"/>
    <w:link w:val="Titre1"/>
    <w:rsid w:val="005B2CDB"/>
    <w:rPr>
      <w:rFonts w:ascii="Times New Roman" w:eastAsia="Times New Roman" w:hAnsi="Times New Roman" w:cs="Times New Roman"/>
      <w:b/>
      <w:bCs/>
      <w:sz w:val="24"/>
      <w:szCs w:val="24"/>
      <w:lang w:val="fr-FR" w:eastAsia="fr-FR"/>
    </w:rPr>
  </w:style>
  <w:style w:type="character" w:customStyle="1" w:styleId="normaltextrun">
    <w:name w:val="normaltextrun"/>
    <w:rsid w:val="005B2CDB"/>
  </w:style>
  <w:style w:type="character" w:customStyle="1" w:styleId="eop">
    <w:name w:val="eop"/>
    <w:rsid w:val="005B2CDB"/>
  </w:style>
  <w:style w:type="character" w:styleId="Appelnotedebasdep">
    <w:name w:val="footnote reference"/>
    <w:aliases w:val="ftref"/>
    <w:uiPriority w:val="99"/>
    <w:rsid w:val="005B2CDB"/>
    <w:rPr>
      <w:vertAlign w:val="superscript"/>
    </w:rPr>
  </w:style>
  <w:style w:type="paragraph" w:styleId="Notedebasdepage">
    <w:name w:val="footnote text"/>
    <w:aliases w:val="fn,Footnote Text Char1,Footnote Text Char Char,Footnote,12pt,FOOTNOTES,single space,footnote text,ALTS FOOTNOTE,Texte de note de bas de page,ADB,ft"/>
    <w:basedOn w:val="Normal"/>
    <w:link w:val="NotedebasdepageCar"/>
    <w:uiPriority w:val="99"/>
    <w:rsid w:val="005B2CDB"/>
    <w:rPr>
      <w:rFonts w:ascii="New York" w:hAnsi="New York"/>
      <w:sz w:val="20"/>
      <w:szCs w:val="20"/>
      <w:lang w:eastAsia="en-US"/>
    </w:rPr>
  </w:style>
  <w:style w:type="character" w:customStyle="1" w:styleId="NotedebasdepageCar">
    <w:name w:val="Note de bas de page Car"/>
    <w:aliases w:val="fn Car,Footnote Text Char1 Car,Footnote Text Char Char Car,Footnote Car,12pt Car,FOOTNOTES Car,single space Car,footnote text Car,ALTS FOOTNOTE Car,Texte de note de bas de page Car,ADB Car,ft Car"/>
    <w:basedOn w:val="Policepardfaut"/>
    <w:link w:val="Notedebasdepage"/>
    <w:uiPriority w:val="99"/>
    <w:rsid w:val="005B2CDB"/>
    <w:rPr>
      <w:rFonts w:ascii="New York" w:eastAsia="Times New Roman" w:hAnsi="New York" w:cs="Times New Roman"/>
      <w:sz w:val="20"/>
      <w:szCs w:val="20"/>
      <w:lang w:val="fr-FR"/>
    </w:rPr>
  </w:style>
  <w:style w:type="character" w:styleId="Lienhypertexte">
    <w:name w:val="Hyperlink"/>
    <w:uiPriority w:val="99"/>
    <w:rsid w:val="001C09C1"/>
    <w:rPr>
      <w:color w:val="0000FF"/>
      <w:u w:val="single"/>
    </w:rPr>
  </w:style>
  <w:style w:type="character" w:customStyle="1" w:styleId="Titre2Car">
    <w:name w:val="Titre 2 Car"/>
    <w:basedOn w:val="Policepardfaut"/>
    <w:link w:val="Titre2"/>
    <w:uiPriority w:val="9"/>
    <w:rsid w:val="001C09C1"/>
    <w:rPr>
      <w:rFonts w:asciiTheme="majorHAnsi" w:eastAsiaTheme="majorEastAsia" w:hAnsiTheme="majorHAnsi" w:cstheme="majorBidi"/>
      <w:b/>
      <w:bCs/>
      <w:color w:val="4F81BD" w:themeColor="accent1"/>
      <w:sz w:val="26"/>
      <w:szCs w:val="26"/>
      <w:lang w:val="fr-FR" w:eastAsia="fr-FR"/>
    </w:rPr>
  </w:style>
  <w:style w:type="character" w:customStyle="1" w:styleId="ParagraphedelisteCar">
    <w:name w:val="Paragraphe de liste Car"/>
    <w:aliases w:val="Tableau Adere Car,References Car,Bullets Car,List Paragraph 1 Car"/>
    <w:link w:val="Paragraphedeliste"/>
    <w:uiPriority w:val="34"/>
    <w:rsid w:val="001C09C1"/>
    <w:rPr>
      <w:rFonts w:ascii="Times New Roman" w:eastAsia="Times New Roman" w:hAnsi="Times New Roman" w:cs="Times New Roman"/>
      <w:sz w:val="24"/>
      <w:szCs w:val="24"/>
      <w:lang w:val="fr-FR" w:eastAsia="fr-FR"/>
    </w:rPr>
  </w:style>
  <w:style w:type="paragraph" w:customStyle="1" w:styleId="berschrift1">
    <w:name w:val="Überschrift 1"/>
    <w:basedOn w:val="Normal"/>
    <w:next w:val="Normal"/>
    <w:uiPriority w:val="99"/>
    <w:rsid w:val="001C09C1"/>
    <w:pPr>
      <w:keepNext/>
      <w:widowControl w:val="0"/>
      <w:tabs>
        <w:tab w:val="left" w:pos="709"/>
      </w:tabs>
      <w:suppressAutoHyphens/>
      <w:spacing w:before="240" w:after="120" w:line="276" w:lineRule="auto"/>
    </w:pPr>
    <w:rPr>
      <w:rFonts w:eastAsia="Arial Unicode MS"/>
      <w:b/>
      <w:bCs/>
      <w:color w:val="00000A"/>
      <w:sz w:val="48"/>
      <w:szCs w:val="48"/>
      <w:lang w:eastAsia="zh-CN"/>
    </w:rPr>
  </w:style>
  <w:style w:type="character" w:styleId="Accentuation">
    <w:name w:val="Emphasis"/>
    <w:uiPriority w:val="20"/>
    <w:qFormat/>
    <w:rsid w:val="008170B4"/>
    <w:rPr>
      <w:i/>
      <w:iCs/>
    </w:rPr>
  </w:style>
  <w:style w:type="paragraph" w:customStyle="1" w:styleId="Style16">
    <w:name w:val="Style16"/>
    <w:basedOn w:val="Normal"/>
    <w:rsid w:val="008170B4"/>
    <w:pPr>
      <w:numPr>
        <w:ilvl w:val="1"/>
        <w:numId w:val="4"/>
      </w:numPr>
      <w:jc w:val="both"/>
    </w:pPr>
    <w:rPr>
      <w:b/>
      <w:bCs/>
      <w:color w:val="666699"/>
      <w:szCs w:val="20"/>
    </w:rPr>
  </w:style>
  <w:style w:type="character" w:customStyle="1" w:styleId="apple-converted-space">
    <w:name w:val="apple-converted-space"/>
    <w:rsid w:val="008170B4"/>
  </w:style>
  <w:style w:type="paragraph" w:customStyle="1" w:styleId="Style4">
    <w:name w:val="Style4"/>
    <w:basedOn w:val="Normal"/>
    <w:rsid w:val="008170B4"/>
    <w:pPr>
      <w:tabs>
        <w:tab w:val="num" w:pos="926"/>
      </w:tabs>
      <w:ind w:left="357" w:hanging="357"/>
      <w:jc w:val="both"/>
    </w:pPr>
    <w:rPr>
      <w:b/>
      <w:bCs/>
      <w:caps/>
      <w:szCs w:val="20"/>
    </w:rPr>
  </w:style>
  <w:style w:type="paragraph" w:customStyle="1" w:styleId="Style15">
    <w:name w:val="Style15"/>
    <w:basedOn w:val="Normal"/>
    <w:rsid w:val="00A930E7"/>
    <w:pPr>
      <w:jc w:val="both"/>
    </w:pPr>
    <w:rPr>
      <w:b/>
      <w:bCs/>
      <w:color w:val="000080"/>
      <w:szCs w:val="20"/>
    </w:rPr>
  </w:style>
  <w:style w:type="paragraph" w:styleId="En-tte">
    <w:name w:val="header"/>
    <w:basedOn w:val="Normal"/>
    <w:link w:val="En-tteCar"/>
    <w:uiPriority w:val="99"/>
    <w:unhideWhenUsed/>
    <w:rsid w:val="00A930E7"/>
    <w:pPr>
      <w:tabs>
        <w:tab w:val="center" w:pos="4680"/>
        <w:tab w:val="right" w:pos="9360"/>
      </w:tabs>
    </w:pPr>
  </w:style>
  <w:style w:type="character" w:customStyle="1" w:styleId="En-tteCar">
    <w:name w:val="En-tête Car"/>
    <w:basedOn w:val="Policepardfaut"/>
    <w:link w:val="En-tte"/>
    <w:uiPriority w:val="99"/>
    <w:rsid w:val="00A930E7"/>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A930E7"/>
    <w:pPr>
      <w:tabs>
        <w:tab w:val="center" w:pos="4680"/>
        <w:tab w:val="right" w:pos="9360"/>
      </w:tabs>
    </w:pPr>
  </w:style>
  <w:style w:type="character" w:customStyle="1" w:styleId="PieddepageCar">
    <w:name w:val="Pied de page Car"/>
    <w:basedOn w:val="Policepardfaut"/>
    <w:link w:val="Pieddepage"/>
    <w:uiPriority w:val="99"/>
    <w:rsid w:val="00A930E7"/>
    <w:rPr>
      <w:rFonts w:ascii="Times New Roman" w:eastAsia="Times New Roman" w:hAnsi="Times New Roman" w:cs="Times New Roman"/>
      <w:sz w:val="24"/>
      <w:szCs w:val="24"/>
      <w:lang w:val="fr-FR" w:eastAsia="fr-FR"/>
    </w:rPr>
  </w:style>
  <w:style w:type="character" w:customStyle="1" w:styleId="Titre3Car">
    <w:name w:val="Titre 3 Car"/>
    <w:basedOn w:val="Policepardfaut"/>
    <w:link w:val="Titre3"/>
    <w:uiPriority w:val="9"/>
    <w:semiHidden/>
    <w:rsid w:val="00080311"/>
    <w:rPr>
      <w:rFonts w:asciiTheme="majorHAnsi" w:eastAsiaTheme="majorEastAsia" w:hAnsiTheme="majorHAnsi" w:cstheme="majorBidi"/>
      <w:b/>
      <w:bCs/>
      <w:color w:val="4F81BD" w:themeColor="accent1"/>
      <w:sz w:val="24"/>
      <w:szCs w:val="24"/>
      <w:lang w:val="fr-FR" w:eastAsia="fr-FR"/>
    </w:rPr>
  </w:style>
  <w:style w:type="paragraph" w:styleId="Textedebulles">
    <w:name w:val="Balloon Text"/>
    <w:basedOn w:val="Normal"/>
    <w:link w:val="TextedebullesCar"/>
    <w:uiPriority w:val="99"/>
    <w:semiHidden/>
    <w:unhideWhenUsed/>
    <w:rsid w:val="00080311"/>
    <w:rPr>
      <w:rFonts w:ascii="Tahoma" w:hAnsi="Tahoma" w:cs="Tahoma"/>
      <w:sz w:val="16"/>
      <w:szCs w:val="16"/>
    </w:rPr>
  </w:style>
  <w:style w:type="character" w:customStyle="1" w:styleId="TextedebullesCar">
    <w:name w:val="Texte de bulles Car"/>
    <w:basedOn w:val="Policepardfaut"/>
    <w:link w:val="Textedebulles"/>
    <w:uiPriority w:val="99"/>
    <w:semiHidden/>
    <w:rsid w:val="00080311"/>
    <w:rPr>
      <w:rFonts w:ascii="Tahoma" w:eastAsia="Times New Roman" w:hAnsi="Tahoma" w:cs="Tahoma"/>
      <w:sz w:val="16"/>
      <w:szCs w:val="16"/>
      <w:lang w:val="fr-FR" w:eastAsia="fr-FR"/>
    </w:rPr>
  </w:style>
  <w:style w:type="table" w:styleId="Grilledutableau">
    <w:name w:val="Table Grid"/>
    <w:basedOn w:val="TableauNormal"/>
    <w:uiPriority w:val="59"/>
    <w:rsid w:val="00BE3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9E69B9"/>
    <w:pPr>
      <w:keepLines/>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paragraph" w:styleId="TM1">
    <w:name w:val="toc 1"/>
    <w:basedOn w:val="Normal"/>
    <w:next w:val="Normal"/>
    <w:autoRedefine/>
    <w:uiPriority w:val="39"/>
    <w:unhideWhenUsed/>
    <w:rsid w:val="009E69B9"/>
    <w:pPr>
      <w:spacing w:after="100"/>
    </w:pPr>
  </w:style>
  <w:style w:type="paragraph" w:styleId="TM2">
    <w:name w:val="toc 2"/>
    <w:basedOn w:val="Normal"/>
    <w:next w:val="Normal"/>
    <w:autoRedefine/>
    <w:uiPriority w:val="39"/>
    <w:unhideWhenUsed/>
    <w:rsid w:val="009E69B9"/>
    <w:pPr>
      <w:spacing w:after="100"/>
      <w:ind w:left="240"/>
    </w:pPr>
  </w:style>
  <w:style w:type="paragraph" w:styleId="Corpsdetexte">
    <w:name w:val="Body Text"/>
    <w:basedOn w:val="Normal"/>
    <w:link w:val="CorpsdetexteCar"/>
    <w:rsid w:val="00E71B4A"/>
    <w:pPr>
      <w:spacing w:before="100" w:beforeAutospacing="1" w:after="100" w:afterAutospacing="1" w:line="360" w:lineRule="auto"/>
    </w:pPr>
    <w:rPr>
      <w:rFonts w:ascii="Calibri" w:hAnsi="Calibri"/>
      <w:color w:val="000000"/>
      <w:lang w:eastAsia="en-US" w:bidi="en-US"/>
    </w:rPr>
  </w:style>
  <w:style w:type="character" w:customStyle="1" w:styleId="CorpsdetexteCar">
    <w:name w:val="Corps de texte Car"/>
    <w:basedOn w:val="Policepardfaut"/>
    <w:link w:val="Corpsdetexte"/>
    <w:rsid w:val="00E71B4A"/>
    <w:rPr>
      <w:rFonts w:ascii="Calibri" w:eastAsia="Times New Roman" w:hAnsi="Calibri" w:cs="Times New Roman"/>
      <w:color w:val="000000"/>
      <w:sz w:val="24"/>
      <w:szCs w:val="24"/>
      <w:lang w:val="fr-FR" w:bidi="en-US"/>
    </w:rPr>
  </w:style>
  <w:style w:type="paragraph" w:styleId="Titre">
    <w:name w:val="Title"/>
    <w:basedOn w:val="Normal"/>
    <w:next w:val="Normal"/>
    <w:link w:val="TitreCar"/>
    <w:uiPriority w:val="10"/>
    <w:qFormat/>
    <w:rsid w:val="009259D3"/>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259D3"/>
    <w:rPr>
      <w:rFonts w:asciiTheme="majorHAnsi" w:eastAsiaTheme="majorEastAsia" w:hAnsiTheme="majorHAnsi" w:cstheme="majorBidi"/>
      <w:spacing w:val="-10"/>
      <w:kern w:val="28"/>
      <w:sz w:val="56"/>
      <w:szCs w:val="5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881314">
      <w:bodyDiv w:val="1"/>
      <w:marLeft w:val="0"/>
      <w:marRight w:val="0"/>
      <w:marTop w:val="0"/>
      <w:marBottom w:val="0"/>
      <w:divBdr>
        <w:top w:val="none" w:sz="0" w:space="0" w:color="auto"/>
        <w:left w:val="none" w:sz="0" w:space="0" w:color="auto"/>
        <w:bottom w:val="none" w:sz="0" w:space="0" w:color="auto"/>
        <w:right w:val="none" w:sz="0" w:space="0" w:color="auto"/>
      </w:divBdr>
    </w:div>
    <w:div w:id="638733251">
      <w:bodyDiv w:val="1"/>
      <w:marLeft w:val="0"/>
      <w:marRight w:val="0"/>
      <w:marTop w:val="0"/>
      <w:marBottom w:val="0"/>
      <w:divBdr>
        <w:top w:val="none" w:sz="0" w:space="0" w:color="auto"/>
        <w:left w:val="none" w:sz="0" w:space="0" w:color="auto"/>
        <w:bottom w:val="none" w:sz="0" w:space="0" w:color="auto"/>
        <w:right w:val="none" w:sz="0" w:space="0" w:color="auto"/>
      </w:divBdr>
    </w:div>
    <w:div w:id="10282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84F33-780C-4775-A8EF-D5C3C4A1F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60</Pages>
  <Words>13494</Words>
  <Characters>74220</Characters>
  <Application>Microsoft Office Word</Application>
  <DocSecurity>0</DocSecurity>
  <Lines>618</Lines>
  <Paragraphs>175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Yaffa</cp:lastModifiedBy>
  <cp:revision>2</cp:revision>
  <cp:lastPrinted>2019-07-03T17:21:00Z</cp:lastPrinted>
  <dcterms:created xsi:type="dcterms:W3CDTF">2021-12-28T14:33:00Z</dcterms:created>
  <dcterms:modified xsi:type="dcterms:W3CDTF">2021-12-28T14:33:00Z</dcterms:modified>
</cp:coreProperties>
</file>