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EEC51" w14:textId="77777777" w:rsidR="006B671D" w:rsidRDefault="006B671D" w:rsidP="00325C86">
      <w:pPr>
        <w:jc w:val="center"/>
        <w:rPr>
          <w:rFonts w:ascii="Tw Cen MT" w:eastAsia="+mj-ea" w:hAnsi="Tw Cen MT"/>
          <w:b/>
          <w:bCs/>
          <w:smallCaps/>
          <w:color w:val="1F497D"/>
          <w:kern w:val="24"/>
          <w:sz w:val="32"/>
          <w:szCs w:val="32"/>
          <w:lang w:eastAsia="fr-FR"/>
        </w:rPr>
      </w:pPr>
    </w:p>
    <w:p w14:paraId="73B51D32" w14:textId="601FA80D" w:rsidR="00325C86" w:rsidRPr="00C30010" w:rsidRDefault="00325C86" w:rsidP="00325C86">
      <w:pPr>
        <w:jc w:val="center"/>
        <w:rPr>
          <w:rFonts w:ascii="Tw Cen MT" w:eastAsia="+mj-ea" w:hAnsi="Tw Cen MT"/>
          <w:b/>
          <w:bCs/>
          <w:smallCaps/>
          <w:color w:val="1F497D"/>
          <w:kern w:val="24"/>
          <w:sz w:val="32"/>
          <w:szCs w:val="32"/>
          <w:lang w:eastAsia="fr-FR"/>
        </w:rPr>
      </w:pPr>
      <w:r w:rsidRPr="00C30010">
        <w:rPr>
          <w:rFonts w:ascii="Tw Cen MT" w:eastAsia="+mj-ea" w:hAnsi="Tw Cen MT"/>
          <w:b/>
          <w:bCs/>
          <w:smallCaps/>
          <w:color w:val="1F497D"/>
          <w:kern w:val="24"/>
          <w:sz w:val="32"/>
          <w:szCs w:val="32"/>
          <w:lang w:eastAsia="fr-FR"/>
        </w:rPr>
        <w:t>RÉPUBLIQUE DU MALI</w:t>
      </w:r>
    </w:p>
    <w:p w14:paraId="062E0905" w14:textId="77777777" w:rsidR="00325C86" w:rsidRPr="00C30010" w:rsidRDefault="00325C86" w:rsidP="00A13287">
      <w:pPr>
        <w:jc w:val="center"/>
        <w:rPr>
          <w:rFonts w:ascii="Tw Cen MT" w:eastAsia="+mj-ea" w:hAnsi="Tw Cen MT"/>
          <w:b/>
          <w:bCs/>
          <w:smallCaps/>
          <w:color w:val="1F497D"/>
          <w:kern w:val="24"/>
          <w:sz w:val="32"/>
          <w:szCs w:val="32"/>
          <w:lang w:eastAsia="fr-FR"/>
        </w:rPr>
      </w:pPr>
    </w:p>
    <w:p w14:paraId="11659CBC" w14:textId="77777777" w:rsidR="003F36D5" w:rsidRDefault="003F36D5">
      <w:pPr>
        <w:jc w:val="center"/>
        <w:rPr>
          <w:rFonts w:ascii="Tw Cen MT" w:eastAsia="+mj-ea" w:hAnsi="Tw Cen MT"/>
          <w:b/>
          <w:bCs/>
          <w:smallCaps/>
          <w:color w:val="1F497D"/>
          <w:kern w:val="24"/>
          <w:sz w:val="32"/>
          <w:szCs w:val="32"/>
          <w:lang w:eastAsia="fr-FR"/>
        </w:rPr>
      </w:pPr>
    </w:p>
    <w:p w14:paraId="1E4437BF" w14:textId="77777777" w:rsidR="003F36D5" w:rsidRDefault="003F36D5">
      <w:pPr>
        <w:jc w:val="center"/>
        <w:rPr>
          <w:rFonts w:ascii="Tw Cen MT" w:eastAsia="+mj-ea" w:hAnsi="Tw Cen MT"/>
          <w:b/>
          <w:bCs/>
          <w:smallCaps/>
          <w:color w:val="1F497D"/>
          <w:kern w:val="24"/>
          <w:sz w:val="32"/>
          <w:szCs w:val="32"/>
          <w:lang w:eastAsia="fr-FR"/>
        </w:rPr>
      </w:pPr>
    </w:p>
    <w:p w14:paraId="46AC0742" w14:textId="77777777" w:rsidR="003F36D5" w:rsidRDefault="003F36D5">
      <w:pPr>
        <w:jc w:val="center"/>
        <w:rPr>
          <w:rFonts w:ascii="Tw Cen MT" w:eastAsia="+mj-ea" w:hAnsi="Tw Cen MT"/>
          <w:b/>
          <w:bCs/>
          <w:smallCaps/>
          <w:color w:val="1F497D"/>
          <w:kern w:val="24"/>
          <w:sz w:val="32"/>
          <w:szCs w:val="32"/>
          <w:lang w:eastAsia="fr-FR"/>
        </w:rPr>
      </w:pPr>
    </w:p>
    <w:p w14:paraId="0B123C15" w14:textId="77777777" w:rsidR="003F36D5" w:rsidRDefault="003F36D5">
      <w:pPr>
        <w:jc w:val="center"/>
        <w:rPr>
          <w:rFonts w:ascii="Tw Cen MT" w:eastAsia="+mj-ea" w:hAnsi="Tw Cen MT"/>
          <w:b/>
          <w:bCs/>
          <w:smallCaps/>
          <w:color w:val="1F497D"/>
          <w:kern w:val="24"/>
          <w:sz w:val="32"/>
          <w:szCs w:val="32"/>
          <w:lang w:eastAsia="fr-FR"/>
        </w:rPr>
      </w:pPr>
    </w:p>
    <w:p w14:paraId="36358804" w14:textId="77777777" w:rsidR="003F36D5" w:rsidRDefault="003F36D5">
      <w:pPr>
        <w:jc w:val="center"/>
        <w:rPr>
          <w:rFonts w:ascii="Tw Cen MT" w:eastAsia="+mj-ea" w:hAnsi="Tw Cen MT"/>
          <w:b/>
          <w:bCs/>
          <w:smallCaps/>
          <w:color w:val="1F497D"/>
          <w:kern w:val="24"/>
          <w:sz w:val="32"/>
          <w:szCs w:val="32"/>
          <w:lang w:eastAsia="fr-FR"/>
        </w:rPr>
      </w:pPr>
    </w:p>
    <w:p w14:paraId="6DEA1A11" w14:textId="1841DE59" w:rsidR="00244200" w:rsidRPr="005401AB" w:rsidRDefault="005401AB">
      <w:pPr>
        <w:jc w:val="center"/>
        <w:rPr>
          <w:rFonts w:ascii="Tw Cen MT" w:eastAsia="+mj-ea" w:hAnsi="Tw Cen MT"/>
          <w:b/>
          <w:bCs/>
          <w:smallCaps/>
          <w:color w:val="1F497D"/>
          <w:kern w:val="24"/>
          <w:sz w:val="36"/>
          <w:szCs w:val="36"/>
          <w:lang w:eastAsia="fr-FR"/>
        </w:rPr>
      </w:pPr>
      <w:r w:rsidRPr="005401AB">
        <w:rPr>
          <w:rFonts w:ascii="Tw Cen MT" w:eastAsia="+mj-ea" w:hAnsi="Tw Cen MT"/>
          <w:b/>
          <w:bCs/>
          <w:smallCaps/>
          <w:color w:val="1F497D"/>
          <w:kern w:val="24"/>
          <w:sz w:val="36"/>
          <w:szCs w:val="36"/>
          <w:lang w:eastAsia="fr-FR"/>
        </w:rPr>
        <w:t>MINISTÈRE</w:t>
      </w:r>
      <w:r w:rsidR="00FA0DDF" w:rsidRPr="005401AB">
        <w:rPr>
          <w:rFonts w:ascii="Tw Cen MT" w:eastAsia="+mj-ea" w:hAnsi="Tw Cen MT"/>
          <w:b/>
          <w:bCs/>
          <w:smallCaps/>
          <w:color w:val="1F497D"/>
          <w:kern w:val="24"/>
          <w:sz w:val="36"/>
          <w:szCs w:val="36"/>
          <w:lang w:eastAsia="fr-FR"/>
        </w:rPr>
        <w:t xml:space="preserve"> DES MINES</w:t>
      </w:r>
      <w:r w:rsidRPr="005401AB">
        <w:rPr>
          <w:rFonts w:ascii="Tw Cen MT" w:eastAsia="+mj-ea" w:hAnsi="Tw Cen MT"/>
          <w:b/>
          <w:bCs/>
          <w:smallCaps/>
          <w:color w:val="1F497D"/>
          <w:kern w:val="24"/>
          <w:sz w:val="36"/>
          <w:szCs w:val="36"/>
          <w:lang w:eastAsia="fr-FR"/>
        </w:rPr>
        <w:t>, DE L’ENERGIE ET DE L’EAU</w:t>
      </w:r>
    </w:p>
    <w:p w14:paraId="0772582B" w14:textId="77777777" w:rsidR="003F36D5" w:rsidRDefault="003F36D5" w:rsidP="00325C86">
      <w:pPr>
        <w:jc w:val="center"/>
        <w:rPr>
          <w:rFonts w:ascii="Tw Cen MT" w:eastAsia="+mj-ea" w:hAnsi="Tw Cen MT"/>
          <w:b/>
          <w:bCs/>
          <w:smallCaps/>
          <w:color w:val="1F497D"/>
          <w:kern w:val="24"/>
          <w:sz w:val="28"/>
          <w:szCs w:val="28"/>
          <w:lang w:eastAsia="fr-FR"/>
        </w:rPr>
      </w:pPr>
    </w:p>
    <w:p w14:paraId="3295B645" w14:textId="77777777" w:rsidR="003F36D5" w:rsidRDefault="003F36D5" w:rsidP="00325C86">
      <w:pPr>
        <w:jc w:val="center"/>
        <w:rPr>
          <w:rFonts w:ascii="Tw Cen MT" w:eastAsia="+mj-ea" w:hAnsi="Tw Cen MT"/>
          <w:b/>
          <w:bCs/>
          <w:smallCaps/>
          <w:color w:val="1F497D"/>
          <w:kern w:val="24"/>
          <w:sz w:val="28"/>
          <w:szCs w:val="28"/>
          <w:lang w:eastAsia="fr-FR"/>
        </w:rPr>
      </w:pPr>
    </w:p>
    <w:p w14:paraId="6A44875E" w14:textId="77777777" w:rsidR="003F36D5" w:rsidRDefault="003F36D5" w:rsidP="00325C86">
      <w:pPr>
        <w:jc w:val="center"/>
        <w:rPr>
          <w:rFonts w:ascii="Tw Cen MT" w:eastAsia="+mj-ea" w:hAnsi="Tw Cen MT"/>
          <w:b/>
          <w:bCs/>
          <w:smallCaps/>
          <w:color w:val="1F497D"/>
          <w:kern w:val="24"/>
          <w:sz w:val="28"/>
          <w:szCs w:val="28"/>
          <w:lang w:eastAsia="fr-FR"/>
        </w:rPr>
      </w:pPr>
    </w:p>
    <w:p w14:paraId="18DD7193" w14:textId="7D51DD77" w:rsidR="00FA0DDF" w:rsidRPr="005401AB" w:rsidRDefault="005401AB" w:rsidP="00325C86">
      <w:pPr>
        <w:jc w:val="center"/>
        <w:rPr>
          <w:rFonts w:ascii="Tw Cen MT" w:eastAsia="+mj-ea" w:hAnsi="Tw Cen MT"/>
          <w:b/>
          <w:bCs/>
          <w:smallCaps/>
          <w:color w:val="1F497D"/>
          <w:kern w:val="24"/>
          <w:sz w:val="40"/>
          <w:szCs w:val="40"/>
          <w:lang w:eastAsia="fr-FR"/>
        </w:rPr>
      </w:pPr>
      <w:r w:rsidRPr="005401AB">
        <w:rPr>
          <w:rFonts w:ascii="Tw Cen MT" w:eastAsia="+mj-ea" w:hAnsi="Tw Cen MT"/>
          <w:b/>
          <w:bCs/>
          <w:smallCaps/>
          <w:color w:val="1F497D"/>
          <w:kern w:val="24"/>
          <w:sz w:val="40"/>
          <w:szCs w:val="40"/>
          <w:lang w:eastAsia="fr-FR"/>
        </w:rPr>
        <w:t xml:space="preserve">COMITE DE PILOTAGE </w:t>
      </w:r>
    </w:p>
    <w:p w14:paraId="48AA21A8" w14:textId="77777777" w:rsidR="005401AB" w:rsidRDefault="005401AB" w:rsidP="00325C86">
      <w:pPr>
        <w:jc w:val="center"/>
        <w:rPr>
          <w:rFonts w:ascii="Tw Cen MT" w:eastAsia="+mj-ea" w:hAnsi="Tw Cen MT"/>
          <w:b/>
          <w:bCs/>
          <w:smallCaps/>
          <w:color w:val="1F497D"/>
          <w:kern w:val="24"/>
          <w:sz w:val="32"/>
          <w:szCs w:val="32"/>
          <w:lang w:eastAsia="fr-FR"/>
        </w:rPr>
      </w:pPr>
    </w:p>
    <w:p w14:paraId="247ED2FF" w14:textId="77777777" w:rsidR="00FA0DDF" w:rsidRPr="00C30010" w:rsidRDefault="00FA0DDF" w:rsidP="001F786B">
      <w:pPr>
        <w:rPr>
          <w:rFonts w:ascii="Tw Cen MT" w:eastAsia="+mj-ea" w:hAnsi="Tw Cen MT"/>
          <w:b/>
          <w:bCs/>
          <w:smallCaps/>
          <w:color w:val="1F497D"/>
          <w:kern w:val="24"/>
          <w:sz w:val="32"/>
          <w:szCs w:val="32"/>
          <w:lang w:eastAsia="fr-FR"/>
        </w:rPr>
      </w:pPr>
    </w:p>
    <w:p w14:paraId="028F1165" w14:textId="3B280FD1" w:rsidR="00325C86" w:rsidRDefault="003F36D5" w:rsidP="003F36D5">
      <w:pPr>
        <w:jc w:val="center"/>
        <w:rPr>
          <w:rFonts w:ascii="Tw Cen MT" w:eastAsia="+mj-ea" w:hAnsi="Tw Cen MT"/>
          <w:b/>
          <w:bCs/>
          <w:smallCaps/>
          <w:color w:val="1F497D"/>
          <w:kern w:val="24"/>
          <w:sz w:val="48"/>
          <w:szCs w:val="48"/>
          <w:lang w:eastAsia="fr-FR"/>
        </w:rPr>
      </w:pPr>
      <w:r w:rsidRPr="003F36D5">
        <w:rPr>
          <w:rFonts w:ascii="Tw Cen MT" w:eastAsia="+mj-ea" w:hAnsi="Tw Cen MT"/>
          <w:b/>
          <w:bCs/>
          <w:smallCaps/>
          <w:color w:val="1F497D"/>
          <w:kern w:val="24"/>
          <w:sz w:val="48"/>
          <w:szCs w:val="48"/>
          <w:lang w:eastAsia="fr-FR"/>
        </w:rPr>
        <w:t>INITIATIVE POUR LA TRANSPARENCE DANS LES INDUSTRIES EXTRACTIVES (ITIE MALI)</w:t>
      </w:r>
    </w:p>
    <w:p w14:paraId="0AF39DDF" w14:textId="3EFC186D" w:rsidR="003F36D5" w:rsidRDefault="003F36D5" w:rsidP="003F36D5">
      <w:pPr>
        <w:jc w:val="center"/>
        <w:rPr>
          <w:rFonts w:ascii="Tw Cen MT" w:eastAsia="+mj-ea" w:hAnsi="Tw Cen MT"/>
          <w:b/>
          <w:bCs/>
          <w:smallCaps/>
          <w:color w:val="1F497D"/>
          <w:kern w:val="24"/>
          <w:sz w:val="48"/>
          <w:szCs w:val="48"/>
          <w:lang w:eastAsia="fr-FR"/>
        </w:rPr>
      </w:pPr>
    </w:p>
    <w:p w14:paraId="56022E96" w14:textId="39661500" w:rsidR="003F36D5" w:rsidRPr="003F36D5" w:rsidRDefault="003F36D5" w:rsidP="003F36D5">
      <w:pPr>
        <w:jc w:val="both"/>
        <w:rPr>
          <w:rFonts w:ascii="Tw Cen MT" w:eastAsia="+mj-ea" w:hAnsi="Tw Cen MT"/>
          <w:b/>
          <w:bCs/>
          <w:smallCaps/>
          <w:color w:val="1F497D"/>
          <w:kern w:val="24"/>
          <w:sz w:val="28"/>
          <w:szCs w:val="28"/>
          <w:lang w:eastAsia="fr-FR"/>
        </w:rPr>
      </w:pPr>
      <w:r w:rsidRPr="003F36D5">
        <w:rPr>
          <w:rFonts w:ascii="Tw Cen MT" w:eastAsia="+mj-ea" w:hAnsi="Tw Cen MT"/>
          <w:b/>
          <w:bCs/>
          <w:smallCaps/>
          <w:color w:val="1F497D"/>
          <w:kern w:val="24"/>
          <w:sz w:val="28"/>
          <w:szCs w:val="28"/>
          <w:lang w:eastAsia="fr-FR"/>
        </w:rPr>
        <w:tab/>
      </w:r>
      <w:r w:rsidRPr="003F36D5">
        <w:rPr>
          <w:rFonts w:ascii="Tw Cen MT" w:eastAsia="+mj-ea" w:hAnsi="Tw Cen MT"/>
          <w:b/>
          <w:bCs/>
          <w:smallCaps/>
          <w:color w:val="1F497D"/>
          <w:kern w:val="24"/>
          <w:sz w:val="28"/>
          <w:szCs w:val="28"/>
          <w:lang w:eastAsia="fr-FR"/>
        </w:rPr>
        <w:tab/>
      </w:r>
      <w:r w:rsidRPr="003F36D5">
        <w:rPr>
          <w:rFonts w:ascii="Tw Cen MT" w:eastAsia="+mj-ea" w:hAnsi="Tw Cen MT"/>
          <w:b/>
          <w:bCs/>
          <w:smallCaps/>
          <w:color w:val="1F497D"/>
          <w:kern w:val="24"/>
          <w:sz w:val="28"/>
          <w:szCs w:val="28"/>
          <w:lang w:eastAsia="fr-FR"/>
        </w:rPr>
        <w:tab/>
      </w:r>
      <w:r w:rsidRPr="003F36D5">
        <w:rPr>
          <w:rFonts w:ascii="Tw Cen MT" w:eastAsia="+mj-ea" w:hAnsi="Tw Cen MT"/>
          <w:b/>
          <w:bCs/>
          <w:smallCaps/>
          <w:color w:val="1F497D"/>
          <w:kern w:val="24"/>
          <w:sz w:val="28"/>
          <w:szCs w:val="28"/>
          <w:lang w:eastAsia="fr-FR"/>
        </w:rPr>
        <w:tab/>
      </w:r>
      <w:r w:rsidRPr="003F36D5">
        <w:rPr>
          <w:rFonts w:ascii="Tw Cen MT" w:eastAsia="+mj-ea" w:hAnsi="Tw Cen MT"/>
          <w:b/>
          <w:bCs/>
          <w:smallCaps/>
          <w:color w:val="1F497D"/>
          <w:kern w:val="24"/>
          <w:sz w:val="28"/>
          <w:szCs w:val="28"/>
          <w:lang w:eastAsia="fr-FR"/>
        </w:rPr>
        <w:tab/>
      </w:r>
    </w:p>
    <w:p w14:paraId="10ECEA59" w14:textId="5406D98C" w:rsidR="003F36D5" w:rsidRPr="003F36D5" w:rsidRDefault="00320355" w:rsidP="003F36D5">
      <w:pPr>
        <w:ind w:firstLine="360"/>
        <w:jc w:val="center"/>
        <w:rPr>
          <w:rFonts w:ascii="Tw Cen MT" w:eastAsia="+mj-ea" w:hAnsi="Tw Cen MT"/>
          <w:b/>
          <w:bCs/>
          <w:smallCaps/>
          <w:color w:val="1F497D"/>
          <w:kern w:val="24"/>
          <w:sz w:val="28"/>
          <w:szCs w:val="28"/>
          <w:lang w:eastAsia="fr-FR"/>
        </w:rPr>
      </w:pPr>
      <w:bookmarkStart w:id="0" w:name="_GoBack"/>
      <w:bookmarkEnd w:id="0"/>
      <w:r>
        <w:rPr>
          <w:rFonts w:ascii="Tw Cen MT" w:eastAsia="+mj-ea" w:hAnsi="Tw Cen MT"/>
          <w:b/>
          <w:bCs/>
          <w:smallCaps/>
          <w:color w:val="1F497D"/>
          <w:kern w:val="24"/>
          <w:sz w:val="28"/>
          <w:szCs w:val="28"/>
          <w:lang w:eastAsia="fr-FR"/>
        </w:rPr>
        <w:t xml:space="preserve"> </w:t>
      </w:r>
      <w:r w:rsidR="003F36D5" w:rsidRPr="003F36D5">
        <w:rPr>
          <w:rFonts w:ascii="Tw Cen MT" w:eastAsia="+mj-ea" w:hAnsi="Tw Cen MT"/>
          <w:b/>
          <w:bCs/>
          <w:smallCaps/>
          <w:color w:val="1F497D"/>
          <w:kern w:val="24"/>
          <w:sz w:val="28"/>
          <w:szCs w:val="28"/>
          <w:lang w:eastAsia="fr-FR"/>
        </w:rPr>
        <w:t xml:space="preserve">RAPPORT </w:t>
      </w:r>
      <w:r>
        <w:rPr>
          <w:rFonts w:ascii="Tw Cen MT" w:eastAsia="+mj-ea" w:hAnsi="Tw Cen MT"/>
          <w:b/>
          <w:bCs/>
          <w:smallCaps/>
          <w:color w:val="1F497D"/>
          <w:kern w:val="24"/>
          <w:sz w:val="28"/>
          <w:szCs w:val="28"/>
          <w:lang w:eastAsia="fr-FR"/>
        </w:rPr>
        <w:t>DE CADRAGE</w:t>
      </w:r>
      <w:r w:rsidR="003F36D5" w:rsidRPr="003F36D5">
        <w:rPr>
          <w:rFonts w:ascii="Tw Cen MT" w:eastAsia="+mj-ea" w:hAnsi="Tw Cen MT"/>
          <w:b/>
          <w:bCs/>
          <w:smallCaps/>
          <w:color w:val="1F497D"/>
          <w:kern w:val="24"/>
          <w:sz w:val="28"/>
          <w:szCs w:val="28"/>
          <w:lang w:eastAsia="fr-FR"/>
        </w:rPr>
        <w:t xml:space="preserve"> </w:t>
      </w:r>
      <w:r w:rsidR="003F36D5">
        <w:rPr>
          <w:rFonts w:ascii="Tw Cen MT" w:eastAsia="+mj-ea" w:hAnsi="Tw Cen MT"/>
          <w:b/>
          <w:bCs/>
          <w:smallCaps/>
          <w:color w:val="1F497D"/>
          <w:kern w:val="24"/>
          <w:sz w:val="28"/>
          <w:szCs w:val="28"/>
          <w:lang w:eastAsia="fr-FR"/>
        </w:rPr>
        <w:t>AU TITRE DE L</w:t>
      </w:r>
      <w:r>
        <w:rPr>
          <w:rFonts w:ascii="Tw Cen MT" w:eastAsia="+mj-ea" w:hAnsi="Tw Cen MT"/>
          <w:b/>
          <w:bCs/>
          <w:smallCaps/>
          <w:color w:val="1F497D"/>
          <w:kern w:val="24"/>
          <w:sz w:val="28"/>
          <w:szCs w:val="28"/>
          <w:lang w:eastAsia="fr-FR"/>
        </w:rPr>
        <w:t>’ANNÉE</w:t>
      </w:r>
      <w:r w:rsidR="003F36D5" w:rsidRPr="003F36D5">
        <w:rPr>
          <w:rFonts w:ascii="Tw Cen MT" w:eastAsia="+mj-ea" w:hAnsi="Tw Cen MT"/>
          <w:b/>
          <w:bCs/>
          <w:smallCaps/>
          <w:color w:val="1F497D"/>
          <w:kern w:val="24"/>
          <w:sz w:val="28"/>
          <w:szCs w:val="28"/>
          <w:lang w:eastAsia="fr-FR"/>
        </w:rPr>
        <w:t xml:space="preserve"> </w:t>
      </w:r>
      <w:r w:rsidR="003F36D5">
        <w:rPr>
          <w:rFonts w:ascii="Tw Cen MT" w:eastAsia="+mj-ea" w:hAnsi="Tw Cen MT"/>
          <w:b/>
          <w:bCs/>
          <w:smallCaps/>
          <w:color w:val="1F497D"/>
          <w:kern w:val="24"/>
          <w:sz w:val="28"/>
          <w:szCs w:val="28"/>
          <w:lang w:eastAsia="fr-FR"/>
        </w:rPr>
        <w:t>2019</w:t>
      </w:r>
    </w:p>
    <w:p w14:paraId="459AF109" w14:textId="77777777" w:rsidR="00325C86" w:rsidRPr="00C30010" w:rsidRDefault="00325C86" w:rsidP="001F786B">
      <w:pPr>
        <w:jc w:val="both"/>
        <w:rPr>
          <w:rFonts w:ascii="Tw Cen MT" w:eastAsia="+mj-ea" w:hAnsi="Tw Cen MT"/>
          <w:b/>
          <w:bCs/>
          <w:smallCaps/>
          <w:color w:val="1F497D"/>
          <w:kern w:val="24"/>
          <w:sz w:val="32"/>
          <w:szCs w:val="32"/>
          <w:lang w:eastAsia="fr-FR"/>
        </w:rPr>
      </w:pPr>
    </w:p>
    <w:p w14:paraId="641DB997" w14:textId="77777777" w:rsidR="00325C86" w:rsidRPr="00C30010" w:rsidRDefault="00325C86" w:rsidP="00325C86">
      <w:pPr>
        <w:jc w:val="center"/>
        <w:rPr>
          <w:rFonts w:ascii="Tw Cen MT" w:eastAsia="+mj-ea" w:hAnsi="Tw Cen MT"/>
          <w:b/>
          <w:bCs/>
          <w:smallCaps/>
          <w:color w:val="1F497D"/>
          <w:kern w:val="24"/>
          <w:sz w:val="32"/>
          <w:szCs w:val="32"/>
          <w:lang w:eastAsia="fr-FR"/>
        </w:rPr>
      </w:pPr>
    </w:p>
    <w:p w14:paraId="526D8AAB" w14:textId="77777777" w:rsidR="00325C86" w:rsidRPr="00244200" w:rsidRDefault="00325C86" w:rsidP="00325C86">
      <w:pPr>
        <w:rPr>
          <w:rFonts w:ascii="Tw Cen MT" w:eastAsia="+mj-ea" w:hAnsi="Tw Cen MT"/>
          <w:b/>
          <w:bCs/>
          <w:smallCaps/>
          <w:color w:val="1F497D"/>
          <w:kern w:val="24"/>
          <w:sz w:val="40"/>
          <w:szCs w:val="40"/>
          <w:lang w:eastAsia="fr-FR"/>
        </w:rPr>
      </w:pPr>
    </w:p>
    <w:p w14:paraId="118E5204" w14:textId="77777777" w:rsidR="00244200" w:rsidRPr="00244200" w:rsidRDefault="00244200" w:rsidP="00325C86">
      <w:pPr>
        <w:jc w:val="center"/>
        <w:rPr>
          <w:rFonts w:ascii="Tw Cen MT" w:eastAsia="+mj-ea" w:hAnsi="Tw Cen MT"/>
          <w:b/>
          <w:bCs/>
          <w:smallCaps/>
          <w:color w:val="1F497D"/>
          <w:kern w:val="24"/>
          <w:sz w:val="28"/>
          <w:szCs w:val="28"/>
          <w:lang w:eastAsia="fr-FR"/>
        </w:rPr>
      </w:pPr>
    </w:p>
    <w:p w14:paraId="4F6D96F0" w14:textId="3F01F649" w:rsidR="00325C86" w:rsidRPr="00244200" w:rsidRDefault="00325C86" w:rsidP="00325C86">
      <w:pPr>
        <w:jc w:val="center"/>
        <w:rPr>
          <w:rFonts w:ascii="Tw Cen MT" w:eastAsia="+mj-ea" w:hAnsi="Tw Cen MT"/>
          <w:b/>
          <w:bCs/>
          <w:smallCaps/>
          <w:color w:val="1F497D"/>
          <w:kern w:val="24"/>
          <w:sz w:val="28"/>
          <w:szCs w:val="28"/>
          <w:lang w:eastAsia="fr-FR"/>
        </w:rPr>
      </w:pPr>
      <w:r w:rsidRPr="00244200">
        <w:rPr>
          <w:rFonts w:ascii="Tw Cen MT" w:eastAsia="+mj-ea" w:hAnsi="Tw Cen MT"/>
          <w:b/>
          <w:bCs/>
          <w:smallCaps/>
          <w:color w:val="1F497D"/>
          <w:kern w:val="24"/>
          <w:sz w:val="28"/>
          <w:szCs w:val="28"/>
          <w:lang w:eastAsia="fr-FR"/>
        </w:rPr>
        <w:t>GROUPEMENT</w:t>
      </w:r>
    </w:p>
    <w:p w14:paraId="3BF279D2" w14:textId="77777777" w:rsidR="00325C86" w:rsidRPr="00244200" w:rsidRDefault="00325C86" w:rsidP="00325C86">
      <w:pPr>
        <w:jc w:val="center"/>
        <w:rPr>
          <w:rFonts w:ascii="Tw Cen MT" w:hAnsi="Tw Cen MT"/>
          <w:sz w:val="28"/>
          <w:szCs w:val="28"/>
          <w:lang w:eastAsia="fr-FR"/>
        </w:rPr>
      </w:pPr>
    </w:p>
    <w:tbl>
      <w:tblPr>
        <w:tblStyle w:val="Grilledutableau2"/>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752"/>
      </w:tblGrid>
      <w:tr w:rsidR="00325C86" w:rsidRPr="00244200" w14:paraId="42E542D0" w14:textId="77777777" w:rsidTr="00FA35BF">
        <w:tc>
          <w:tcPr>
            <w:tcW w:w="4536" w:type="dxa"/>
            <w:vAlign w:val="center"/>
          </w:tcPr>
          <w:p w14:paraId="60383EE2" w14:textId="45E4DE91" w:rsidR="00325C86" w:rsidRPr="00244200" w:rsidRDefault="00325C86" w:rsidP="00325C86">
            <w:pPr>
              <w:tabs>
                <w:tab w:val="center" w:pos="4536"/>
                <w:tab w:val="right" w:pos="9072"/>
              </w:tabs>
              <w:jc w:val="center"/>
              <w:rPr>
                <w:rFonts w:ascii="Tw Cen MT" w:eastAsia="Calibri" w:hAnsi="Tw Cen MT"/>
                <w:sz w:val="50"/>
                <w:szCs w:val="50"/>
              </w:rPr>
            </w:pPr>
            <w:r w:rsidRPr="00244200">
              <w:rPr>
                <w:rFonts w:ascii="Tw Cen MT" w:eastAsia="Calibri" w:hAnsi="Tw Cen MT"/>
              </w:rPr>
              <w:br w:type="page"/>
            </w:r>
            <w:r w:rsidR="003F36D5">
              <w:rPr>
                <w:rFonts w:ascii="Tw Cen MT" w:eastAsia="Calibri" w:hAnsi="Tw Cen MT"/>
                <w:noProof/>
                <w:lang w:eastAsia="fr-FR"/>
              </w:rPr>
              <w:drawing>
                <wp:inline distT="0" distB="0" distL="0" distR="0" wp14:anchorId="5BE23ED7" wp14:editId="0B548E54">
                  <wp:extent cx="1905000" cy="1905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4752" w:type="dxa"/>
            <w:vAlign w:val="center"/>
          </w:tcPr>
          <w:p w14:paraId="68D15CE2" w14:textId="77777777" w:rsidR="00325C86" w:rsidRPr="00244200" w:rsidRDefault="00325C86" w:rsidP="00325C86">
            <w:pPr>
              <w:tabs>
                <w:tab w:val="center" w:pos="4536"/>
                <w:tab w:val="right" w:pos="9072"/>
              </w:tabs>
              <w:jc w:val="center"/>
              <w:rPr>
                <w:rFonts w:ascii="Tw Cen MT" w:eastAsia="Calibri" w:hAnsi="Tw Cen MT"/>
                <w:sz w:val="28"/>
                <w:szCs w:val="28"/>
              </w:rPr>
            </w:pPr>
            <w:r w:rsidRPr="00244200">
              <w:rPr>
                <w:rFonts w:ascii="Tw Cen MT" w:eastAsia="Calibri" w:hAnsi="Tw Cen MT"/>
                <w:noProof/>
                <w:sz w:val="22"/>
                <w:szCs w:val="22"/>
                <w:lang w:eastAsia="fr-FR"/>
              </w:rPr>
              <w:drawing>
                <wp:inline distT="0" distB="0" distL="0" distR="0" wp14:anchorId="022ACE9B" wp14:editId="305BE441">
                  <wp:extent cx="2140729" cy="37135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622" cy="380006"/>
                          </a:xfrm>
                          <a:prstGeom prst="rect">
                            <a:avLst/>
                          </a:prstGeom>
                          <a:noFill/>
                          <a:ln>
                            <a:noFill/>
                          </a:ln>
                        </pic:spPr>
                      </pic:pic>
                    </a:graphicData>
                  </a:graphic>
                </wp:inline>
              </w:drawing>
            </w:r>
          </w:p>
        </w:tc>
      </w:tr>
    </w:tbl>
    <w:p w14:paraId="285A195A" w14:textId="425A226D" w:rsidR="00325C86" w:rsidRPr="00244200" w:rsidRDefault="003F36D5" w:rsidP="00325C86">
      <w:pPr>
        <w:tabs>
          <w:tab w:val="center" w:pos="4536"/>
          <w:tab w:val="right" w:pos="9072"/>
        </w:tabs>
        <w:jc w:val="center"/>
        <w:rPr>
          <w:rFonts w:ascii="Tw Cen MT" w:hAnsi="Tw Cen MT"/>
          <w:sz w:val="24"/>
          <w:szCs w:val="24"/>
          <w:lang w:eastAsia="fr-FR"/>
        </w:rPr>
        <w:sectPr w:rsidR="00325C86" w:rsidRPr="00244200" w:rsidSect="00320355">
          <w:footerReference w:type="default" r:id="rId11"/>
          <w:pgSz w:w="11906" w:h="16838"/>
          <w:pgMar w:top="1417" w:right="1417" w:bottom="1417" w:left="1417" w:header="708" w:footer="708" w:gutter="0"/>
          <w:cols w:space="708"/>
          <w:titlePg/>
          <w:docGrid w:linePitch="360"/>
        </w:sectPr>
      </w:pPr>
      <w:r>
        <w:rPr>
          <w:rFonts w:ascii="Tw Cen MT" w:hAnsi="Tw Cen MT"/>
          <w:b/>
          <w:color w:val="FF0000"/>
          <w:sz w:val="24"/>
          <w:szCs w:val="24"/>
          <w:lang w:eastAsia="fr-FR"/>
        </w:rPr>
        <w:t>DÉCEMBRE</w:t>
      </w:r>
      <w:r w:rsidR="00325C86" w:rsidRPr="00244200">
        <w:rPr>
          <w:rFonts w:ascii="Tw Cen MT" w:hAnsi="Tw Cen MT"/>
          <w:b/>
          <w:color w:val="FF0000"/>
          <w:sz w:val="24"/>
          <w:szCs w:val="24"/>
          <w:lang w:eastAsia="fr-FR"/>
        </w:rPr>
        <w:t xml:space="preserve"> 202</w:t>
      </w:r>
      <w:r>
        <w:rPr>
          <w:rFonts w:ascii="Tw Cen MT" w:hAnsi="Tw Cen MT"/>
          <w:b/>
          <w:color w:val="FF0000"/>
          <w:sz w:val="24"/>
          <w:szCs w:val="24"/>
          <w:lang w:eastAsia="fr-FR"/>
        </w:rPr>
        <w:t>1</w:t>
      </w:r>
    </w:p>
    <w:sdt>
      <w:sdtPr>
        <w:rPr>
          <w:rFonts w:ascii="Tw Cen MT" w:eastAsia="Times New Roman" w:hAnsi="Tw Cen MT" w:cs="Arial"/>
          <w:b/>
          <w:color w:val="FFFFFF" w:themeColor="background1"/>
          <w:sz w:val="20"/>
          <w:szCs w:val="20"/>
          <w:lang w:eastAsia="en-US"/>
        </w:rPr>
        <w:id w:val="1711229844"/>
        <w:docPartObj>
          <w:docPartGallery w:val="Table of Contents"/>
          <w:docPartUnique/>
        </w:docPartObj>
      </w:sdtPr>
      <w:sdtEndPr>
        <w:rPr>
          <w:b w:val="0"/>
          <w:bCs/>
          <w:color w:val="auto"/>
          <w:sz w:val="24"/>
          <w:szCs w:val="24"/>
        </w:rPr>
      </w:sdtEndPr>
      <w:sdtContent>
        <w:p w14:paraId="32FDBC8E" w14:textId="77777777" w:rsidR="00776456" w:rsidRPr="00244200" w:rsidRDefault="007B3124" w:rsidP="00244200">
          <w:pPr>
            <w:pStyle w:val="En-ttedetabledesmatires"/>
            <w:shd w:val="clear" w:color="auto" w:fill="00B0F0"/>
            <w:spacing w:after="240" w:line="240" w:lineRule="auto"/>
            <w:jc w:val="center"/>
            <w:rPr>
              <w:rFonts w:ascii="Tw Cen MT" w:hAnsi="Tw Cen MT" w:cs="Arial"/>
              <w:b/>
              <w:color w:val="FFFFFF" w:themeColor="background1"/>
              <w:sz w:val="28"/>
            </w:rPr>
          </w:pPr>
          <w:r w:rsidRPr="00244200">
            <w:rPr>
              <w:rFonts w:ascii="Tw Cen MT" w:hAnsi="Tw Cen MT" w:cs="Arial"/>
              <w:b/>
              <w:color w:val="FFFFFF" w:themeColor="background1"/>
              <w:sz w:val="28"/>
            </w:rPr>
            <w:t>SOMMAIRE</w:t>
          </w:r>
        </w:p>
        <w:p w14:paraId="1B52C896" w14:textId="25176ED3" w:rsidR="00CD0647" w:rsidRDefault="00080080">
          <w:pPr>
            <w:pStyle w:val="TM1"/>
            <w:rPr>
              <w:rFonts w:asciiTheme="minorHAnsi" w:eastAsiaTheme="minorEastAsia" w:hAnsiTheme="minorHAnsi" w:cstheme="minorBidi"/>
              <w:iCs w:val="0"/>
              <w:caps w:val="0"/>
              <w:sz w:val="22"/>
              <w:szCs w:val="22"/>
              <w:lang w:eastAsia="fr-FR"/>
            </w:rPr>
          </w:pPr>
          <w:r w:rsidRPr="00D22548">
            <w:rPr>
              <w:szCs w:val="24"/>
            </w:rPr>
            <w:fldChar w:fldCharType="begin"/>
          </w:r>
          <w:r w:rsidRPr="00D22548">
            <w:rPr>
              <w:szCs w:val="24"/>
            </w:rPr>
            <w:instrText xml:space="preserve"> TOC \o "1-3" \h \z \u </w:instrText>
          </w:r>
          <w:r w:rsidRPr="00D22548">
            <w:rPr>
              <w:szCs w:val="24"/>
            </w:rPr>
            <w:fldChar w:fldCharType="separate"/>
          </w:r>
          <w:hyperlink w:anchor="_Toc90999701" w:history="1">
            <w:r w:rsidR="00CD0647" w:rsidRPr="008C56AB">
              <w:rPr>
                <w:rStyle w:val="Lienhypertexte"/>
                <w:b/>
              </w:rPr>
              <w:t>INTRODUCTION</w:t>
            </w:r>
            <w:r w:rsidR="00CD0647">
              <w:rPr>
                <w:webHidden/>
              </w:rPr>
              <w:tab/>
            </w:r>
            <w:r w:rsidR="00CD0647">
              <w:rPr>
                <w:webHidden/>
              </w:rPr>
              <w:fldChar w:fldCharType="begin"/>
            </w:r>
            <w:r w:rsidR="00CD0647">
              <w:rPr>
                <w:webHidden/>
              </w:rPr>
              <w:instrText xml:space="preserve"> PAGEREF _Toc90999701 \h </w:instrText>
            </w:r>
            <w:r w:rsidR="00CD0647">
              <w:rPr>
                <w:webHidden/>
              </w:rPr>
            </w:r>
            <w:r w:rsidR="00CD0647">
              <w:rPr>
                <w:webHidden/>
              </w:rPr>
              <w:fldChar w:fldCharType="separate"/>
            </w:r>
            <w:r w:rsidR="00CD0647">
              <w:rPr>
                <w:webHidden/>
              </w:rPr>
              <w:t>5</w:t>
            </w:r>
            <w:r w:rsidR="00CD0647">
              <w:rPr>
                <w:webHidden/>
              </w:rPr>
              <w:fldChar w:fldCharType="end"/>
            </w:r>
          </w:hyperlink>
        </w:p>
        <w:p w14:paraId="51E5EFAB" w14:textId="3E54D69C" w:rsidR="00CD0647" w:rsidRDefault="004A5DB3">
          <w:pPr>
            <w:pStyle w:val="TM1"/>
            <w:rPr>
              <w:rFonts w:asciiTheme="minorHAnsi" w:eastAsiaTheme="minorEastAsia" w:hAnsiTheme="minorHAnsi" w:cstheme="minorBidi"/>
              <w:iCs w:val="0"/>
              <w:caps w:val="0"/>
              <w:sz w:val="22"/>
              <w:szCs w:val="22"/>
              <w:lang w:eastAsia="fr-FR"/>
            </w:rPr>
          </w:pPr>
          <w:hyperlink w:anchor="_Toc90999702" w:history="1">
            <w:r w:rsidR="00CD0647" w:rsidRPr="008C56AB">
              <w:rPr>
                <w:rStyle w:val="Lienhypertexte"/>
                <w:b/>
              </w:rPr>
              <w:t>I.</w:t>
            </w:r>
            <w:r w:rsidR="00CD0647">
              <w:rPr>
                <w:rFonts w:asciiTheme="minorHAnsi" w:eastAsiaTheme="minorEastAsia" w:hAnsiTheme="minorHAnsi" w:cstheme="minorBidi"/>
                <w:iCs w:val="0"/>
                <w:caps w:val="0"/>
                <w:sz w:val="22"/>
                <w:szCs w:val="22"/>
                <w:lang w:eastAsia="fr-FR"/>
              </w:rPr>
              <w:tab/>
            </w:r>
            <w:r w:rsidR="00CD0647" w:rsidRPr="008C56AB">
              <w:rPr>
                <w:rStyle w:val="Lienhypertexte"/>
                <w:b/>
              </w:rPr>
              <w:t>CONTEXTE ET JUSTIFICATION DE L’ÉTUDE</w:t>
            </w:r>
            <w:r w:rsidR="00CD0647">
              <w:rPr>
                <w:webHidden/>
              </w:rPr>
              <w:tab/>
            </w:r>
            <w:r w:rsidR="00CD0647">
              <w:rPr>
                <w:webHidden/>
              </w:rPr>
              <w:fldChar w:fldCharType="begin"/>
            </w:r>
            <w:r w:rsidR="00CD0647">
              <w:rPr>
                <w:webHidden/>
              </w:rPr>
              <w:instrText xml:space="preserve"> PAGEREF _Toc90999702 \h </w:instrText>
            </w:r>
            <w:r w:rsidR="00CD0647">
              <w:rPr>
                <w:webHidden/>
              </w:rPr>
            </w:r>
            <w:r w:rsidR="00CD0647">
              <w:rPr>
                <w:webHidden/>
              </w:rPr>
              <w:fldChar w:fldCharType="separate"/>
            </w:r>
            <w:r w:rsidR="00CD0647">
              <w:rPr>
                <w:webHidden/>
              </w:rPr>
              <w:t>6</w:t>
            </w:r>
            <w:r w:rsidR="00CD0647">
              <w:rPr>
                <w:webHidden/>
              </w:rPr>
              <w:fldChar w:fldCharType="end"/>
            </w:r>
          </w:hyperlink>
        </w:p>
        <w:p w14:paraId="7D285067" w14:textId="2C75B233" w:rsidR="00CD0647" w:rsidRDefault="004A5DB3">
          <w:pPr>
            <w:pStyle w:val="TM1"/>
            <w:rPr>
              <w:rFonts w:asciiTheme="minorHAnsi" w:eastAsiaTheme="minorEastAsia" w:hAnsiTheme="minorHAnsi" w:cstheme="minorBidi"/>
              <w:iCs w:val="0"/>
              <w:caps w:val="0"/>
              <w:sz w:val="22"/>
              <w:szCs w:val="22"/>
              <w:lang w:eastAsia="fr-FR"/>
            </w:rPr>
          </w:pPr>
          <w:hyperlink w:anchor="_Toc90999703" w:history="1">
            <w:r w:rsidR="00CD0647" w:rsidRPr="008C56AB">
              <w:rPr>
                <w:rStyle w:val="Lienhypertexte"/>
                <w:b/>
              </w:rPr>
              <w:t>II.</w:t>
            </w:r>
            <w:r w:rsidR="00CD0647">
              <w:rPr>
                <w:rFonts w:asciiTheme="minorHAnsi" w:eastAsiaTheme="minorEastAsia" w:hAnsiTheme="minorHAnsi" w:cstheme="minorBidi"/>
                <w:iCs w:val="0"/>
                <w:caps w:val="0"/>
                <w:sz w:val="22"/>
                <w:szCs w:val="22"/>
                <w:lang w:eastAsia="fr-FR"/>
              </w:rPr>
              <w:tab/>
            </w:r>
            <w:r w:rsidR="00CD0647" w:rsidRPr="008C56AB">
              <w:rPr>
                <w:rStyle w:val="Lienhypertexte"/>
                <w:b/>
              </w:rPr>
              <w:t>OBJECTIFS ET RÉSULTATS ATTENDUS DE L’ÉTUDE</w:t>
            </w:r>
            <w:r w:rsidR="00CD0647">
              <w:rPr>
                <w:webHidden/>
              </w:rPr>
              <w:tab/>
            </w:r>
            <w:r w:rsidR="00CD0647">
              <w:rPr>
                <w:webHidden/>
              </w:rPr>
              <w:fldChar w:fldCharType="begin"/>
            </w:r>
            <w:r w:rsidR="00CD0647">
              <w:rPr>
                <w:webHidden/>
              </w:rPr>
              <w:instrText xml:space="preserve"> PAGEREF _Toc90999703 \h </w:instrText>
            </w:r>
            <w:r w:rsidR="00CD0647">
              <w:rPr>
                <w:webHidden/>
              </w:rPr>
            </w:r>
            <w:r w:rsidR="00CD0647">
              <w:rPr>
                <w:webHidden/>
              </w:rPr>
              <w:fldChar w:fldCharType="separate"/>
            </w:r>
            <w:r w:rsidR="00CD0647">
              <w:rPr>
                <w:webHidden/>
              </w:rPr>
              <w:t>8</w:t>
            </w:r>
            <w:r w:rsidR="00CD0647">
              <w:rPr>
                <w:webHidden/>
              </w:rPr>
              <w:fldChar w:fldCharType="end"/>
            </w:r>
          </w:hyperlink>
        </w:p>
        <w:p w14:paraId="0EA18518" w14:textId="5AF44E07" w:rsidR="00CD0647" w:rsidRDefault="004A5DB3">
          <w:pPr>
            <w:pStyle w:val="TM2"/>
            <w:tabs>
              <w:tab w:val="left" w:pos="800"/>
              <w:tab w:val="right" w:leader="dot" w:pos="9060"/>
            </w:tabs>
            <w:rPr>
              <w:rFonts w:eastAsiaTheme="minorEastAsia" w:cstheme="minorBidi"/>
              <w:smallCaps w:val="0"/>
              <w:noProof/>
              <w:sz w:val="22"/>
              <w:szCs w:val="22"/>
              <w:lang w:eastAsia="fr-FR"/>
            </w:rPr>
          </w:pPr>
          <w:hyperlink w:anchor="_Toc90999704" w:history="1">
            <w:r w:rsidR="00CD0647" w:rsidRPr="008C56AB">
              <w:rPr>
                <w:rStyle w:val="Lienhypertexte"/>
                <w:rFonts w:ascii="Tw Cen MT" w:hAnsi="Tw Cen MT"/>
                <w:b/>
                <w:iCs/>
                <w:noProof/>
              </w:rPr>
              <w:t>2.1</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Objectifs</w:t>
            </w:r>
            <w:r w:rsidR="00CD0647">
              <w:rPr>
                <w:noProof/>
                <w:webHidden/>
              </w:rPr>
              <w:tab/>
            </w:r>
            <w:r w:rsidR="00CD0647">
              <w:rPr>
                <w:noProof/>
                <w:webHidden/>
              </w:rPr>
              <w:fldChar w:fldCharType="begin"/>
            </w:r>
            <w:r w:rsidR="00CD0647">
              <w:rPr>
                <w:noProof/>
                <w:webHidden/>
              </w:rPr>
              <w:instrText xml:space="preserve"> PAGEREF _Toc90999704 \h </w:instrText>
            </w:r>
            <w:r w:rsidR="00CD0647">
              <w:rPr>
                <w:noProof/>
                <w:webHidden/>
              </w:rPr>
            </w:r>
            <w:r w:rsidR="00CD0647">
              <w:rPr>
                <w:noProof/>
                <w:webHidden/>
              </w:rPr>
              <w:fldChar w:fldCharType="separate"/>
            </w:r>
            <w:r w:rsidR="00CD0647">
              <w:rPr>
                <w:noProof/>
                <w:webHidden/>
              </w:rPr>
              <w:t>8</w:t>
            </w:r>
            <w:r w:rsidR="00CD0647">
              <w:rPr>
                <w:noProof/>
                <w:webHidden/>
              </w:rPr>
              <w:fldChar w:fldCharType="end"/>
            </w:r>
          </w:hyperlink>
        </w:p>
        <w:p w14:paraId="657B9EFE" w14:textId="0FD439D7" w:rsidR="00CD0647" w:rsidRDefault="004A5DB3">
          <w:pPr>
            <w:pStyle w:val="TM2"/>
            <w:tabs>
              <w:tab w:val="left" w:pos="800"/>
              <w:tab w:val="right" w:leader="dot" w:pos="9060"/>
            </w:tabs>
            <w:rPr>
              <w:rFonts w:eastAsiaTheme="minorEastAsia" w:cstheme="minorBidi"/>
              <w:smallCaps w:val="0"/>
              <w:noProof/>
              <w:sz w:val="22"/>
              <w:szCs w:val="22"/>
              <w:lang w:eastAsia="fr-FR"/>
            </w:rPr>
          </w:pPr>
          <w:hyperlink w:anchor="_Toc90999705" w:history="1">
            <w:r w:rsidR="00CD0647" w:rsidRPr="008C56AB">
              <w:rPr>
                <w:rStyle w:val="Lienhypertexte"/>
                <w:rFonts w:ascii="Tw Cen MT" w:hAnsi="Tw Cen MT"/>
                <w:b/>
                <w:iCs/>
                <w:noProof/>
              </w:rPr>
              <w:t>2.2</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Résultats Attendus</w:t>
            </w:r>
            <w:r w:rsidR="00CD0647">
              <w:rPr>
                <w:noProof/>
                <w:webHidden/>
              </w:rPr>
              <w:tab/>
            </w:r>
            <w:r w:rsidR="00CD0647">
              <w:rPr>
                <w:noProof/>
                <w:webHidden/>
              </w:rPr>
              <w:fldChar w:fldCharType="begin"/>
            </w:r>
            <w:r w:rsidR="00CD0647">
              <w:rPr>
                <w:noProof/>
                <w:webHidden/>
              </w:rPr>
              <w:instrText xml:space="preserve"> PAGEREF _Toc90999705 \h </w:instrText>
            </w:r>
            <w:r w:rsidR="00CD0647">
              <w:rPr>
                <w:noProof/>
                <w:webHidden/>
              </w:rPr>
            </w:r>
            <w:r w:rsidR="00CD0647">
              <w:rPr>
                <w:noProof/>
                <w:webHidden/>
              </w:rPr>
              <w:fldChar w:fldCharType="separate"/>
            </w:r>
            <w:r w:rsidR="00CD0647">
              <w:rPr>
                <w:noProof/>
                <w:webHidden/>
              </w:rPr>
              <w:t>8</w:t>
            </w:r>
            <w:r w:rsidR="00CD0647">
              <w:rPr>
                <w:noProof/>
                <w:webHidden/>
              </w:rPr>
              <w:fldChar w:fldCharType="end"/>
            </w:r>
          </w:hyperlink>
        </w:p>
        <w:p w14:paraId="528F55BB" w14:textId="6B44D677" w:rsidR="00CD0647" w:rsidRDefault="004A5DB3">
          <w:pPr>
            <w:pStyle w:val="TM2"/>
            <w:tabs>
              <w:tab w:val="left" w:pos="800"/>
              <w:tab w:val="right" w:leader="dot" w:pos="9060"/>
            </w:tabs>
            <w:rPr>
              <w:rFonts w:eastAsiaTheme="minorEastAsia" w:cstheme="minorBidi"/>
              <w:smallCaps w:val="0"/>
              <w:noProof/>
              <w:sz w:val="22"/>
              <w:szCs w:val="22"/>
              <w:lang w:eastAsia="fr-FR"/>
            </w:rPr>
          </w:pPr>
          <w:hyperlink w:anchor="_Toc90999706" w:history="1">
            <w:r w:rsidR="00CD0647" w:rsidRPr="008C56AB">
              <w:rPr>
                <w:rStyle w:val="Lienhypertexte"/>
                <w:rFonts w:ascii="Tw Cen MT" w:hAnsi="Tw Cen MT"/>
                <w:b/>
                <w:iCs/>
                <w:noProof/>
              </w:rPr>
              <w:t>2.3</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Livrables Attendus</w:t>
            </w:r>
            <w:r w:rsidR="00CD0647">
              <w:rPr>
                <w:noProof/>
                <w:webHidden/>
              </w:rPr>
              <w:tab/>
            </w:r>
            <w:r w:rsidR="00CD0647">
              <w:rPr>
                <w:noProof/>
                <w:webHidden/>
              </w:rPr>
              <w:fldChar w:fldCharType="begin"/>
            </w:r>
            <w:r w:rsidR="00CD0647">
              <w:rPr>
                <w:noProof/>
                <w:webHidden/>
              </w:rPr>
              <w:instrText xml:space="preserve"> PAGEREF _Toc90999706 \h </w:instrText>
            </w:r>
            <w:r w:rsidR="00CD0647">
              <w:rPr>
                <w:noProof/>
                <w:webHidden/>
              </w:rPr>
            </w:r>
            <w:r w:rsidR="00CD0647">
              <w:rPr>
                <w:noProof/>
                <w:webHidden/>
              </w:rPr>
              <w:fldChar w:fldCharType="separate"/>
            </w:r>
            <w:r w:rsidR="00CD0647">
              <w:rPr>
                <w:noProof/>
                <w:webHidden/>
              </w:rPr>
              <w:t>8</w:t>
            </w:r>
            <w:r w:rsidR="00CD0647">
              <w:rPr>
                <w:noProof/>
                <w:webHidden/>
              </w:rPr>
              <w:fldChar w:fldCharType="end"/>
            </w:r>
          </w:hyperlink>
        </w:p>
        <w:p w14:paraId="5FD8D082" w14:textId="1DB50A2A" w:rsidR="00CD0647" w:rsidRDefault="004A5DB3">
          <w:pPr>
            <w:pStyle w:val="TM2"/>
            <w:tabs>
              <w:tab w:val="left" w:pos="800"/>
              <w:tab w:val="right" w:leader="dot" w:pos="9060"/>
            </w:tabs>
            <w:rPr>
              <w:rFonts w:eastAsiaTheme="minorEastAsia" w:cstheme="minorBidi"/>
              <w:smallCaps w:val="0"/>
              <w:noProof/>
              <w:sz w:val="22"/>
              <w:szCs w:val="22"/>
              <w:lang w:eastAsia="fr-FR"/>
            </w:rPr>
          </w:pPr>
          <w:hyperlink w:anchor="_Toc90999707" w:history="1">
            <w:r w:rsidR="00CD0647" w:rsidRPr="008C56AB">
              <w:rPr>
                <w:rStyle w:val="Lienhypertexte"/>
                <w:rFonts w:ascii="Tw Cen MT" w:hAnsi="Tw Cen MT"/>
                <w:b/>
                <w:iCs/>
                <w:noProof/>
              </w:rPr>
              <w:t>2.4</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Normes de travail</w:t>
            </w:r>
            <w:r w:rsidR="00CD0647">
              <w:rPr>
                <w:noProof/>
                <w:webHidden/>
              </w:rPr>
              <w:tab/>
            </w:r>
            <w:r w:rsidR="00CD0647">
              <w:rPr>
                <w:noProof/>
                <w:webHidden/>
              </w:rPr>
              <w:fldChar w:fldCharType="begin"/>
            </w:r>
            <w:r w:rsidR="00CD0647">
              <w:rPr>
                <w:noProof/>
                <w:webHidden/>
              </w:rPr>
              <w:instrText xml:space="preserve"> PAGEREF _Toc90999707 \h </w:instrText>
            </w:r>
            <w:r w:rsidR="00CD0647">
              <w:rPr>
                <w:noProof/>
                <w:webHidden/>
              </w:rPr>
            </w:r>
            <w:r w:rsidR="00CD0647">
              <w:rPr>
                <w:noProof/>
                <w:webHidden/>
              </w:rPr>
              <w:fldChar w:fldCharType="separate"/>
            </w:r>
            <w:r w:rsidR="00CD0647">
              <w:rPr>
                <w:noProof/>
                <w:webHidden/>
              </w:rPr>
              <w:t>8</w:t>
            </w:r>
            <w:r w:rsidR="00CD0647">
              <w:rPr>
                <w:noProof/>
                <w:webHidden/>
              </w:rPr>
              <w:fldChar w:fldCharType="end"/>
            </w:r>
          </w:hyperlink>
        </w:p>
        <w:p w14:paraId="1BC3E272" w14:textId="1FA0C836" w:rsidR="00CD0647" w:rsidRDefault="004A5DB3">
          <w:pPr>
            <w:pStyle w:val="TM2"/>
            <w:tabs>
              <w:tab w:val="left" w:pos="800"/>
              <w:tab w:val="right" w:leader="dot" w:pos="9060"/>
            </w:tabs>
            <w:rPr>
              <w:rFonts w:eastAsiaTheme="minorEastAsia" w:cstheme="minorBidi"/>
              <w:smallCaps w:val="0"/>
              <w:noProof/>
              <w:sz w:val="22"/>
              <w:szCs w:val="22"/>
              <w:lang w:eastAsia="fr-FR"/>
            </w:rPr>
          </w:pPr>
          <w:hyperlink w:anchor="_Toc90999708" w:history="1">
            <w:r w:rsidR="00CD0647" w:rsidRPr="008C56AB">
              <w:rPr>
                <w:rStyle w:val="Lienhypertexte"/>
                <w:rFonts w:ascii="Tw Cen MT" w:hAnsi="Tw Cen MT"/>
                <w:b/>
                <w:iCs/>
                <w:noProof/>
              </w:rPr>
              <w:t>2.5</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Limitation à l’analyse des données brutes</w:t>
            </w:r>
            <w:r w:rsidR="00CD0647">
              <w:rPr>
                <w:noProof/>
                <w:webHidden/>
              </w:rPr>
              <w:tab/>
            </w:r>
            <w:r w:rsidR="00CD0647">
              <w:rPr>
                <w:noProof/>
                <w:webHidden/>
              </w:rPr>
              <w:fldChar w:fldCharType="begin"/>
            </w:r>
            <w:r w:rsidR="00CD0647">
              <w:rPr>
                <w:noProof/>
                <w:webHidden/>
              </w:rPr>
              <w:instrText xml:space="preserve"> PAGEREF _Toc90999708 \h </w:instrText>
            </w:r>
            <w:r w:rsidR="00CD0647">
              <w:rPr>
                <w:noProof/>
                <w:webHidden/>
              </w:rPr>
            </w:r>
            <w:r w:rsidR="00CD0647">
              <w:rPr>
                <w:noProof/>
                <w:webHidden/>
              </w:rPr>
              <w:fldChar w:fldCharType="separate"/>
            </w:r>
            <w:r w:rsidR="00CD0647">
              <w:rPr>
                <w:noProof/>
                <w:webHidden/>
              </w:rPr>
              <w:t>9</w:t>
            </w:r>
            <w:r w:rsidR="00CD0647">
              <w:rPr>
                <w:noProof/>
                <w:webHidden/>
              </w:rPr>
              <w:fldChar w:fldCharType="end"/>
            </w:r>
          </w:hyperlink>
        </w:p>
        <w:p w14:paraId="44D2F360" w14:textId="247AEE3C" w:rsidR="00CD0647" w:rsidRDefault="004A5DB3">
          <w:pPr>
            <w:pStyle w:val="TM1"/>
            <w:rPr>
              <w:rFonts w:asciiTheme="minorHAnsi" w:eastAsiaTheme="minorEastAsia" w:hAnsiTheme="minorHAnsi" w:cstheme="minorBidi"/>
              <w:iCs w:val="0"/>
              <w:caps w:val="0"/>
              <w:sz w:val="22"/>
              <w:szCs w:val="22"/>
              <w:lang w:eastAsia="fr-FR"/>
            </w:rPr>
          </w:pPr>
          <w:hyperlink w:anchor="_Toc90999709" w:history="1">
            <w:r w:rsidR="00CD0647" w:rsidRPr="008C56AB">
              <w:rPr>
                <w:rStyle w:val="Lienhypertexte"/>
                <w:b/>
              </w:rPr>
              <w:t>III.</w:t>
            </w:r>
            <w:r w:rsidR="00CD0647">
              <w:rPr>
                <w:rFonts w:asciiTheme="minorHAnsi" w:eastAsiaTheme="minorEastAsia" w:hAnsiTheme="minorHAnsi" w:cstheme="minorBidi"/>
                <w:iCs w:val="0"/>
                <w:caps w:val="0"/>
                <w:sz w:val="22"/>
                <w:szCs w:val="22"/>
                <w:lang w:eastAsia="fr-FR"/>
              </w:rPr>
              <w:tab/>
            </w:r>
            <w:r w:rsidR="00CD0647" w:rsidRPr="008C56AB">
              <w:rPr>
                <w:rStyle w:val="Lienhypertexte"/>
                <w:b/>
              </w:rPr>
              <w:t>MÉTHODOLOGIE ENVISAGÉE</w:t>
            </w:r>
            <w:r w:rsidR="00CD0647">
              <w:rPr>
                <w:webHidden/>
              </w:rPr>
              <w:tab/>
            </w:r>
            <w:r w:rsidR="00CD0647">
              <w:rPr>
                <w:webHidden/>
              </w:rPr>
              <w:fldChar w:fldCharType="begin"/>
            </w:r>
            <w:r w:rsidR="00CD0647">
              <w:rPr>
                <w:webHidden/>
              </w:rPr>
              <w:instrText xml:space="preserve"> PAGEREF _Toc90999709 \h </w:instrText>
            </w:r>
            <w:r w:rsidR="00CD0647">
              <w:rPr>
                <w:webHidden/>
              </w:rPr>
            </w:r>
            <w:r w:rsidR="00CD0647">
              <w:rPr>
                <w:webHidden/>
              </w:rPr>
              <w:fldChar w:fldCharType="separate"/>
            </w:r>
            <w:r w:rsidR="00CD0647">
              <w:rPr>
                <w:webHidden/>
              </w:rPr>
              <w:t>10</w:t>
            </w:r>
            <w:r w:rsidR="00CD0647">
              <w:rPr>
                <w:webHidden/>
              </w:rPr>
              <w:fldChar w:fldCharType="end"/>
            </w:r>
          </w:hyperlink>
        </w:p>
        <w:p w14:paraId="6BCF7A0C" w14:textId="5F0E44C9" w:rsidR="00CD0647" w:rsidRDefault="004A5DB3">
          <w:pPr>
            <w:pStyle w:val="TM2"/>
            <w:tabs>
              <w:tab w:val="left" w:pos="800"/>
              <w:tab w:val="right" w:leader="dot" w:pos="9060"/>
            </w:tabs>
            <w:rPr>
              <w:rFonts w:eastAsiaTheme="minorEastAsia" w:cstheme="minorBidi"/>
              <w:smallCaps w:val="0"/>
              <w:noProof/>
              <w:sz w:val="22"/>
              <w:szCs w:val="22"/>
              <w:lang w:eastAsia="fr-FR"/>
            </w:rPr>
          </w:pPr>
          <w:hyperlink w:anchor="_Toc90999710" w:history="1">
            <w:r w:rsidR="00CD0647" w:rsidRPr="008C56AB">
              <w:rPr>
                <w:rStyle w:val="Lienhypertexte"/>
                <w:rFonts w:ascii="Tw Cen MT" w:hAnsi="Tw Cen MT"/>
                <w:b/>
                <w:iCs/>
                <w:noProof/>
              </w:rPr>
              <w:t>3.1</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Méthodologie de collecte et d’analyse des données</w:t>
            </w:r>
            <w:r w:rsidR="00CD0647">
              <w:rPr>
                <w:noProof/>
                <w:webHidden/>
              </w:rPr>
              <w:tab/>
            </w:r>
            <w:r w:rsidR="00CD0647">
              <w:rPr>
                <w:noProof/>
                <w:webHidden/>
              </w:rPr>
              <w:fldChar w:fldCharType="begin"/>
            </w:r>
            <w:r w:rsidR="00CD0647">
              <w:rPr>
                <w:noProof/>
                <w:webHidden/>
              </w:rPr>
              <w:instrText xml:space="preserve"> PAGEREF _Toc90999710 \h </w:instrText>
            </w:r>
            <w:r w:rsidR="00CD0647">
              <w:rPr>
                <w:noProof/>
                <w:webHidden/>
              </w:rPr>
            </w:r>
            <w:r w:rsidR="00CD0647">
              <w:rPr>
                <w:noProof/>
                <w:webHidden/>
              </w:rPr>
              <w:fldChar w:fldCharType="separate"/>
            </w:r>
            <w:r w:rsidR="00CD0647">
              <w:rPr>
                <w:noProof/>
                <w:webHidden/>
              </w:rPr>
              <w:t>10</w:t>
            </w:r>
            <w:r w:rsidR="00CD0647">
              <w:rPr>
                <w:noProof/>
                <w:webHidden/>
              </w:rPr>
              <w:fldChar w:fldCharType="end"/>
            </w:r>
          </w:hyperlink>
        </w:p>
        <w:p w14:paraId="118A05D7" w14:textId="530ABD76" w:rsidR="00CD0647" w:rsidRDefault="004A5DB3">
          <w:pPr>
            <w:pStyle w:val="TM2"/>
            <w:tabs>
              <w:tab w:val="left" w:pos="1000"/>
              <w:tab w:val="right" w:leader="dot" w:pos="9060"/>
            </w:tabs>
            <w:rPr>
              <w:rFonts w:eastAsiaTheme="minorEastAsia" w:cstheme="minorBidi"/>
              <w:smallCaps w:val="0"/>
              <w:noProof/>
              <w:sz w:val="22"/>
              <w:szCs w:val="22"/>
              <w:lang w:eastAsia="fr-FR"/>
            </w:rPr>
          </w:pPr>
          <w:hyperlink w:anchor="_Toc90999711" w:history="1">
            <w:r w:rsidR="00CD0647" w:rsidRPr="008C56AB">
              <w:rPr>
                <w:rStyle w:val="Lienhypertexte"/>
                <w:rFonts w:ascii="Tw Cen MT" w:hAnsi="Tw Cen MT"/>
                <w:b/>
                <w:iCs/>
                <w:noProof/>
              </w:rPr>
              <w:t>3.1.1</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Collecte des données brutes sur le secteur minier et pétrolier</w:t>
            </w:r>
            <w:r w:rsidR="00CD0647">
              <w:rPr>
                <w:noProof/>
                <w:webHidden/>
              </w:rPr>
              <w:tab/>
            </w:r>
            <w:r w:rsidR="00CD0647">
              <w:rPr>
                <w:noProof/>
                <w:webHidden/>
              </w:rPr>
              <w:fldChar w:fldCharType="begin"/>
            </w:r>
            <w:r w:rsidR="00CD0647">
              <w:rPr>
                <w:noProof/>
                <w:webHidden/>
              </w:rPr>
              <w:instrText xml:space="preserve"> PAGEREF _Toc90999711 \h </w:instrText>
            </w:r>
            <w:r w:rsidR="00CD0647">
              <w:rPr>
                <w:noProof/>
                <w:webHidden/>
              </w:rPr>
            </w:r>
            <w:r w:rsidR="00CD0647">
              <w:rPr>
                <w:noProof/>
                <w:webHidden/>
              </w:rPr>
              <w:fldChar w:fldCharType="separate"/>
            </w:r>
            <w:r w:rsidR="00CD0647">
              <w:rPr>
                <w:noProof/>
                <w:webHidden/>
              </w:rPr>
              <w:t>10</w:t>
            </w:r>
            <w:r w:rsidR="00CD0647">
              <w:rPr>
                <w:noProof/>
                <w:webHidden/>
              </w:rPr>
              <w:fldChar w:fldCharType="end"/>
            </w:r>
          </w:hyperlink>
        </w:p>
        <w:p w14:paraId="770EB6BC" w14:textId="7C6B5DDE" w:rsidR="00CD0647" w:rsidRDefault="004A5DB3">
          <w:pPr>
            <w:pStyle w:val="TM2"/>
            <w:tabs>
              <w:tab w:val="left" w:pos="1000"/>
              <w:tab w:val="right" w:leader="dot" w:pos="9060"/>
            </w:tabs>
            <w:rPr>
              <w:rFonts w:eastAsiaTheme="minorEastAsia" w:cstheme="minorBidi"/>
              <w:smallCaps w:val="0"/>
              <w:noProof/>
              <w:sz w:val="22"/>
              <w:szCs w:val="22"/>
              <w:lang w:eastAsia="fr-FR"/>
            </w:rPr>
          </w:pPr>
          <w:hyperlink w:anchor="_Toc90999712" w:history="1">
            <w:r w:rsidR="00CD0647" w:rsidRPr="008C56AB">
              <w:rPr>
                <w:rStyle w:val="Lienhypertexte"/>
                <w:rFonts w:ascii="Tw Cen MT" w:hAnsi="Tw Cen MT"/>
                <w:b/>
                <w:iCs/>
                <w:noProof/>
              </w:rPr>
              <w:t>3.1.2</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Analyse des données brutes collectées</w:t>
            </w:r>
            <w:r w:rsidR="00CD0647">
              <w:rPr>
                <w:noProof/>
                <w:webHidden/>
              </w:rPr>
              <w:tab/>
            </w:r>
            <w:r w:rsidR="00CD0647">
              <w:rPr>
                <w:noProof/>
                <w:webHidden/>
              </w:rPr>
              <w:fldChar w:fldCharType="begin"/>
            </w:r>
            <w:r w:rsidR="00CD0647">
              <w:rPr>
                <w:noProof/>
                <w:webHidden/>
              </w:rPr>
              <w:instrText xml:space="preserve"> PAGEREF _Toc90999712 \h </w:instrText>
            </w:r>
            <w:r w:rsidR="00CD0647">
              <w:rPr>
                <w:noProof/>
                <w:webHidden/>
              </w:rPr>
            </w:r>
            <w:r w:rsidR="00CD0647">
              <w:rPr>
                <w:noProof/>
                <w:webHidden/>
              </w:rPr>
              <w:fldChar w:fldCharType="separate"/>
            </w:r>
            <w:r w:rsidR="00CD0647">
              <w:rPr>
                <w:noProof/>
                <w:webHidden/>
              </w:rPr>
              <w:t>11</w:t>
            </w:r>
            <w:r w:rsidR="00CD0647">
              <w:rPr>
                <w:noProof/>
                <w:webHidden/>
              </w:rPr>
              <w:fldChar w:fldCharType="end"/>
            </w:r>
          </w:hyperlink>
        </w:p>
        <w:p w14:paraId="0A853BE4" w14:textId="1273CF32" w:rsidR="00CD0647" w:rsidRDefault="004A5DB3">
          <w:pPr>
            <w:pStyle w:val="TM2"/>
            <w:tabs>
              <w:tab w:val="left" w:pos="800"/>
              <w:tab w:val="right" w:leader="dot" w:pos="9060"/>
            </w:tabs>
            <w:rPr>
              <w:rFonts w:eastAsiaTheme="minorEastAsia" w:cstheme="minorBidi"/>
              <w:smallCaps w:val="0"/>
              <w:noProof/>
              <w:sz w:val="22"/>
              <w:szCs w:val="22"/>
              <w:lang w:eastAsia="fr-FR"/>
            </w:rPr>
          </w:pPr>
          <w:hyperlink w:anchor="_Toc90999713" w:history="1">
            <w:r w:rsidR="00CD0647" w:rsidRPr="008C56AB">
              <w:rPr>
                <w:rStyle w:val="Lienhypertexte"/>
                <w:rFonts w:ascii="Tw Cen MT" w:hAnsi="Tw Cen MT"/>
                <w:b/>
                <w:iCs/>
                <w:noProof/>
              </w:rPr>
              <w:t>3.2</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Description des informations contextuelles du secteur extractif</w:t>
            </w:r>
            <w:r w:rsidR="00CD0647">
              <w:rPr>
                <w:noProof/>
                <w:webHidden/>
              </w:rPr>
              <w:tab/>
            </w:r>
            <w:r w:rsidR="00CD0647">
              <w:rPr>
                <w:noProof/>
                <w:webHidden/>
              </w:rPr>
              <w:fldChar w:fldCharType="begin"/>
            </w:r>
            <w:r w:rsidR="00CD0647">
              <w:rPr>
                <w:noProof/>
                <w:webHidden/>
              </w:rPr>
              <w:instrText xml:space="preserve"> PAGEREF _Toc90999713 \h </w:instrText>
            </w:r>
            <w:r w:rsidR="00CD0647">
              <w:rPr>
                <w:noProof/>
                <w:webHidden/>
              </w:rPr>
            </w:r>
            <w:r w:rsidR="00CD0647">
              <w:rPr>
                <w:noProof/>
                <w:webHidden/>
              </w:rPr>
              <w:fldChar w:fldCharType="separate"/>
            </w:r>
            <w:r w:rsidR="00CD0647">
              <w:rPr>
                <w:noProof/>
                <w:webHidden/>
              </w:rPr>
              <w:t>11</w:t>
            </w:r>
            <w:r w:rsidR="00CD0647">
              <w:rPr>
                <w:noProof/>
                <w:webHidden/>
              </w:rPr>
              <w:fldChar w:fldCharType="end"/>
            </w:r>
          </w:hyperlink>
        </w:p>
        <w:p w14:paraId="34575B64" w14:textId="6D8074FD" w:rsidR="00CD0647" w:rsidRDefault="004A5DB3">
          <w:pPr>
            <w:pStyle w:val="TM2"/>
            <w:tabs>
              <w:tab w:val="left" w:pos="800"/>
              <w:tab w:val="right" w:leader="dot" w:pos="9060"/>
            </w:tabs>
            <w:rPr>
              <w:rFonts w:eastAsiaTheme="minorEastAsia" w:cstheme="minorBidi"/>
              <w:smallCaps w:val="0"/>
              <w:noProof/>
              <w:sz w:val="22"/>
              <w:szCs w:val="22"/>
              <w:lang w:eastAsia="fr-FR"/>
            </w:rPr>
          </w:pPr>
          <w:hyperlink w:anchor="_Toc90999714" w:history="1">
            <w:r w:rsidR="00CD0647" w:rsidRPr="008C56AB">
              <w:rPr>
                <w:rStyle w:val="Lienhypertexte"/>
                <w:rFonts w:ascii="Tw Cen MT" w:hAnsi="Tw Cen MT"/>
                <w:b/>
                <w:iCs/>
                <w:noProof/>
              </w:rPr>
              <w:t>3.3</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Méthodologie de définition du périmètre de conciliation</w:t>
            </w:r>
            <w:r w:rsidR="00CD0647">
              <w:rPr>
                <w:noProof/>
                <w:webHidden/>
              </w:rPr>
              <w:tab/>
            </w:r>
            <w:r w:rsidR="00CD0647">
              <w:rPr>
                <w:noProof/>
                <w:webHidden/>
              </w:rPr>
              <w:fldChar w:fldCharType="begin"/>
            </w:r>
            <w:r w:rsidR="00CD0647">
              <w:rPr>
                <w:noProof/>
                <w:webHidden/>
              </w:rPr>
              <w:instrText xml:space="preserve"> PAGEREF _Toc90999714 \h </w:instrText>
            </w:r>
            <w:r w:rsidR="00CD0647">
              <w:rPr>
                <w:noProof/>
                <w:webHidden/>
              </w:rPr>
            </w:r>
            <w:r w:rsidR="00CD0647">
              <w:rPr>
                <w:noProof/>
                <w:webHidden/>
              </w:rPr>
              <w:fldChar w:fldCharType="separate"/>
            </w:r>
            <w:r w:rsidR="00CD0647">
              <w:rPr>
                <w:noProof/>
                <w:webHidden/>
              </w:rPr>
              <w:t>12</w:t>
            </w:r>
            <w:r w:rsidR="00CD0647">
              <w:rPr>
                <w:noProof/>
                <w:webHidden/>
              </w:rPr>
              <w:fldChar w:fldCharType="end"/>
            </w:r>
          </w:hyperlink>
        </w:p>
        <w:p w14:paraId="1659E2B3" w14:textId="63B6A2FB" w:rsidR="00CD0647" w:rsidRDefault="004A5DB3">
          <w:pPr>
            <w:pStyle w:val="TM2"/>
            <w:tabs>
              <w:tab w:val="left" w:pos="1000"/>
              <w:tab w:val="right" w:leader="dot" w:pos="9060"/>
            </w:tabs>
            <w:rPr>
              <w:rFonts w:eastAsiaTheme="minorEastAsia" w:cstheme="minorBidi"/>
              <w:smallCaps w:val="0"/>
              <w:noProof/>
              <w:sz w:val="22"/>
              <w:szCs w:val="22"/>
              <w:lang w:eastAsia="fr-FR"/>
            </w:rPr>
          </w:pPr>
          <w:hyperlink w:anchor="_Toc90999715" w:history="1">
            <w:r w:rsidR="00CD0647" w:rsidRPr="008C56AB">
              <w:rPr>
                <w:rStyle w:val="Lienhypertexte"/>
                <w:rFonts w:ascii="Tw Cen MT" w:hAnsi="Tw Cen MT"/>
                <w:b/>
                <w:iCs/>
                <w:noProof/>
              </w:rPr>
              <w:t>3.3.1</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Taux de couverture</w:t>
            </w:r>
            <w:r w:rsidR="00CD0647">
              <w:rPr>
                <w:noProof/>
                <w:webHidden/>
              </w:rPr>
              <w:tab/>
            </w:r>
            <w:r w:rsidR="00CD0647">
              <w:rPr>
                <w:noProof/>
                <w:webHidden/>
              </w:rPr>
              <w:fldChar w:fldCharType="begin"/>
            </w:r>
            <w:r w:rsidR="00CD0647">
              <w:rPr>
                <w:noProof/>
                <w:webHidden/>
              </w:rPr>
              <w:instrText xml:space="preserve"> PAGEREF _Toc90999715 \h </w:instrText>
            </w:r>
            <w:r w:rsidR="00CD0647">
              <w:rPr>
                <w:noProof/>
                <w:webHidden/>
              </w:rPr>
            </w:r>
            <w:r w:rsidR="00CD0647">
              <w:rPr>
                <w:noProof/>
                <w:webHidden/>
              </w:rPr>
              <w:fldChar w:fldCharType="separate"/>
            </w:r>
            <w:r w:rsidR="00CD0647">
              <w:rPr>
                <w:noProof/>
                <w:webHidden/>
              </w:rPr>
              <w:t>12</w:t>
            </w:r>
            <w:r w:rsidR="00CD0647">
              <w:rPr>
                <w:noProof/>
                <w:webHidden/>
              </w:rPr>
              <w:fldChar w:fldCharType="end"/>
            </w:r>
          </w:hyperlink>
        </w:p>
        <w:p w14:paraId="115A9890" w14:textId="3B893192" w:rsidR="00CD0647" w:rsidRDefault="004A5DB3">
          <w:pPr>
            <w:pStyle w:val="TM2"/>
            <w:tabs>
              <w:tab w:val="left" w:pos="1000"/>
              <w:tab w:val="right" w:leader="dot" w:pos="9060"/>
            </w:tabs>
            <w:rPr>
              <w:rFonts w:eastAsiaTheme="minorEastAsia" w:cstheme="minorBidi"/>
              <w:smallCaps w:val="0"/>
              <w:noProof/>
              <w:sz w:val="22"/>
              <w:szCs w:val="22"/>
              <w:lang w:eastAsia="fr-FR"/>
            </w:rPr>
          </w:pPr>
          <w:hyperlink w:anchor="_Toc90999716" w:history="1">
            <w:r w:rsidR="00CD0647" w:rsidRPr="008C56AB">
              <w:rPr>
                <w:rStyle w:val="Lienhypertexte"/>
                <w:rFonts w:ascii="Tw Cen MT" w:hAnsi="Tw Cen MT"/>
                <w:b/>
                <w:iCs/>
                <w:noProof/>
              </w:rPr>
              <w:t>3.3.2</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Flux de paiement</w:t>
            </w:r>
            <w:r w:rsidR="00CD0647">
              <w:rPr>
                <w:noProof/>
                <w:webHidden/>
              </w:rPr>
              <w:tab/>
            </w:r>
            <w:r w:rsidR="00CD0647">
              <w:rPr>
                <w:noProof/>
                <w:webHidden/>
              </w:rPr>
              <w:fldChar w:fldCharType="begin"/>
            </w:r>
            <w:r w:rsidR="00CD0647">
              <w:rPr>
                <w:noProof/>
                <w:webHidden/>
              </w:rPr>
              <w:instrText xml:space="preserve"> PAGEREF _Toc90999716 \h </w:instrText>
            </w:r>
            <w:r w:rsidR="00CD0647">
              <w:rPr>
                <w:noProof/>
                <w:webHidden/>
              </w:rPr>
            </w:r>
            <w:r w:rsidR="00CD0647">
              <w:rPr>
                <w:noProof/>
                <w:webHidden/>
              </w:rPr>
              <w:fldChar w:fldCharType="separate"/>
            </w:r>
            <w:r w:rsidR="00CD0647">
              <w:rPr>
                <w:noProof/>
                <w:webHidden/>
              </w:rPr>
              <w:t>12</w:t>
            </w:r>
            <w:r w:rsidR="00CD0647">
              <w:rPr>
                <w:noProof/>
                <w:webHidden/>
              </w:rPr>
              <w:fldChar w:fldCharType="end"/>
            </w:r>
          </w:hyperlink>
        </w:p>
        <w:p w14:paraId="5B9B943E" w14:textId="28D72160" w:rsidR="00CD0647" w:rsidRDefault="004A5DB3">
          <w:pPr>
            <w:pStyle w:val="TM2"/>
            <w:tabs>
              <w:tab w:val="left" w:pos="1000"/>
              <w:tab w:val="right" w:leader="dot" w:pos="9060"/>
            </w:tabs>
            <w:rPr>
              <w:rFonts w:eastAsiaTheme="minorEastAsia" w:cstheme="minorBidi"/>
              <w:smallCaps w:val="0"/>
              <w:noProof/>
              <w:sz w:val="22"/>
              <w:szCs w:val="22"/>
              <w:lang w:eastAsia="fr-FR"/>
            </w:rPr>
          </w:pPr>
          <w:hyperlink w:anchor="_Toc90999717" w:history="1">
            <w:r w:rsidR="00CD0647" w:rsidRPr="008C56AB">
              <w:rPr>
                <w:rStyle w:val="Lienhypertexte"/>
                <w:rFonts w:ascii="Tw Cen MT" w:hAnsi="Tw Cen MT"/>
                <w:b/>
                <w:iCs/>
                <w:noProof/>
              </w:rPr>
              <w:t>3.3.3</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Entreprises extractives</w:t>
            </w:r>
            <w:r w:rsidR="00CD0647">
              <w:rPr>
                <w:noProof/>
                <w:webHidden/>
              </w:rPr>
              <w:tab/>
            </w:r>
            <w:r w:rsidR="00CD0647">
              <w:rPr>
                <w:noProof/>
                <w:webHidden/>
              </w:rPr>
              <w:fldChar w:fldCharType="begin"/>
            </w:r>
            <w:r w:rsidR="00CD0647">
              <w:rPr>
                <w:noProof/>
                <w:webHidden/>
              </w:rPr>
              <w:instrText xml:space="preserve"> PAGEREF _Toc90999717 \h </w:instrText>
            </w:r>
            <w:r w:rsidR="00CD0647">
              <w:rPr>
                <w:noProof/>
                <w:webHidden/>
              </w:rPr>
            </w:r>
            <w:r w:rsidR="00CD0647">
              <w:rPr>
                <w:noProof/>
                <w:webHidden/>
              </w:rPr>
              <w:fldChar w:fldCharType="separate"/>
            </w:r>
            <w:r w:rsidR="00CD0647">
              <w:rPr>
                <w:noProof/>
                <w:webHidden/>
              </w:rPr>
              <w:t>12</w:t>
            </w:r>
            <w:r w:rsidR="00CD0647">
              <w:rPr>
                <w:noProof/>
                <w:webHidden/>
              </w:rPr>
              <w:fldChar w:fldCharType="end"/>
            </w:r>
          </w:hyperlink>
        </w:p>
        <w:p w14:paraId="6BEC120C" w14:textId="200CC84D" w:rsidR="00CD0647" w:rsidRDefault="004A5DB3">
          <w:pPr>
            <w:pStyle w:val="TM2"/>
            <w:tabs>
              <w:tab w:val="left" w:pos="1000"/>
              <w:tab w:val="right" w:leader="dot" w:pos="9060"/>
            </w:tabs>
            <w:rPr>
              <w:rFonts w:eastAsiaTheme="minorEastAsia" w:cstheme="minorBidi"/>
              <w:smallCaps w:val="0"/>
              <w:noProof/>
              <w:sz w:val="22"/>
              <w:szCs w:val="22"/>
              <w:lang w:eastAsia="fr-FR"/>
            </w:rPr>
          </w:pPr>
          <w:hyperlink w:anchor="_Toc90999720" w:history="1">
            <w:r w:rsidR="00CD0647" w:rsidRPr="008C56AB">
              <w:rPr>
                <w:rStyle w:val="Lienhypertexte"/>
                <w:rFonts w:ascii="Tw Cen MT" w:hAnsi="Tw Cen MT"/>
                <w:b/>
                <w:iCs/>
                <w:noProof/>
              </w:rPr>
              <w:t>3.3.4</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Organismes collecteurs de l’État</w:t>
            </w:r>
            <w:r w:rsidR="00CD0647">
              <w:rPr>
                <w:noProof/>
                <w:webHidden/>
              </w:rPr>
              <w:tab/>
            </w:r>
            <w:r w:rsidR="00CD0647">
              <w:rPr>
                <w:noProof/>
                <w:webHidden/>
              </w:rPr>
              <w:fldChar w:fldCharType="begin"/>
            </w:r>
            <w:r w:rsidR="00CD0647">
              <w:rPr>
                <w:noProof/>
                <w:webHidden/>
              </w:rPr>
              <w:instrText xml:space="preserve"> PAGEREF _Toc90999720 \h </w:instrText>
            </w:r>
            <w:r w:rsidR="00CD0647">
              <w:rPr>
                <w:noProof/>
                <w:webHidden/>
              </w:rPr>
            </w:r>
            <w:r w:rsidR="00CD0647">
              <w:rPr>
                <w:noProof/>
                <w:webHidden/>
              </w:rPr>
              <w:fldChar w:fldCharType="separate"/>
            </w:r>
            <w:r w:rsidR="00CD0647">
              <w:rPr>
                <w:noProof/>
                <w:webHidden/>
              </w:rPr>
              <w:t>13</w:t>
            </w:r>
            <w:r w:rsidR="00CD0647">
              <w:rPr>
                <w:noProof/>
                <w:webHidden/>
              </w:rPr>
              <w:fldChar w:fldCharType="end"/>
            </w:r>
          </w:hyperlink>
        </w:p>
        <w:p w14:paraId="5A7D542A" w14:textId="47E5CBE5" w:rsidR="00CD0647" w:rsidRDefault="004A5DB3">
          <w:pPr>
            <w:pStyle w:val="TM2"/>
            <w:tabs>
              <w:tab w:val="left" w:pos="800"/>
              <w:tab w:val="right" w:leader="dot" w:pos="9060"/>
            </w:tabs>
            <w:rPr>
              <w:rFonts w:eastAsiaTheme="minorEastAsia" w:cstheme="minorBidi"/>
              <w:smallCaps w:val="0"/>
              <w:noProof/>
              <w:sz w:val="22"/>
              <w:szCs w:val="22"/>
              <w:lang w:eastAsia="fr-FR"/>
            </w:rPr>
          </w:pPr>
          <w:hyperlink w:anchor="_Toc90999721" w:history="1">
            <w:r w:rsidR="00CD0647" w:rsidRPr="008C56AB">
              <w:rPr>
                <w:rStyle w:val="Lienhypertexte"/>
                <w:rFonts w:ascii="Tw Cen MT" w:hAnsi="Tw Cen MT"/>
                <w:b/>
                <w:iCs/>
                <w:noProof/>
              </w:rPr>
              <w:t>3.4</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Proposition de périmètre</w:t>
            </w:r>
            <w:r w:rsidR="00CD0647">
              <w:rPr>
                <w:noProof/>
                <w:webHidden/>
              </w:rPr>
              <w:tab/>
            </w:r>
            <w:r w:rsidR="00CD0647">
              <w:rPr>
                <w:noProof/>
                <w:webHidden/>
              </w:rPr>
              <w:fldChar w:fldCharType="begin"/>
            </w:r>
            <w:r w:rsidR="00CD0647">
              <w:rPr>
                <w:noProof/>
                <w:webHidden/>
              </w:rPr>
              <w:instrText xml:space="preserve"> PAGEREF _Toc90999721 \h </w:instrText>
            </w:r>
            <w:r w:rsidR="00CD0647">
              <w:rPr>
                <w:noProof/>
                <w:webHidden/>
              </w:rPr>
            </w:r>
            <w:r w:rsidR="00CD0647">
              <w:rPr>
                <w:noProof/>
                <w:webHidden/>
              </w:rPr>
              <w:fldChar w:fldCharType="separate"/>
            </w:r>
            <w:r w:rsidR="00CD0647">
              <w:rPr>
                <w:noProof/>
                <w:webHidden/>
              </w:rPr>
              <w:t>13</w:t>
            </w:r>
            <w:r w:rsidR="00CD0647">
              <w:rPr>
                <w:noProof/>
                <w:webHidden/>
              </w:rPr>
              <w:fldChar w:fldCharType="end"/>
            </w:r>
          </w:hyperlink>
        </w:p>
        <w:p w14:paraId="1512A833" w14:textId="70FE522E" w:rsidR="00CD0647" w:rsidRDefault="004A5DB3">
          <w:pPr>
            <w:pStyle w:val="TM2"/>
            <w:tabs>
              <w:tab w:val="left" w:pos="1000"/>
              <w:tab w:val="right" w:leader="dot" w:pos="9060"/>
            </w:tabs>
            <w:rPr>
              <w:rFonts w:eastAsiaTheme="minorEastAsia" w:cstheme="minorBidi"/>
              <w:smallCaps w:val="0"/>
              <w:noProof/>
              <w:sz w:val="22"/>
              <w:szCs w:val="22"/>
              <w:lang w:eastAsia="fr-FR"/>
            </w:rPr>
          </w:pPr>
          <w:hyperlink w:anchor="_Toc90999722" w:history="1">
            <w:r w:rsidR="00CD0647" w:rsidRPr="008C56AB">
              <w:rPr>
                <w:rStyle w:val="Lienhypertexte"/>
                <w:rFonts w:ascii="Tw Cen MT" w:hAnsi="Tw Cen MT"/>
                <w:b/>
                <w:iCs/>
                <w:noProof/>
              </w:rPr>
              <w:t>3.4.1</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Périmètre des flux</w:t>
            </w:r>
            <w:r w:rsidR="00CD0647">
              <w:rPr>
                <w:noProof/>
                <w:webHidden/>
              </w:rPr>
              <w:tab/>
            </w:r>
            <w:r w:rsidR="00CD0647">
              <w:rPr>
                <w:noProof/>
                <w:webHidden/>
              </w:rPr>
              <w:fldChar w:fldCharType="begin"/>
            </w:r>
            <w:r w:rsidR="00CD0647">
              <w:rPr>
                <w:noProof/>
                <w:webHidden/>
              </w:rPr>
              <w:instrText xml:space="preserve"> PAGEREF _Toc90999722 \h </w:instrText>
            </w:r>
            <w:r w:rsidR="00CD0647">
              <w:rPr>
                <w:noProof/>
                <w:webHidden/>
              </w:rPr>
            </w:r>
            <w:r w:rsidR="00CD0647">
              <w:rPr>
                <w:noProof/>
                <w:webHidden/>
              </w:rPr>
              <w:fldChar w:fldCharType="separate"/>
            </w:r>
            <w:r w:rsidR="00CD0647">
              <w:rPr>
                <w:noProof/>
                <w:webHidden/>
              </w:rPr>
              <w:t>13</w:t>
            </w:r>
            <w:r w:rsidR="00CD0647">
              <w:rPr>
                <w:noProof/>
                <w:webHidden/>
              </w:rPr>
              <w:fldChar w:fldCharType="end"/>
            </w:r>
          </w:hyperlink>
        </w:p>
        <w:p w14:paraId="07CB774F" w14:textId="27735EDE" w:rsidR="00CD0647" w:rsidRDefault="004A5DB3">
          <w:pPr>
            <w:pStyle w:val="TM2"/>
            <w:tabs>
              <w:tab w:val="left" w:pos="1000"/>
              <w:tab w:val="right" w:leader="dot" w:pos="9060"/>
            </w:tabs>
            <w:rPr>
              <w:rFonts w:eastAsiaTheme="minorEastAsia" w:cstheme="minorBidi"/>
              <w:smallCaps w:val="0"/>
              <w:noProof/>
              <w:sz w:val="22"/>
              <w:szCs w:val="22"/>
              <w:lang w:eastAsia="fr-FR"/>
            </w:rPr>
          </w:pPr>
          <w:hyperlink w:anchor="_Toc90999723" w:history="1">
            <w:r w:rsidR="00CD0647" w:rsidRPr="008C56AB">
              <w:rPr>
                <w:rStyle w:val="Lienhypertexte"/>
                <w:rFonts w:ascii="Tw Cen MT" w:hAnsi="Tw Cen MT"/>
                <w:b/>
                <w:iCs/>
                <w:noProof/>
              </w:rPr>
              <w:t>3.4.2</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Périmètre des organismes collecteurs et des collectivités territoriales</w:t>
            </w:r>
            <w:r w:rsidR="00CD0647">
              <w:rPr>
                <w:noProof/>
                <w:webHidden/>
              </w:rPr>
              <w:tab/>
            </w:r>
            <w:r w:rsidR="00CD0647">
              <w:rPr>
                <w:noProof/>
                <w:webHidden/>
              </w:rPr>
              <w:fldChar w:fldCharType="begin"/>
            </w:r>
            <w:r w:rsidR="00CD0647">
              <w:rPr>
                <w:noProof/>
                <w:webHidden/>
              </w:rPr>
              <w:instrText xml:space="preserve"> PAGEREF _Toc90999723 \h </w:instrText>
            </w:r>
            <w:r w:rsidR="00CD0647">
              <w:rPr>
                <w:noProof/>
                <w:webHidden/>
              </w:rPr>
            </w:r>
            <w:r w:rsidR="00CD0647">
              <w:rPr>
                <w:noProof/>
                <w:webHidden/>
              </w:rPr>
              <w:fldChar w:fldCharType="separate"/>
            </w:r>
            <w:r w:rsidR="00CD0647">
              <w:rPr>
                <w:noProof/>
                <w:webHidden/>
              </w:rPr>
              <w:t>14</w:t>
            </w:r>
            <w:r w:rsidR="00CD0647">
              <w:rPr>
                <w:noProof/>
                <w:webHidden/>
              </w:rPr>
              <w:fldChar w:fldCharType="end"/>
            </w:r>
          </w:hyperlink>
        </w:p>
        <w:p w14:paraId="23ACCFD1" w14:textId="0B3B8F4D" w:rsidR="00CD0647" w:rsidRDefault="004A5DB3">
          <w:pPr>
            <w:pStyle w:val="TM2"/>
            <w:tabs>
              <w:tab w:val="left" w:pos="1000"/>
              <w:tab w:val="right" w:leader="dot" w:pos="9060"/>
            </w:tabs>
            <w:rPr>
              <w:rFonts w:eastAsiaTheme="minorEastAsia" w:cstheme="minorBidi"/>
              <w:smallCaps w:val="0"/>
              <w:noProof/>
              <w:sz w:val="22"/>
              <w:szCs w:val="22"/>
              <w:lang w:eastAsia="fr-FR"/>
            </w:rPr>
          </w:pPr>
          <w:hyperlink w:anchor="_Toc90999724" w:history="1">
            <w:r w:rsidR="00CD0647" w:rsidRPr="008C56AB">
              <w:rPr>
                <w:rStyle w:val="Lienhypertexte"/>
                <w:rFonts w:ascii="Tw Cen MT" w:hAnsi="Tw Cen MT"/>
                <w:b/>
                <w:iCs/>
                <w:noProof/>
              </w:rPr>
              <w:t>3.4.3</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Hypothèses de définition du périmètre de conciliation</w:t>
            </w:r>
            <w:r w:rsidR="00CD0647">
              <w:rPr>
                <w:noProof/>
                <w:webHidden/>
              </w:rPr>
              <w:tab/>
            </w:r>
            <w:r w:rsidR="00CD0647">
              <w:rPr>
                <w:noProof/>
                <w:webHidden/>
              </w:rPr>
              <w:fldChar w:fldCharType="begin"/>
            </w:r>
            <w:r w:rsidR="00CD0647">
              <w:rPr>
                <w:noProof/>
                <w:webHidden/>
              </w:rPr>
              <w:instrText xml:space="preserve"> PAGEREF _Toc90999724 \h </w:instrText>
            </w:r>
            <w:r w:rsidR="00CD0647">
              <w:rPr>
                <w:noProof/>
                <w:webHidden/>
              </w:rPr>
            </w:r>
            <w:r w:rsidR="00CD0647">
              <w:rPr>
                <w:noProof/>
                <w:webHidden/>
              </w:rPr>
              <w:fldChar w:fldCharType="separate"/>
            </w:r>
            <w:r w:rsidR="00CD0647">
              <w:rPr>
                <w:noProof/>
                <w:webHidden/>
              </w:rPr>
              <w:t>15</w:t>
            </w:r>
            <w:r w:rsidR="00CD0647">
              <w:rPr>
                <w:noProof/>
                <w:webHidden/>
              </w:rPr>
              <w:fldChar w:fldCharType="end"/>
            </w:r>
          </w:hyperlink>
        </w:p>
        <w:p w14:paraId="7703BA45" w14:textId="1F6EF0F3" w:rsidR="00CD0647" w:rsidRDefault="004A5DB3">
          <w:pPr>
            <w:pStyle w:val="TM2"/>
            <w:tabs>
              <w:tab w:val="left" w:pos="1000"/>
              <w:tab w:val="right" w:leader="dot" w:pos="9060"/>
            </w:tabs>
            <w:rPr>
              <w:rFonts w:eastAsiaTheme="minorEastAsia" w:cstheme="minorBidi"/>
              <w:smallCaps w:val="0"/>
              <w:noProof/>
              <w:sz w:val="22"/>
              <w:szCs w:val="22"/>
              <w:lang w:eastAsia="fr-FR"/>
            </w:rPr>
          </w:pPr>
          <w:hyperlink w:anchor="_Toc90999727" w:history="1">
            <w:r w:rsidR="00CD0647" w:rsidRPr="008C56AB">
              <w:rPr>
                <w:rStyle w:val="Lienhypertexte"/>
                <w:rFonts w:ascii="Tw Cen MT" w:hAnsi="Tw Cen MT"/>
                <w:b/>
                <w:iCs/>
                <w:noProof/>
              </w:rPr>
              <w:t>3.4.4</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Périmètre de conciliation 2019</w:t>
            </w:r>
            <w:r w:rsidR="00CD0647">
              <w:rPr>
                <w:noProof/>
                <w:webHidden/>
              </w:rPr>
              <w:tab/>
            </w:r>
            <w:r w:rsidR="00CD0647">
              <w:rPr>
                <w:noProof/>
                <w:webHidden/>
              </w:rPr>
              <w:fldChar w:fldCharType="begin"/>
            </w:r>
            <w:r w:rsidR="00CD0647">
              <w:rPr>
                <w:noProof/>
                <w:webHidden/>
              </w:rPr>
              <w:instrText xml:space="preserve"> PAGEREF _Toc90999727 \h </w:instrText>
            </w:r>
            <w:r w:rsidR="00CD0647">
              <w:rPr>
                <w:noProof/>
                <w:webHidden/>
              </w:rPr>
            </w:r>
            <w:r w:rsidR="00CD0647">
              <w:rPr>
                <w:noProof/>
                <w:webHidden/>
              </w:rPr>
              <w:fldChar w:fldCharType="separate"/>
            </w:r>
            <w:r w:rsidR="00CD0647">
              <w:rPr>
                <w:noProof/>
                <w:webHidden/>
              </w:rPr>
              <w:t>18</w:t>
            </w:r>
            <w:r w:rsidR="00CD0647">
              <w:rPr>
                <w:noProof/>
                <w:webHidden/>
              </w:rPr>
              <w:fldChar w:fldCharType="end"/>
            </w:r>
          </w:hyperlink>
        </w:p>
        <w:p w14:paraId="650DD9D5" w14:textId="19C9A597" w:rsidR="00CD0647" w:rsidRDefault="004A5DB3">
          <w:pPr>
            <w:pStyle w:val="TM2"/>
            <w:tabs>
              <w:tab w:val="left" w:pos="1000"/>
              <w:tab w:val="right" w:leader="dot" w:pos="9060"/>
            </w:tabs>
            <w:rPr>
              <w:rFonts w:eastAsiaTheme="minorEastAsia" w:cstheme="minorBidi"/>
              <w:smallCaps w:val="0"/>
              <w:noProof/>
              <w:sz w:val="22"/>
              <w:szCs w:val="22"/>
              <w:lang w:eastAsia="fr-FR"/>
            </w:rPr>
          </w:pPr>
          <w:hyperlink w:anchor="_Toc90999728" w:history="1">
            <w:r w:rsidR="00CD0647" w:rsidRPr="008C56AB">
              <w:rPr>
                <w:rStyle w:val="Lienhypertexte"/>
                <w:rFonts w:ascii="Tw Cen MT" w:hAnsi="Tw Cen MT"/>
                <w:b/>
                <w:iCs/>
                <w:noProof/>
              </w:rPr>
              <w:t>3.4.5</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Details des paiements des sociétés du périmètre de conciliation 2019</w:t>
            </w:r>
            <w:r w:rsidR="00CD0647">
              <w:rPr>
                <w:noProof/>
                <w:webHidden/>
              </w:rPr>
              <w:tab/>
            </w:r>
            <w:r w:rsidR="00CD0647">
              <w:rPr>
                <w:noProof/>
                <w:webHidden/>
              </w:rPr>
              <w:fldChar w:fldCharType="begin"/>
            </w:r>
            <w:r w:rsidR="00CD0647">
              <w:rPr>
                <w:noProof/>
                <w:webHidden/>
              </w:rPr>
              <w:instrText xml:space="preserve"> PAGEREF _Toc90999728 \h </w:instrText>
            </w:r>
            <w:r w:rsidR="00CD0647">
              <w:rPr>
                <w:noProof/>
                <w:webHidden/>
              </w:rPr>
            </w:r>
            <w:r w:rsidR="00CD0647">
              <w:rPr>
                <w:noProof/>
                <w:webHidden/>
              </w:rPr>
              <w:fldChar w:fldCharType="separate"/>
            </w:r>
            <w:r w:rsidR="00CD0647">
              <w:rPr>
                <w:noProof/>
                <w:webHidden/>
              </w:rPr>
              <w:t>19</w:t>
            </w:r>
            <w:r w:rsidR="00CD0647">
              <w:rPr>
                <w:noProof/>
                <w:webHidden/>
              </w:rPr>
              <w:fldChar w:fldCharType="end"/>
            </w:r>
          </w:hyperlink>
        </w:p>
        <w:p w14:paraId="5F6AA874" w14:textId="50A96E20" w:rsidR="00CD0647" w:rsidRDefault="004A5DB3">
          <w:pPr>
            <w:pStyle w:val="TM2"/>
            <w:tabs>
              <w:tab w:val="left" w:pos="1000"/>
              <w:tab w:val="right" w:leader="dot" w:pos="9060"/>
            </w:tabs>
            <w:rPr>
              <w:rFonts w:eastAsiaTheme="minorEastAsia" w:cstheme="minorBidi"/>
              <w:smallCaps w:val="0"/>
              <w:noProof/>
              <w:sz w:val="22"/>
              <w:szCs w:val="22"/>
              <w:lang w:eastAsia="fr-FR"/>
            </w:rPr>
          </w:pPr>
          <w:hyperlink w:anchor="_Toc90999729" w:history="1">
            <w:r w:rsidR="00CD0647" w:rsidRPr="008C56AB">
              <w:rPr>
                <w:rStyle w:val="Lienhypertexte"/>
                <w:rFonts w:ascii="Tw Cen MT" w:hAnsi="Tw Cen MT"/>
                <w:b/>
                <w:iCs/>
                <w:noProof/>
              </w:rPr>
              <w:t>3.4.6</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Erreurs tolérables</w:t>
            </w:r>
            <w:r w:rsidR="00CD0647">
              <w:rPr>
                <w:noProof/>
                <w:webHidden/>
              </w:rPr>
              <w:tab/>
            </w:r>
            <w:r w:rsidR="00CD0647">
              <w:rPr>
                <w:noProof/>
                <w:webHidden/>
              </w:rPr>
              <w:fldChar w:fldCharType="begin"/>
            </w:r>
            <w:r w:rsidR="00CD0647">
              <w:rPr>
                <w:noProof/>
                <w:webHidden/>
              </w:rPr>
              <w:instrText xml:space="preserve"> PAGEREF _Toc90999729 \h </w:instrText>
            </w:r>
            <w:r w:rsidR="00CD0647">
              <w:rPr>
                <w:noProof/>
                <w:webHidden/>
              </w:rPr>
            </w:r>
            <w:r w:rsidR="00CD0647">
              <w:rPr>
                <w:noProof/>
                <w:webHidden/>
              </w:rPr>
              <w:fldChar w:fldCharType="separate"/>
            </w:r>
            <w:r w:rsidR="00CD0647">
              <w:rPr>
                <w:noProof/>
                <w:webHidden/>
              </w:rPr>
              <w:t>20</w:t>
            </w:r>
            <w:r w:rsidR="00CD0647">
              <w:rPr>
                <w:noProof/>
                <w:webHidden/>
              </w:rPr>
              <w:fldChar w:fldCharType="end"/>
            </w:r>
          </w:hyperlink>
        </w:p>
        <w:p w14:paraId="19CD4F72" w14:textId="5D64ADEC" w:rsidR="00CD0647" w:rsidRDefault="004A5DB3">
          <w:pPr>
            <w:pStyle w:val="TM2"/>
            <w:tabs>
              <w:tab w:val="left" w:pos="1000"/>
              <w:tab w:val="right" w:leader="dot" w:pos="9060"/>
            </w:tabs>
            <w:rPr>
              <w:rFonts w:eastAsiaTheme="minorEastAsia" w:cstheme="minorBidi"/>
              <w:smallCaps w:val="0"/>
              <w:noProof/>
              <w:sz w:val="22"/>
              <w:szCs w:val="22"/>
              <w:lang w:eastAsia="fr-FR"/>
            </w:rPr>
          </w:pPr>
          <w:hyperlink w:anchor="_Toc90999730" w:history="1">
            <w:r w:rsidR="00CD0647" w:rsidRPr="008C56AB">
              <w:rPr>
                <w:rStyle w:val="Lienhypertexte"/>
                <w:rFonts w:ascii="Tw Cen MT" w:hAnsi="Tw Cen MT"/>
                <w:b/>
                <w:iCs/>
                <w:noProof/>
              </w:rPr>
              <w:t>3.4.7</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Autres données à divulguer</w:t>
            </w:r>
            <w:r w:rsidR="00CD0647">
              <w:rPr>
                <w:noProof/>
                <w:webHidden/>
              </w:rPr>
              <w:tab/>
            </w:r>
            <w:r w:rsidR="00CD0647">
              <w:rPr>
                <w:noProof/>
                <w:webHidden/>
              </w:rPr>
              <w:fldChar w:fldCharType="begin"/>
            </w:r>
            <w:r w:rsidR="00CD0647">
              <w:rPr>
                <w:noProof/>
                <w:webHidden/>
              </w:rPr>
              <w:instrText xml:space="preserve"> PAGEREF _Toc90999730 \h </w:instrText>
            </w:r>
            <w:r w:rsidR="00CD0647">
              <w:rPr>
                <w:noProof/>
                <w:webHidden/>
              </w:rPr>
            </w:r>
            <w:r w:rsidR="00CD0647">
              <w:rPr>
                <w:noProof/>
                <w:webHidden/>
              </w:rPr>
              <w:fldChar w:fldCharType="separate"/>
            </w:r>
            <w:r w:rsidR="00CD0647">
              <w:rPr>
                <w:noProof/>
                <w:webHidden/>
              </w:rPr>
              <w:t>21</w:t>
            </w:r>
            <w:r w:rsidR="00CD0647">
              <w:rPr>
                <w:noProof/>
                <w:webHidden/>
              </w:rPr>
              <w:fldChar w:fldCharType="end"/>
            </w:r>
          </w:hyperlink>
        </w:p>
        <w:p w14:paraId="746D9211" w14:textId="2B292E00" w:rsidR="00CD0647" w:rsidRDefault="004A5DB3">
          <w:pPr>
            <w:pStyle w:val="TM2"/>
            <w:tabs>
              <w:tab w:val="left" w:pos="800"/>
              <w:tab w:val="right" w:leader="dot" w:pos="9060"/>
            </w:tabs>
            <w:rPr>
              <w:rFonts w:eastAsiaTheme="minorEastAsia" w:cstheme="minorBidi"/>
              <w:smallCaps w:val="0"/>
              <w:noProof/>
              <w:sz w:val="22"/>
              <w:szCs w:val="22"/>
              <w:lang w:eastAsia="fr-FR"/>
            </w:rPr>
          </w:pPr>
          <w:hyperlink w:anchor="_Toc90999731" w:history="1">
            <w:r w:rsidR="00CD0647" w:rsidRPr="008C56AB">
              <w:rPr>
                <w:rStyle w:val="Lienhypertexte"/>
                <w:rFonts w:ascii="Tw Cen MT" w:hAnsi="Tw Cen MT"/>
                <w:b/>
                <w:iCs/>
                <w:noProof/>
              </w:rPr>
              <w:t>3.5</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Fiabilité et attestation des données</w:t>
            </w:r>
            <w:r w:rsidR="00CD0647">
              <w:rPr>
                <w:noProof/>
                <w:webHidden/>
              </w:rPr>
              <w:tab/>
            </w:r>
            <w:r w:rsidR="00CD0647">
              <w:rPr>
                <w:noProof/>
                <w:webHidden/>
              </w:rPr>
              <w:fldChar w:fldCharType="begin"/>
            </w:r>
            <w:r w:rsidR="00CD0647">
              <w:rPr>
                <w:noProof/>
                <w:webHidden/>
              </w:rPr>
              <w:instrText xml:space="preserve"> PAGEREF _Toc90999731 \h </w:instrText>
            </w:r>
            <w:r w:rsidR="00CD0647">
              <w:rPr>
                <w:noProof/>
                <w:webHidden/>
              </w:rPr>
            </w:r>
            <w:r w:rsidR="00CD0647">
              <w:rPr>
                <w:noProof/>
                <w:webHidden/>
              </w:rPr>
              <w:fldChar w:fldCharType="separate"/>
            </w:r>
            <w:r w:rsidR="00CD0647">
              <w:rPr>
                <w:noProof/>
                <w:webHidden/>
              </w:rPr>
              <w:t>21</w:t>
            </w:r>
            <w:r w:rsidR="00CD0647">
              <w:rPr>
                <w:noProof/>
                <w:webHidden/>
              </w:rPr>
              <w:fldChar w:fldCharType="end"/>
            </w:r>
          </w:hyperlink>
        </w:p>
        <w:p w14:paraId="2A898539" w14:textId="594AE987" w:rsidR="00CD0647" w:rsidRDefault="004A5DB3">
          <w:pPr>
            <w:pStyle w:val="TM2"/>
            <w:tabs>
              <w:tab w:val="left" w:pos="1000"/>
              <w:tab w:val="right" w:leader="dot" w:pos="9060"/>
            </w:tabs>
            <w:rPr>
              <w:rFonts w:eastAsiaTheme="minorEastAsia" w:cstheme="minorBidi"/>
              <w:smallCaps w:val="0"/>
              <w:noProof/>
              <w:sz w:val="22"/>
              <w:szCs w:val="22"/>
              <w:lang w:eastAsia="fr-FR"/>
            </w:rPr>
          </w:pPr>
          <w:hyperlink w:anchor="_Toc90999732" w:history="1">
            <w:r w:rsidR="00CD0647" w:rsidRPr="008C56AB">
              <w:rPr>
                <w:rStyle w:val="Lienhypertexte"/>
                <w:rFonts w:ascii="Tw Cen MT" w:hAnsi="Tw Cen MT"/>
                <w:b/>
                <w:iCs/>
                <w:noProof/>
              </w:rPr>
              <w:t>3.5.1</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Entreprises extractives</w:t>
            </w:r>
            <w:r w:rsidR="00CD0647">
              <w:rPr>
                <w:noProof/>
                <w:webHidden/>
              </w:rPr>
              <w:tab/>
            </w:r>
            <w:r w:rsidR="00CD0647">
              <w:rPr>
                <w:noProof/>
                <w:webHidden/>
              </w:rPr>
              <w:fldChar w:fldCharType="begin"/>
            </w:r>
            <w:r w:rsidR="00CD0647">
              <w:rPr>
                <w:noProof/>
                <w:webHidden/>
              </w:rPr>
              <w:instrText xml:space="preserve"> PAGEREF _Toc90999732 \h </w:instrText>
            </w:r>
            <w:r w:rsidR="00CD0647">
              <w:rPr>
                <w:noProof/>
                <w:webHidden/>
              </w:rPr>
            </w:r>
            <w:r w:rsidR="00CD0647">
              <w:rPr>
                <w:noProof/>
                <w:webHidden/>
              </w:rPr>
              <w:fldChar w:fldCharType="separate"/>
            </w:r>
            <w:r w:rsidR="00CD0647">
              <w:rPr>
                <w:noProof/>
                <w:webHidden/>
              </w:rPr>
              <w:t>21</w:t>
            </w:r>
            <w:r w:rsidR="00CD0647">
              <w:rPr>
                <w:noProof/>
                <w:webHidden/>
              </w:rPr>
              <w:fldChar w:fldCharType="end"/>
            </w:r>
          </w:hyperlink>
        </w:p>
        <w:p w14:paraId="78C896AC" w14:textId="5A52F63A" w:rsidR="00CD0647" w:rsidRDefault="004A5DB3">
          <w:pPr>
            <w:pStyle w:val="TM2"/>
            <w:tabs>
              <w:tab w:val="left" w:pos="1000"/>
              <w:tab w:val="right" w:leader="dot" w:pos="9060"/>
            </w:tabs>
            <w:rPr>
              <w:rFonts w:eastAsiaTheme="minorEastAsia" w:cstheme="minorBidi"/>
              <w:smallCaps w:val="0"/>
              <w:noProof/>
              <w:sz w:val="22"/>
              <w:szCs w:val="22"/>
              <w:lang w:eastAsia="fr-FR"/>
            </w:rPr>
          </w:pPr>
          <w:hyperlink w:anchor="_Toc90999733" w:history="1">
            <w:r w:rsidR="00CD0647" w:rsidRPr="008C56AB">
              <w:rPr>
                <w:rStyle w:val="Lienhypertexte"/>
                <w:rFonts w:ascii="Tw Cen MT" w:hAnsi="Tw Cen MT"/>
                <w:b/>
                <w:iCs/>
                <w:noProof/>
              </w:rPr>
              <w:t>3.5.2</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Régies financières</w:t>
            </w:r>
            <w:r w:rsidR="00CD0647">
              <w:rPr>
                <w:noProof/>
                <w:webHidden/>
              </w:rPr>
              <w:tab/>
            </w:r>
            <w:r w:rsidR="00CD0647">
              <w:rPr>
                <w:noProof/>
                <w:webHidden/>
              </w:rPr>
              <w:fldChar w:fldCharType="begin"/>
            </w:r>
            <w:r w:rsidR="00CD0647">
              <w:rPr>
                <w:noProof/>
                <w:webHidden/>
              </w:rPr>
              <w:instrText xml:space="preserve"> PAGEREF _Toc90999733 \h </w:instrText>
            </w:r>
            <w:r w:rsidR="00CD0647">
              <w:rPr>
                <w:noProof/>
                <w:webHidden/>
              </w:rPr>
            </w:r>
            <w:r w:rsidR="00CD0647">
              <w:rPr>
                <w:noProof/>
                <w:webHidden/>
              </w:rPr>
              <w:fldChar w:fldCharType="separate"/>
            </w:r>
            <w:r w:rsidR="00CD0647">
              <w:rPr>
                <w:noProof/>
                <w:webHidden/>
              </w:rPr>
              <w:t>21</w:t>
            </w:r>
            <w:r w:rsidR="00CD0647">
              <w:rPr>
                <w:noProof/>
                <w:webHidden/>
              </w:rPr>
              <w:fldChar w:fldCharType="end"/>
            </w:r>
          </w:hyperlink>
        </w:p>
        <w:p w14:paraId="424942D0" w14:textId="5866A22B" w:rsidR="00CD0647" w:rsidRDefault="004A5DB3">
          <w:pPr>
            <w:pStyle w:val="TM2"/>
            <w:tabs>
              <w:tab w:val="left" w:pos="800"/>
              <w:tab w:val="right" w:leader="dot" w:pos="9060"/>
            </w:tabs>
            <w:rPr>
              <w:rFonts w:eastAsiaTheme="minorEastAsia" w:cstheme="minorBidi"/>
              <w:smallCaps w:val="0"/>
              <w:noProof/>
              <w:sz w:val="22"/>
              <w:szCs w:val="22"/>
              <w:lang w:eastAsia="fr-FR"/>
            </w:rPr>
          </w:pPr>
          <w:hyperlink w:anchor="_Toc90999734" w:history="1">
            <w:r w:rsidR="00CD0647" w:rsidRPr="008C56AB">
              <w:rPr>
                <w:rStyle w:val="Lienhypertexte"/>
                <w:rFonts w:ascii="Tw Cen MT" w:hAnsi="Tw Cen MT"/>
                <w:b/>
                <w:iCs/>
                <w:noProof/>
              </w:rPr>
              <w:t>3.6</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Niveau de déségrégation</w:t>
            </w:r>
            <w:r w:rsidR="00CD0647">
              <w:rPr>
                <w:noProof/>
                <w:webHidden/>
              </w:rPr>
              <w:tab/>
            </w:r>
            <w:r w:rsidR="00CD0647">
              <w:rPr>
                <w:noProof/>
                <w:webHidden/>
              </w:rPr>
              <w:fldChar w:fldCharType="begin"/>
            </w:r>
            <w:r w:rsidR="00CD0647">
              <w:rPr>
                <w:noProof/>
                <w:webHidden/>
              </w:rPr>
              <w:instrText xml:space="preserve"> PAGEREF _Toc90999734 \h </w:instrText>
            </w:r>
            <w:r w:rsidR="00CD0647">
              <w:rPr>
                <w:noProof/>
                <w:webHidden/>
              </w:rPr>
            </w:r>
            <w:r w:rsidR="00CD0647">
              <w:rPr>
                <w:noProof/>
                <w:webHidden/>
              </w:rPr>
              <w:fldChar w:fldCharType="separate"/>
            </w:r>
            <w:r w:rsidR="00CD0647">
              <w:rPr>
                <w:noProof/>
                <w:webHidden/>
              </w:rPr>
              <w:t>22</w:t>
            </w:r>
            <w:r w:rsidR="00CD0647">
              <w:rPr>
                <w:noProof/>
                <w:webHidden/>
              </w:rPr>
              <w:fldChar w:fldCharType="end"/>
            </w:r>
          </w:hyperlink>
        </w:p>
        <w:p w14:paraId="0F9508FF" w14:textId="47E4F458" w:rsidR="00CD0647" w:rsidRDefault="004A5DB3">
          <w:pPr>
            <w:pStyle w:val="TM2"/>
            <w:tabs>
              <w:tab w:val="left" w:pos="800"/>
              <w:tab w:val="right" w:leader="dot" w:pos="9060"/>
            </w:tabs>
            <w:rPr>
              <w:rFonts w:eastAsiaTheme="minorEastAsia" w:cstheme="minorBidi"/>
              <w:smallCaps w:val="0"/>
              <w:noProof/>
              <w:sz w:val="22"/>
              <w:szCs w:val="22"/>
              <w:lang w:eastAsia="fr-FR"/>
            </w:rPr>
          </w:pPr>
          <w:hyperlink w:anchor="_Toc90999735" w:history="1">
            <w:r w:rsidR="00CD0647" w:rsidRPr="008C56AB">
              <w:rPr>
                <w:rStyle w:val="Lienhypertexte"/>
                <w:rFonts w:ascii="Tw Cen MT" w:hAnsi="Tw Cen MT"/>
                <w:b/>
                <w:iCs/>
                <w:noProof/>
              </w:rPr>
              <w:t>3.7</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Période fiscale</w:t>
            </w:r>
            <w:r w:rsidR="00CD0647">
              <w:rPr>
                <w:noProof/>
                <w:webHidden/>
              </w:rPr>
              <w:tab/>
            </w:r>
            <w:r w:rsidR="00CD0647">
              <w:rPr>
                <w:noProof/>
                <w:webHidden/>
              </w:rPr>
              <w:fldChar w:fldCharType="begin"/>
            </w:r>
            <w:r w:rsidR="00CD0647">
              <w:rPr>
                <w:noProof/>
                <w:webHidden/>
              </w:rPr>
              <w:instrText xml:space="preserve"> PAGEREF _Toc90999735 \h </w:instrText>
            </w:r>
            <w:r w:rsidR="00CD0647">
              <w:rPr>
                <w:noProof/>
                <w:webHidden/>
              </w:rPr>
            </w:r>
            <w:r w:rsidR="00CD0647">
              <w:rPr>
                <w:noProof/>
                <w:webHidden/>
              </w:rPr>
              <w:fldChar w:fldCharType="separate"/>
            </w:r>
            <w:r w:rsidR="00CD0647">
              <w:rPr>
                <w:noProof/>
                <w:webHidden/>
              </w:rPr>
              <w:t>22</w:t>
            </w:r>
            <w:r w:rsidR="00CD0647">
              <w:rPr>
                <w:noProof/>
                <w:webHidden/>
              </w:rPr>
              <w:fldChar w:fldCharType="end"/>
            </w:r>
          </w:hyperlink>
        </w:p>
        <w:p w14:paraId="6386D389" w14:textId="6F32B289" w:rsidR="00CD0647" w:rsidRDefault="004A5DB3">
          <w:pPr>
            <w:pStyle w:val="TM2"/>
            <w:tabs>
              <w:tab w:val="left" w:pos="800"/>
              <w:tab w:val="right" w:leader="dot" w:pos="9060"/>
            </w:tabs>
            <w:rPr>
              <w:rFonts w:eastAsiaTheme="minorEastAsia" w:cstheme="minorBidi"/>
              <w:smallCaps w:val="0"/>
              <w:noProof/>
              <w:sz w:val="22"/>
              <w:szCs w:val="22"/>
              <w:lang w:eastAsia="fr-FR"/>
            </w:rPr>
          </w:pPr>
          <w:hyperlink w:anchor="_Toc90999736" w:history="1">
            <w:r w:rsidR="00CD0647" w:rsidRPr="008C56AB">
              <w:rPr>
                <w:rStyle w:val="Lienhypertexte"/>
                <w:rFonts w:ascii="Tw Cen MT" w:hAnsi="Tw Cen MT"/>
                <w:b/>
                <w:iCs/>
                <w:noProof/>
              </w:rPr>
              <w:t>3.8</w:t>
            </w:r>
            <w:r w:rsidR="00CD0647">
              <w:rPr>
                <w:rFonts w:eastAsiaTheme="minorEastAsia" w:cstheme="minorBidi"/>
                <w:smallCaps w:val="0"/>
                <w:noProof/>
                <w:sz w:val="22"/>
                <w:szCs w:val="22"/>
                <w:lang w:eastAsia="fr-FR"/>
              </w:rPr>
              <w:tab/>
            </w:r>
            <w:r w:rsidR="00CD0647" w:rsidRPr="008C56AB">
              <w:rPr>
                <w:rStyle w:val="Lienhypertexte"/>
                <w:rFonts w:ascii="Tw Cen MT" w:hAnsi="Tw Cen MT"/>
                <w:b/>
                <w:iCs/>
                <w:noProof/>
              </w:rPr>
              <w:t>Suivi des recommandations antérieures</w:t>
            </w:r>
            <w:r w:rsidR="00CD0647">
              <w:rPr>
                <w:noProof/>
                <w:webHidden/>
              </w:rPr>
              <w:tab/>
            </w:r>
            <w:r w:rsidR="00CD0647">
              <w:rPr>
                <w:noProof/>
                <w:webHidden/>
              </w:rPr>
              <w:fldChar w:fldCharType="begin"/>
            </w:r>
            <w:r w:rsidR="00CD0647">
              <w:rPr>
                <w:noProof/>
                <w:webHidden/>
              </w:rPr>
              <w:instrText xml:space="preserve"> PAGEREF _Toc90999736 \h </w:instrText>
            </w:r>
            <w:r w:rsidR="00CD0647">
              <w:rPr>
                <w:noProof/>
                <w:webHidden/>
              </w:rPr>
            </w:r>
            <w:r w:rsidR="00CD0647">
              <w:rPr>
                <w:noProof/>
                <w:webHidden/>
              </w:rPr>
              <w:fldChar w:fldCharType="separate"/>
            </w:r>
            <w:r w:rsidR="00CD0647">
              <w:rPr>
                <w:noProof/>
                <w:webHidden/>
              </w:rPr>
              <w:t>22</w:t>
            </w:r>
            <w:r w:rsidR="00CD0647">
              <w:rPr>
                <w:noProof/>
                <w:webHidden/>
              </w:rPr>
              <w:fldChar w:fldCharType="end"/>
            </w:r>
          </w:hyperlink>
        </w:p>
        <w:p w14:paraId="466E11C0" w14:textId="24EE2913" w:rsidR="00CD0647" w:rsidRDefault="004A5DB3">
          <w:pPr>
            <w:pStyle w:val="TM1"/>
            <w:rPr>
              <w:rFonts w:asciiTheme="minorHAnsi" w:eastAsiaTheme="minorEastAsia" w:hAnsiTheme="minorHAnsi" w:cstheme="minorBidi"/>
              <w:iCs w:val="0"/>
              <w:caps w:val="0"/>
              <w:sz w:val="22"/>
              <w:szCs w:val="22"/>
              <w:lang w:eastAsia="fr-FR"/>
            </w:rPr>
          </w:pPr>
          <w:hyperlink w:anchor="_Toc90999737" w:history="1">
            <w:r w:rsidR="00CD0647" w:rsidRPr="008C56AB">
              <w:rPr>
                <w:rStyle w:val="Lienhypertexte"/>
                <w:b/>
              </w:rPr>
              <w:t>IV.</w:t>
            </w:r>
            <w:r w:rsidR="00CD0647">
              <w:rPr>
                <w:rFonts w:asciiTheme="minorHAnsi" w:eastAsiaTheme="minorEastAsia" w:hAnsiTheme="minorHAnsi" w:cstheme="minorBidi"/>
                <w:iCs w:val="0"/>
                <w:caps w:val="0"/>
                <w:sz w:val="22"/>
                <w:szCs w:val="22"/>
                <w:lang w:eastAsia="fr-FR"/>
              </w:rPr>
              <w:tab/>
            </w:r>
            <w:r w:rsidR="00CD0647" w:rsidRPr="008C56AB">
              <w:rPr>
                <w:rStyle w:val="Lienhypertexte"/>
                <w:b/>
              </w:rPr>
              <w:t>CHRONOGRAMME INDICATIF</w:t>
            </w:r>
            <w:r w:rsidR="00CD0647">
              <w:rPr>
                <w:webHidden/>
              </w:rPr>
              <w:tab/>
            </w:r>
            <w:r w:rsidR="00CD0647">
              <w:rPr>
                <w:webHidden/>
              </w:rPr>
              <w:fldChar w:fldCharType="begin"/>
            </w:r>
            <w:r w:rsidR="00CD0647">
              <w:rPr>
                <w:webHidden/>
              </w:rPr>
              <w:instrText xml:space="preserve"> PAGEREF _Toc90999737 \h </w:instrText>
            </w:r>
            <w:r w:rsidR="00CD0647">
              <w:rPr>
                <w:webHidden/>
              </w:rPr>
            </w:r>
            <w:r w:rsidR="00CD0647">
              <w:rPr>
                <w:webHidden/>
              </w:rPr>
              <w:fldChar w:fldCharType="separate"/>
            </w:r>
            <w:r w:rsidR="00CD0647">
              <w:rPr>
                <w:webHidden/>
              </w:rPr>
              <w:t>23</w:t>
            </w:r>
            <w:r w:rsidR="00CD0647">
              <w:rPr>
                <w:webHidden/>
              </w:rPr>
              <w:fldChar w:fldCharType="end"/>
            </w:r>
          </w:hyperlink>
        </w:p>
        <w:p w14:paraId="07ABCA92" w14:textId="3658CDF5" w:rsidR="00CD0647" w:rsidRDefault="004A5DB3">
          <w:pPr>
            <w:pStyle w:val="TM1"/>
            <w:rPr>
              <w:rFonts w:asciiTheme="minorHAnsi" w:eastAsiaTheme="minorEastAsia" w:hAnsiTheme="minorHAnsi" w:cstheme="minorBidi"/>
              <w:iCs w:val="0"/>
              <w:caps w:val="0"/>
              <w:sz w:val="22"/>
              <w:szCs w:val="22"/>
              <w:lang w:eastAsia="fr-FR"/>
            </w:rPr>
          </w:pPr>
          <w:hyperlink w:anchor="_Toc90999738" w:history="1">
            <w:r w:rsidR="00CD0647" w:rsidRPr="008C56AB">
              <w:rPr>
                <w:rStyle w:val="Lienhypertexte"/>
                <w:b/>
              </w:rPr>
              <w:t>V.</w:t>
            </w:r>
            <w:r w:rsidR="00CD0647">
              <w:rPr>
                <w:rFonts w:asciiTheme="minorHAnsi" w:eastAsiaTheme="minorEastAsia" w:hAnsiTheme="minorHAnsi" w:cstheme="minorBidi"/>
                <w:iCs w:val="0"/>
                <w:caps w:val="0"/>
                <w:sz w:val="22"/>
                <w:szCs w:val="22"/>
                <w:lang w:eastAsia="fr-FR"/>
              </w:rPr>
              <w:tab/>
            </w:r>
            <w:r w:rsidR="00CD0647" w:rsidRPr="008C56AB">
              <w:rPr>
                <w:rStyle w:val="Lienhypertexte"/>
                <w:b/>
              </w:rPr>
              <w:t>ANNEXES</w:t>
            </w:r>
            <w:r w:rsidR="00CD0647">
              <w:rPr>
                <w:webHidden/>
              </w:rPr>
              <w:tab/>
            </w:r>
            <w:r w:rsidR="00CD0647">
              <w:rPr>
                <w:webHidden/>
              </w:rPr>
              <w:fldChar w:fldCharType="begin"/>
            </w:r>
            <w:r w:rsidR="00CD0647">
              <w:rPr>
                <w:webHidden/>
              </w:rPr>
              <w:instrText xml:space="preserve"> PAGEREF _Toc90999738 \h </w:instrText>
            </w:r>
            <w:r w:rsidR="00CD0647">
              <w:rPr>
                <w:webHidden/>
              </w:rPr>
            </w:r>
            <w:r w:rsidR="00CD0647">
              <w:rPr>
                <w:webHidden/>
              </w:rPr>
              <w:fldChar w:fldCharType="separate"/>
            </w:r>
            <w:r w:rsidR="00CD0647">
              <w:rPr>
                <w:webHidden/>
              </w:rPr>
              <w:t>24</w:t>
            </w:r>
            <w:r w:rsidR="00CD0647">
              <w:rPr>
                <w:webHidden/>
              </w:rPr>
              <w:fldChar w:fldCharType="end"/>
            </w:r>
          </w:hyperlink>
        </w:p>
        <w:p w14:paraId="1E0D7E1F" w14:textId="6486F204" w:rsidR="00776456" w:rsidRPr="00D22548" w:rsidRDefault="00080080" w:rsidP="00080080">
          <w:pPr>
            <w:spacing w:line="360" w:lineRule="auto"/>
            <w:rPr>
              <w:rFonts w:ascii="Tw Cen MT" w:hAnsi="Tw Cen MT"/>
              <w:sz w:val="24"/>
              <w:szCs w:val="24"/>
            </w:rPr>
          </w:pPr>
          <w:r w:rsidRPr="00D22548">
            <w:rPr>
              <w:rFonts w:ascii="Tw Cen MT" w:hAnsi="Tw Cen MT"/>
              <w:sz w:val="24"/>
              <w:szCs w:val="24"/>
            </w:rPr>
            <w:fldChar w:fldCharType="end"/>
          </w:r>
        </w:p>
      </w:sdtContent>
    </w:sdt>
    <w:p w14:paraId="06AC2197" w14:textId="635D43AD" w:rsidR="00C16162" w:rsidRDefault="006B671D">
      <w:pPr>
        <w:spacing w:after="160" w:line="259" w:lineRule="auto"/>
        <w:rPr>
          <w:rFonts w:ascii="Tw Cen MT" w:hAnsi="Tw Cen MT"/>
          <w:sz w:val="24"/>
          <w:szCs w:val="24"/>
        </w:rPr>
      </w:pPr>
      <w:r>
        <w:rPr>
          <w:rFonts w:ascii="Tw Cen MT" w:hAnsi="Tw Cen MT"/>
          <w:sz w:val="24"/>
          <w:szCs w:val="24"/>
        </w:rPr>
        <w:br w:type="page"/>
      </w:r>
    </w:p>
    <w:p w14:paraId="1A98BDD4" w14:textId="5384B9D7" w:rsidR="00C16162" w:rsidRPr="00244200" w:rsidRDefault="00C16162" w:rsidP="00C16162">
      <w:pPr>
        <w:pStyle w:val="En-ttedetabledesmatires"/>
        <w:shd w:val="clear" w:color="auto" w:fill="00B0F0"/>
        <w:spacing w:after="240" w:line="240" w:lineRule="auto"/>
        <w:jc w:val="center"/>
        <w:rPr>
          <w:rFonts w:ascii="Tw Cen MT" w:hAnsi="Tw Cen MT" w:cs="Arial"/>
          <w:b/>
          <w:color w:val="FFFFFF" w:themeColor="background1"/>
          <w:sz w:val="28"/>
        </w:rPr>
      </w:pPr>
      <w:r>
        <w:rPr>
          <w:rFonts w:ascii="Tw Cen MT" w:hAnsi="Tw Cen MT" w:cs="Arial"/>
          <w:b/>
          <w:color w:val="FFFFFF" w:themeColor="background1"/>
          <w:sz w:val="28"/>
        </w:rPr>
        <w:lastRenderedPageBreak/>
        <w:t>LISTE DES TABLEAUX</w:t>
      </w:r>
    </w:p>
    <w:p w14:paraId="5E1B47CE" w14:textId="58742114" w:rsidR="004E4C70" w:rsidRPr="004E4C70" w:rsidRDefault="004E4C70" w:rsidP="004E4C70">
      <w:pPr>
        <w:pStyle w:val="Tabledesillustrations"/>
        <w:tabs>
          <w:tab w:val="right" w:leader="dot" w:pos="9060"/>
        </w:tabs>
        <w:spacing w:line="360" w:lineRule="auto"/>
        <w:rPr>
          <w:rFonts w:ascii="Tw Cen MT" w:hAnsi="Tw Cen MT"/>
          <w:noProof/>
          <w:sz w:val="24"/>
          <w:szCs w:val="24"/>
        </w:rPr>
      </w:pPr>
      <w:r w:rsidRPr="004E4C70">
        <w:rPr>
          <w:rFonts w:ascii="Tw Cen MT" w:hAnsi="Tw Cen MT"/>
          <w:sz w:val="24"/>
          <w:szCs w:val="24"/>
        </w:rPr>
        <w:fldChar w:fldCharType="begin"/>
      </w:r>
      <w:r w:rsidRPr="004E4C70">
        <w:rPr>
          <w:rFonts w:ascii="Tw Cen MT" w:hAnsi="Tw Cen MT"/>
          <w:sz w:val="24"/>
          <w:szCs w:val="24"/>
        </w:rPr>
        <w:instrText xml:space="preserve"> TOC \h \z \c "Tableau" </w:instrText>
      </w:r>
      <w:r w:rsidRPr="004E4C70">
        <w:rPr>
          <w:rFonts w:ascii="Tw Cen MT" w:hAnsi="Tw Cen MT"/>
          <w:sz w:val="24"/>
          <w:szCs w:val="24"/>
        </w:rPr>
        <w:fldChar w:fldCharType="separate"/>
      </w:r>
      <w:hyperlink w:anchor="_Toc90995623" w:history="1">
        <w:r w:rsidRPr="004E4C70">
          <w:rPr>
            <w:rStyle w:val="Lienhypertexte"/>
            <w:rFonts w:ascii="Tw Cen MT" w:hAnsi="Tw Cen MT"/>
            <w:noProof/>
            <w:sz w:val="24"/>
            <w:szCs w:val="24"/>
          </w:rPr>
          <w:t>Tableau 1 : Situation de la communication des données brutes</w:t>
        </w:r>
        <w:r w:rsidRPr="004E4C70">
          <w:rPr>
            <w:rFonts w:ascii="Tw Cen MT" w:hAnsi="Tw Cen MT"/>
            <w:noProof/>
            <w:webHidden/>
            <w:sz w:val="24"/>
            <w:szCs w:val="24"/>
          </w:rPr>
          <w:tab/>
        </w:r>
        <w:r w:rsidRPr="004E4C70">
          <w:rPr>
            <w:rFonts w:ascii="Tw Cen MT" w:hAnsi="Tw Cen MT"/>
            <w:noProof/>
            <w:webHidden/>
            <w:sz w:val="24"/>
            <w:szCs w:val="24"/>
          </w:rPr>
          <w:fldChar w:fldCharType="begin"/>
        </w:r>
        <w:r w:rsidRPr="004E4C70">
          <w:rPr>
            <w:rFonts w:ascii="Tw Cen MT" w:hAnsi="Tw Cen MT"/>
            <w:noProof/>
            <w:webHidden/>
            <w:sz w:val="24"/>
            <w:szCs w:val="24"/>
          </w:rPr>
          <w:instrText xml:space="preserve"> PAGEREF _Toc90995623 \h </w:instrText>
        </w:r>
        <w:r w:rsidRPr="004E4C70">
          <w:rPr>
            <w:rFonts w:ascii="Tw Cen MT" w:hAnsi="Tw Cen MT"/>
            <w:noProof/>
            <w:webHidden/>
            <w:sz w:val="24"/>
            <w:szCs w:val="24"/>
          </w:rPr>
        </w:r>
        <w:r w:rsidRPr="004E4C70">
          <w:rPr>
            <w:rFonts w:ascii="Tw Cen MT" w:hAnsi="Tw Cen MT"/>
            <w:noProof/>
            <w:webHidden/>
            <w:sz w:val="24"/>
            <w:szCs w:val="24"/>
          </w:rPr>
          <w:fldChar w:fldCharType="separate"/>
        </w:r>
        <w:r w:rsidR="00D22548">
          <w:rPr>
            <w:rFonts w:ascii="Tw Cen MT" w:hAnsi="Tw Cen MT"/>
            <w:noProof/>
            <w:webHidden/>
            <w:sz w:val="24"/>
            <w:szCs w:val="24"/>
          </w:rPr>
          <w:t>10</w:t>
        </w:r>
        <w:r w:rsidRPr="004E4C70">
          <w:rPr>
            <w:rFonts w:ascii="Tw Cen MT" w:hAnsi="Tw Cen MT"/>
            <w:noProof/>
            <w:webHidden/>
            <w:sz w:val="24"/>
            <w:szCs w:val="24"/>
          </w:rPr>
          <w:fldChar w:fldCharType="end"/>
        </w:r>
      </w:hyperlink>
    </w:p>
    <w:p w14:paraId="579E9BE0" w14:textId="1C9E6CED" w:rsidR="004E4C70" w:rsidRPr="004E4C70" w:rsidRDefault="004A5DB3" w:rsidP="004E4C70">
      <w:pPr>
        <w:pStyle w:val="Tabledesillustrations"/>
        <w:tabs>
          <w:tab w:val="right" w:leader="dot" w:pos="9060"/>
        </w:tabs>
        <w:spacing w:line="360" w:lineRule="auto"/>
        <w:rPr>
          <w:rFonts w:ascii="Tw Cen MT" w:hAnsi="Tw Cen MT"/>
          <w:noProof/>
          <w:sz w:val="24"/>
          <w:szCs w:val="24"/>
        </w:rPr>
      </w:pPr>
      <w:hyperlink w:anchor="_Toc90995624" w:history="1">
        <w:r w:rsidR="004E4C70" w:rsidRPr="004E4C70">
          <w:rPr>
            <w:rStyle w:val="Lienhypertexte"/>
            <w:rFonts w:ascii="Tw Cen MT" w:hAnsi="Tw Cen MT"/>
            <w:noProof/>
            <w:sz w:val="24"/>
            <w:szCs w:val="24"/>
          </w:rPr>
          <w:t>Tableau 2 : Nomenclature des flux de paiement</w:t>
        </w:r>
        <w:r w:rsidR="004E4C70" w:rsidRPr="004E4C70">
          <w:rPr>
            <w:rFonts w:ascii="Tw Cen MT" w:hAnsi="Tw Cen MT"/>
            <w:noProof/>
            <w:webHidden/>
            <w:sz w:val="24"/>
            <w:szCs w:val="24"/>
          </w:rPr>
          <w:tab/>
        </w:r>
        <w:r w:rsidR="004E4C70" w:rsidRPr="004E4C70">
          <w:rPr>
            <w:rFonts w:ascii="Tw Cen MT" w:hAnsi="Tw Cen MT"/>
            <w:noProof/>
            <w:webHidden/>
            <w:sz w:val="24"/>
            <w:szCs w:val="24"/>
          </w:rPr>
          <w:fldChar w:fldCharType="begin"/>
        </w:r>
        <w:r w:rsidR="004E4C70" w:rsidRPr="004E4C70">
          <w:rPr>
            <w:rFonts w:ascii="Tw Cen MT" w:hAnsi="Tw Cen MT"/>
            <w:noProof/>
            <w:webHidden/>
            <w:sz w:val="24"/>
            <w:szCs w:val="24"/>
          </w:rPr>
          <w:instrText xml:space="preserve"> PAGEREF _Toc90995624 \h </w:instrText>
        </w:r>
        <w:r w:rsidR="004E4C70" w:rsidRPr="004E4C70">
          <w:rPr>
            <w:rFonts w:ascii="Tw Cen MT" w:hAnsi="Tw Cen MT"/>
            <w:noProof/>
            <w:webHidden/>
            <w:sz w:val="24"/>
            <w:szCs w:val="24"/>
          </w:rPr>
        </w:r>
        <w:r w:rsidR="004E4C70" w:rsidRPr="004E4C70">
          <w:rPr>
            <w:rFonts w:ascii="Tw Cen MT" w:hAnsi="Tw Cen MT"/>
            <w:noProof/>
            <w:webHidden/>
            <w:sz w:val="24"/>
            <w:szCs w:val="24"/>
          </w:rPr>
          <w:fldChar w:fldCharType="separate"/>
        </w:r>
        <w:r w:rsidR="00D22548">
          <w:rPr>
            <w:rFonts w:ascii="Tw Cen MT" w:hAnsi="Tw Cen MT"/>
            <w:noProof/>
            <w:webHidden/>
            <w:sz w:val="24"/>
            <w:szCs w:val="24"/>
          </w:rPr>
          <w:t>13</w:t>
        </w:r>
        <w:r w:rsidR="004E4C70" w:rsidRPr="004E4C70">
          <w:rPr>
            <w:rFonts w:ascii="Tw Cen MT" w:hAnsi="Tw Cen MT"/>
            <w:noProof/>
            <w:webHidden/>
            <w:sz w:val="24"/>
            <w:szCs w:val="24"/>
          </w:rPr>
          <w:fldChar w:fldCharType="end"/>
        </w:r>
      </w:hyperlink>
    </w:p>
    <w:p w14:paraId="7ACECBBE" w14:textId="27C70ADE" w:rsidR="004E4C70" w:rsidRPr="004E4C70" w:rsidRDefault="004A5DB3" w:rsidP="004E4C70">
      <w:pPr>
        <w:pStyle w:val="Tabledesillustrations"/>
        <w:tabs>
          <w:tab w:val="right" w:leader="dot" w:pos="9060"/>
        </w:tabs>
        <w:spacing w:line="360" w:lineRule="auto"/>
        <w:rPr>
          <w:rFonts w:ascii="Tw Cen MT" w:hAnsi="Tw Cen MT"/>
          <w:noProof/>
          <w:sz w:val="24"/>
          <w:szCs w:val="24"/>
        </w:rPr>
      </w:pPr>
      <w:hyperlink w:anchor="_Toc90995625" w:history="1">
        <w:r w:rsidR="004E4C70" w:rsidRPr="004E4C70">
          <w:rPr>
            <w:rStyle w:val="Lienhypertexte"/>
            <w:rFonts w:ascii="Tw Cen MT" w:hAnsi="Tw Cen MT"/>
            <w:noProof/>
            <w:sz w:val="24"/>
            <w:szCs w:val="24"/>
          </w:rPr>
          <w:t>Tableau 3 : Liste des collectivités territoriales bénéficiaires des transferts infranationaux</w:t>
        </w:r>
        <w:r w:rsidR="004E4C70" w:rsidRPr="004E4C70">
          <w:rPr>
            <w:rFonts w:ascii="Tw Cen MT" w:hAnsi="Tw Cen MT"/>
            <w:noProof/>
            <w:webHidden/>
            <w:sz w:val="24"/>
            <w:szCs w:val="24"/>
          </w:rPr>
          <w:tab/>
        </w:r>
        <w:r w:rsidR="004E4C70" w:rsidRPr="004E4C70">
          <w:rPr>
            <w:rFonts w:ascii="Tw Cen MT" w:hAnsi="Tw Cen MT"/>
            <w:noProof/>
            <w:webHidden/>
            <w:sz w:val="24"/>
            <w:szCs w:val="24"/>
          </w:rPr>
          <w:fldChar w:fldCharType="begin"/>
        </w:r>
        <w:r w:rsidR="004E4C70" w:rsidRPr="004E4C70">
          <w:rPr>
            <w:rFonts w:ascii="Tw Cen MT" w:hAnsi="Tw Cen MT"/>
            <w:noProof/>
            <w:webHidden/>
            <w:sz w:val="24"/>
            <w:szCs w:val="24"/>
          </w:rPr>
          <w:instrText xml:space="preserve"> PAGEREF _Toc90995625 \h </w:instrText>
        </w:r>
        <w:r w:rsidR="004E4C70" w:rsidRPr="004E4C70">
          <w:rPr>
            <w:rFonts w:ascii="Tw Cen MT" w:hAnsi="Tw Cen MT"/>
            <w:noProof/>
            <w:webHidden/>
            <w:sz w:val="24"/>
            <w:szCs w:val="24"/>
          </w:rPr>
        </w:r>
        <w:r w:rsidR="004E4C70" w:rsidRPr="004E4C70">
          <w:rPr>
            <w:rFonts w:ascii="Tw Cen MT" w:hAnsi="Tw Cen MT"/>
            <w:noProof/>
            <w:webHidden/>
            <w:sz w:val="24"/>
            <w:szCs w:val="24"/>
          </w:rPr>
          <w:fldChar w:fldCharType="separate"/>
        </w:r>
        <w:r w:rsidR="00D22548">
          <w:rPr>
            <w:rFonts w:ascii="Tw Cen MT" w:hAnsi="Tw Cen MT"/>
            <w:noProof/>
            <w:webHidden/>
            <w:sz w:val="24"/>
            <w:szCs w:val="24"/>
          </w:rPr>
          <w:t>15</w:t>
        </w:r>
        <w:r w:rsidR="004E4C70" w:rsidRPr="004E4C70">
          <w:rPr>
            <w:rFonts w:ascii="Tw Cen MT" w:hAnsi="Tw Cen MT"/>
            <w:noProof/>
            <w:webHidden/>
            <w:sz w:val="24"/>
            <w:szCs w:val="24"/>
          </w:rPr>
          <w:fldChar w:fldCharType="end"/>
        </w:r>
      </w:hyperlink>
    </w:p>
    <w:p w14:paraId="6A6B4363" w14:textId="735FB6B9" w:rsidR="004E4C70" w:rsidRPr="004E4C70" w:rsidRDefault="004A5DB3" w:rsidP="004E4C70">
      <w:pPr>
        <w:pStyle w:val="Tabledesillustrations"/>
        <w:tabs>
          <w:tab w:val="right" w:leader="dot" w:pos="9060"/>
        </w:tabs>
        <w:spacing w:line="360" w:lineRule="auto"/>
        <w:rPr>
          <w:rFonts w:ascii="Tw Cen MT" w:hAnsi="Tw Cen MT"/>
          <w:noProof/>
          <w:sz w:val="24"/>
          <w:szCs w:val="24"/>
        </w:rPr>
      </w:pPr>
      <w:hyperlink w:anchor="_Toc90995626" w:history="1">
        <w:r w:rsidR="004E4C70" w:rsidRPr="004E4C70">
          <w:rPr>
            <w:rStyle w:val="Lienhypertexte"/>
            <w:rFonts w:ascii="Tw Cen MT" w:hAnsi="Tw Cen MT"/>
            <w:noProof/>
            <w:sz w:val="24"/>
            <w:szCs w:val="24"/>
          </w:rPr>
          <w:t>Tableau 4 : Liste des sociétés extractives figurant dans le périmètre de conciliation 2018</w:t>
        </w:r>
        <w:r w:rsidR="004E4C70" w:rsidRPr="004E4C70">
          <w:rPr>
            <w:rFonts w:ascii="Tw Cen MT" w:hAnsi="Tw Cen MT"/>
            <w:noProof/>
            <w:webHidden/>
            <w:sz w:val="24"/>
            <w:szCs w:val="24"/>
          </w:rPr>
          <w:tab/>
        </w:r>
        <w:r w:rsidR="004E4C70" w:rsidRPr="004E4C70">
          <w:rPr>
            <w:rFonts w:ascii="Tw Cen MT" w:hAnsi="Tw Cen MT"/>
            <w:noProof/>
            <w:webHidden/>
            <w:sz w:val="24"/>
            <w:szCs w:val="24"/>
          </w:rPr>
          <w:fldChar w:fldCharType="begin"/>
        </w:r>
        <w:r w:rsidR="004E4C70" w:rsidRPr="004E4C70">
          <w:rPr>
            <w:rFonts w:ascii="Tw Cen MT" w:hAnsi="Tw Cen MT"/>
            <w:noProof/>
            <w:webHidden/>
            <w:sz w:val="24"/>
            <w:szCs w:val="24"/>
          </w:rPr>
          <w:instrText xml:space="preserve"> PAGEREF _Toc90995626 \h </w:instrText>
        </w:r>
        <w:r w:rsidR="004E4C70" w:rsidRPr="004E4C70">
          <w:rPr>
            <w:rFonts w:ascii="Tw Cen MT" w:hAnsi="Tw Cen MT"/>
            <w:noProof/>
            <w:webHidden/>
            <w:sz w:val="24"/>
            <w:szCs w:val="24"/>
          </w:rPr>
        </w:r>
        <w:r w:rsidR="004E4C70" w:rsidRPr="004E4C70">
          <w:rPr>
            <w:rFonts w:ascii="Tw Cen MT" w:hAnsi="Tw Cen MT"/>
            <w:noProof/>
            <w:webHidden/>
            <w:sz w:val="24"/>
            <w:szCs w:val="24"/>
          </w:rPr>
          <w:fldChar w:fldCharType="separate"/>
        </w:r>
        <w:r w:rsidR="00D22548">
          <w:rPr>
            <w:rFonts w:ascii="Tw Cen MT" w:hAnsi="Tw Cen MT"/>
            <w:noProof/>
            <w:webHidden/>
            <w:sz w:val="24"/>
            <w:szCs w:val="24"/>
          </w:rPr>
          <w:t>15</w:t>
        </w:r>
        <w:r w:rsidR="004E4C70" w:rsidRPr="004E4C70">
          <w:rPr>
            <w:rFonts w:ascii="Tw Cen MT" w:hAnsi="Tw Cen MT"/>
            <w:noProof/>
            <w:webHidden/>
            <w:sz w:val="24"/>
            <w:szCs w:val="24"/>
          </w:rPr>
          <w:fldChar w:fldCharType="end"/>
        </w:r>
      </w:hyperlink>
    </w:p>
    <w:p w14:paraId="30052779" w14:textId="0B74C4D4" w:rsidR="004E4C70" w:rsidRPr="004E4C70" w:rsidRDefault="004A5DB3" w:rsidP="004E4C70">
      <w:pPr>
        <w:pStyle w:val="Tabledesillustrations"/>
        <w:tabs>
          <w:tab w:val="right" w:leader="dot" w:pos="9060"/>
        </w:tabs>
        <w:spacing w:line="360" w:lineRule="auto"/>
        <w:rPr>
          <w:rFonts w:ascii="Tw Cen MT" w:hAnsi="Tw Cen MT"/>
          <w:noProof/>
          <w:sz w:val="24"/>
          <w:szCs w:val="24"/>
        </w:rPr>
      </w:pPr>
      <w:hyperlink w:anchor="_Toc90995627" w:history="1">
        <w:r w:rsidR="004E4C70" w:rsidRPr="004E4C70">
          <w:rPr>
            <w:rStyle w:val="Lienhypertexte"/>
            <w:rFonts w:ascii="Tw Cen MT" w:hAnsi="Tw Cen MT"/>
            <w:noProof/>
            <w:sz w:val="24"/>
            <w:szCs w:val="24"/>
          </w:rPr>
          <w:t>Tableau 5 : Tableau d’analyse de la matérialité</w:t>
        </w:r>
        <w:r w:rsidR="004E4C70" w:rsidRPr="004E4C70">
          <w:rPr>
            <w:rFonts w:ascii="Tw Cen MT" w:hAnsi="Tw Cen MT"/>
            <w:noProof/>
            <w:webHidden/>
            <w:sz w:val="24"/>
            <w:szCs w:val="24"/>
          </w:rPr>
          <w:tab/>
        </w:r>
        <w:r w:rsidR="004E4C70" w:rsidRPr="004E4C70">
          <w:rPr>
            <w:rFonts w:ascii="Tw Cen MT" w:hAnsi="Tw Cen MT"/>
            <w:noProof/>
            <w:webHidden/>
            <w:sz w:val="24"/>
            <w:szCs w:val="24"/>
          </w:rPr>
          <w:fldChar w:fldCharType="begin"/>
        </w:r>
        <w:r w:rsidR="004E4C70" w:rsidRPr="004E4C70">
          <w:rPr>
            <w:rFonts w:ascii="Tw Cen MT" w:hAnsi="Tw Cen MT"/>
            <w:noProof/>
            <w:webHidden/>
            <w:sz w:val="24"/>
            <w:szCs w:val="24"/>
          </w:rPr>
          <w:instrText xml:space="preserve"> PAGEREF _Toc90995627 \h </w:instrText>
        </w:r>
        <w:r w:rsidR="004E4C70" w:rsidRPr="004E4C70">
          <w:rPr>
            <w:rFonts w:ascii="Tw Cen MT" w:hAnsi="Tw Cen MT"/>
            <w:noProof/>
            <w:webHidden/>
            <w:sz w:val="24"/>
            <w:szCs w:val="24"/>
          </w:rPr>
        </w:r>
        <w:r w:rsidR="004E4C70" w:rsidRPr="004E4C70">
          <w:rPr>
            <w:rFonts w:ascii="Tw Cen MT" w:hAnsi="Tw Cen MT"/>
            <w:noProof/>
            <w:webHidden/>
            <w:sz w:val="24"/>
            <w:szCs w:val="24"/>
          </w:rPr>
          <w:fldChar w:fldCharType="separate"/>
        </w:r>
        <w:r w:rsidR="00D22548">
          <w:rPr>
            <w:rFonts w:ascii="Tw Cen MT" w:hAnsi="Tw Cen MT"/>
            <w:noProof/>
            <w:webHidden/>
            <w:sz w:val="24"/>
            <w:szCs w:val="24"/>
          </w:rPr>
          <w:t>16</w:t>
        </w:r>
        <w:r w:rsidR="004E4C70" w:rsidRPr="004E4C70">
          <w:rPr>
            <w:rFonts w:ascii="Tw Cen MT" w:hAnsi="Tw Cen MT"/>
            <w:noProof/>
            <w:webHidden/>
            <w:sz w:val="24"/>
            <w:szCs w:val="24"/>
          </w:rPr>
          <w:fldChar w:fldCharType="end"/>
        </w:r>
      </w:hyperlink>
    </w:p>
    <w:p w14:paraId="50C8261F" w14:textId="059E36BF" w:rsidR="004E4C70" w:rsidRPr="004E4C70" w:rsidRDefault="004A5DB3" w:rsidP="004E4C70">
      <w:pPr>
        <w:pStyle w:val="Tabledesillustrations"/>
        <w:tabs>
          <w:tab w:val="right" w:leader="dot" w:pos="9060"/>
        </w:tabs>
        <w:spacing w:line="360" w:lineRule="auto"/>
        <w:rPr>
          <w:rFonts w:ascii="Tw Cen MT" w:hAnsi="Tw Cen MT"/>
          <w:noProof/>
          <w:sz w:val="24"/>
          <w:szCs w:val="24"/>
        </w:rPr>
      </w:pPr>
      <w:hyperlink w:anchor="_Toc90995628" w:history="1">
        <w:r w:rsidR="004E4C70" w:rsidRPr="004E4C70">
          <w:rPr>
            <w:rStyle w:val="Lienhypertexte"/>
            <w:rFonts w:ascii="Tw Cen MT" w:hAnsi="Tw Cen MT"/>
            <w:noProof/>
            <w:sz w:val="24"/>
            <w:szCs w:val="24"/>
          </w:rPr>
          <w:t>Tableau 6 : Liste des sociétés extractives proposées pour le périmètre de conciliation 2019</w:t>
        </w:r>
        <w:r w:rsidR="004E4C70" w:rsidRPr="004E4C70">
          <w:rPr>
            <w:rFonts w:ascii="Tw Cen MT" w:hAnsi="Tw Cen MT"/>
            <w:noProof/>
            <w:webHidden/>
            <w:sz w:val="24"/>
            <w:szCs w:val="24"/>
          </w:rPr>
          <w:tab/>
        </w:r>
        <w:r w:rsidR="004E4C70" w:rsidRPr="004E4C70">
          <w:rPr>
            <w:rFonts w:ascii="Tw Cen MT" w:hAnsi="Tw Cen MT"/>
            <w:noProof/>
            <w:webHidden/>
            <w:sz w:val="24"/>
            <w:szCs w:val="24"/>
          </w:rPr>
          <w:fldChar w:fldCharType="begin"/>
        </w:r>
        <w:r w:rsidR="004E4C70" w:rsidRPr="004E4C70">
          <w:rPr>
            <w:rFonts w:ascii="Tw Cen MT" w:hAnsi="Tw Cen MT"/>
            <w:noProof/>
            <w:webHidden/>
            <w:sz w:val="24"/>
            <w:szCs w:val="24"/>
          </w:rPr>
          <w:instrText xml:space="preserve"> PAGEREF _Toc90995628 \h </w:instrText>
        </w:r>
        <w:r w:rsidR="004E4C70" w:rsidRPr="004E4C70">
          <w:rPr>
            <w:rFonts w:ascii="Tw Cen MT" w:hAnsi="Tw Cen MT"/>
            <w:noProof/>
            <w:webHidden/>
            <w:sz w:val="24"/>
            <w:szCs w:val="24"/>
          </w:rPr>
        </w:r>
        <w:r w:rsidR="004E4C70" w:rsidRPr="004E4C70">
          <w:rPr>
            <w:rFonts w:ascii="Tw Cen MT" w:hAnsi="Tw Cen MT"/>
            <w:noProof/>
            <w:webHidden/>
            <w:sz w:val="24"/>
            <w:szCs w:val="24"/>
          </w:rPr>
          <w:fldChar w:fldCharType="separate"/>
        </w:r>
        <w:r w:rsidR="00D22548">
          <w:rPr>
            <w:rFonts w:ascii="Tw Cen MT" w:hAnsi="Tw Cen MT"/>
            <w:noProof/>
            <w:webHidden/>
            <w:sz w:val="24"/>
            <w:szCs w:val="24"/>
          </w:rPr>
          <w:t>18</w:t>
        </w:r>
        <w:r w:rsidR="004E4C70" w:rsidRPr="004E4C70">
          <w:rPr>
            <w:rFonts w:ascii="Tw Cen MT" w:hAnsi="Tw Cen MT"/>
            <w:noProof/>
            <w:webHidden/>
            <w:sz w:val="24"/>
            <w:szCs w:val="24"/>
          </w:rPr>
          <w:fldChar w:fldCharType="end"/>
        </w:r>
      </w:hyperlink>
    </w:p>
    <w:p w14:paraId="296B52F2" w14:textId="1F27E0CB" w:rsidR="004E4C70" w:rsidRPr="004E4C70" w:rsidRDefault="004A5DB3" w:rsidP="004E4C70">
      <w:pPr>
        <w:pStyle w:val="Tabledesillustrations"/>
        <w:tabs>
          <w:tab w:val="right" w:leader="dot" w:pos="9060"/>
        </w:tabs>
        <w:spacing w:line="360" w:lineRule="auto"/>
        <w:rPr>
          <w:rFonts w:ascii="Tw Cen MT" w:hAnsi="Tw Cen MT"/>
          <w:noProof/>
          <w:sz w:val="24"/>
          <w:szCs w:val="24"/>
        </w:rPr>
      </w:pPr>
      <w:hyperlink w:anchor="_Toc90995629" w:history="1">
        <w:r w:rsidR="004E4C70" w:rsidRPr="004E4C70">
          <w:rPr>
            <w:rStyle w:val="Lienhypertexte"/>
            <w:rFonts w:ascii="Tw Cen MT" w:hAnsi="Tw Cen MT"/>
            <w:noProof/>
            <w:sz w:val="24"/>
            <w:szCs w:val="24"/>
          </w:rPr>
          <w:t>Tableau 7 : Details des paiements de sociétés extractives proposées pour le périmètre de conciliation 2019</w:t>
        </w:r>
        <w:r w:rsidR="004E4C70" w:rsidRPr="004E4C70">
          <w:rPr>
            <w:rFonts w:ascii="Tw Cen MT" w:hAnsi="Tw Cen MT"/>
            <w:noProof/>
            <w:webHidden/>
            <w:sz w:val="24"/>
            <w:szCs w:val="24"/>
          </w:rPr>
          <w:tab/>
        </w:r>
        <w:r w:rsidR="004E4C70" w:rsidRPr="004E4C70">
          <w:rPr>
            <w:rFonts w:ascii="Tw Cen MT" w:hAnsi="Tw Cen MT"/>
            <w:noProof/>
            <w:webHidden/>
            <w:sz w:val="24"/>
            <w:szCs w:val="24"/>
          </w:rPr>
          <w:fldChar w:fldCharType="begin"/>
        </w:r>
        <w:r w:rsidR="004E4C70" w:rsidRPr="004E4C70">
          <w:rPr>
            <w:rFonts w:ascii="Tw Cen MT" w:hAnsi="Tw Cen MT"/>
            <w:noProof/>
            <w:webHidden/>
            <w:sz w:val="24"/>
            <w:szCs w:val="24"/>
          </w:rPr>
          <w:instrText xml:space="preserve"> PAGEREF _Toc90995629 \h </w:instrText>
        </w:r>
        <w:r w:rsidR="004E4C70" w:rsidRPr="004E4C70">
          <w:rPr>
            <w:rFonts w:ascii="Tw Cen MT" w:hAnsi="Tw Cen MT"/>
            <w:noProof/>
            <w:webHidden/>
            <w:sz w:val="24"/>
            <w:szCs w:val="24"/>
          </w:rPr>
        </w:r>
        <w:r w:rsidR="004E4C70" w:rsidRPr="004E4C70">
          <w:rPr>
            <w:rFonts w:ascii="Tw Cen MT" w:hAnsi="Tw Cen MT"/>
            <w:noProof/>
            <w:webHidden/>
            <w:sz w:val="24"/>
            <w:szCs w:val="24"/>
          </w:rPr>
          <w:fldChar w:fldCharType="separate"/>
        </w:r>
        <w:r w:rsidR="00D22548">
          <w:rPr>
            <w:rFonts w:ascii="Tw Cen MT" w:hAnsi="Tw Cen MT"/>
            <w:noProof/>
            <w:webHidden/>
            <w:sz w:val="24"/>
            <w:szCs w:val="24"/>
          </w:rPr>
          <w:t>19</w:t>
        </w:r>
        <w:r w:rsidR="004E4C70" w:rsidRPr="004E4C70">
          <w:rPr>
            <w:rFonts w:ascii="Tw Cen MT" w:hAnsi="Tw Cen MT"/>
            <w:noProof/>
            <w:webHidden/>
            <w:sz w:val="24"/>
            <w:szCs w:val="24"/>
          </w:rPr>
          <w:fldChar w:fldCharType="end"/>
        </w:r>
      </w:hyperlink>
    </w:p>
    <w:p w14:paraId="1559E608" w14:textId="679B18C8" w:rsidR="004E4C70" w:rsidRPr="004E4C70" w:rsidRDefault="004A5DB3" w:rsidP="004E4C70">
      <w:pPr>
        <w:pStyle w:val="Tabledesillustrations"/>
        <w:tabs>
          <w:tab w:val="right" w:leader="dot" w:pos="9060"/>
        </w:tabs>
        <w:spacing w:line="360" w:lineRule="auto"/>
        <w:rPr>
          <w:rFonts w:ascii="Tw Cen MT" w:hAnsi="Tw Cen MT"/>
          <w:noProof/>
          <w:sz w:val="24"/>
          <w:szCs w:val="24"/>
        </w:rPr>
      </w:pPr>
      <w:hyperlink w:anchor="_Toc90995630" w:history="1">
        <w:r w:rsidR="004E4C70" w:rsidRPr="004E4C70">
          <w:rPr>
            <w:rStyle w:val="Lienhypertexte"/>
            <w:rFonts w:ascii="Tw Cen MT" w:hAnsi="Tw Cen MT"/>
            <w:noProof/>
            <w:sz w:val="24"/>
            <w:szCs w:val="24"/>
          </w:rPr>
          <w:t>Tableau 8 : Liste des autres données à divulguer</w:t>
        </w:r>
        <w:r w:rsidR="004E4C70" w:rsidRPr="004E4C70">
          <w:rPr>
            <w:rFonts w:ascii="Tw Cen MT" w:hAnsi="Tw Cen MT"/>
            <w:noProof/>
            <w:webHidden/>
            <w:sz w:val="24"/>
            <w:szCs w:val="24"/>
          </w:rPr>
          <w:tab/>
        </w:r>
        <w:r w:rsidR="004E4C70" w:rsidRPr="004E4C70">
          <w:rPr>
            <w:rFonts w:ascii="Tw Cen MT" w:hAnsi="Tw Cen MT"/>
            <w:noProof/>
            <w:webHidden/>
            <w:sz w:val="24"/>
            <w:szCs w:val="24"/>
          </w:rPr>
          <w:fldChar w:fldCharType="begin"/>
        </w:r>
        <w:r w:rsidR="004E4C70" w:rsidRPr="004E4C70">
          <w:rPr>
            <w:rFonts w:ascii="Tw Cen MT" w:hAnsi="Tw Cen MT"/>
            <w:noProof/>
            <w:webHidden/>
            <w:sz w:val="24"/>
            <w:szCs w:val="24"/>
          </w:rPr>
          <w:instrText xml:space="preserve"> PAGEREF _Toc90995630 \h </w:instrText>
        </w:r>
        <w:r w:rsidR="004E4C70" w:rsidRPr="004E4C70">
          <w:rPr>
            <w:rFonts w:ascii="Tw Cen MT" w:hAnsi="Tw Cen MT"/>
            <w:noProof/>
            <w:webHidden/>
            <w:sz w:val="24"/>
            <w:szCs w:val="24"/>
          </w:rPr>
        </w:r>
        <w:r w:rsidR="004E4C70" w:rsidRPr="004E4C70">
          <w:rPr>
            <w:rFonts w:ascii="Tw Cen MT" w:hAnsi="Tw Cen MT"/>
            <w:noProof/>
            <w:webHidden/>
            <w:sz w:val="24"/>
            <w:szCs w:val="24"/>
          </w:rPr>
          <w:fldChar w:fldCharType="separate"/>
        </w:r>
        <w:r w:rsidR="00D22548">
          <w:rPr>
            <w:rFonts w:ascii="Tw Cen MT" w:hAnsi="Tw Cen MT"/>
            <w:noProof/>
            <w:webHidden/>
            <w:sz w:val="24"/>
            <w:szCs w:val="24"/>
          </w:rPr>
          <w:t>21</w:t>
        </w:r>
        <w:r w:rsidR="004E4C70" w:rsidRPr="004E4C70">
          <w:rPr>
            <w:rFonts w:ascii="Tw Cen MT" w:hAnsi="Tw Cen MT"/>
            <w:noProof/>
            <w:webHidden/>
            <w:sz w:val="24"/>
            <w:szCs w:val="24"/>
          </w:rPr>
          <w:fldChar w:fldCharType="end"/>
        </w:r>
      </w:hyperlink>
    </w:p>
    <w:p w14:paraId="34DA8BC3" w14:textId="19463A0F" w:rsidR="004E4C70" w:rsidRPr="004E4C70" w:rsidRDefault="004A5DB3" w:rsidP="004E4C70">
      <w:pPr>
        <w:pStyle w:val="Tabledesillustrations"/>
        <w:tabs>
          <w:tab w:val="right" w:leader="dot" w:pos="9060"/>
        </w:tabs>
        <w:spacing w:line="360" w:lineRule="auto"/>
        <w:rPr>
          <w:rFonts w:ascii="Tw Cen MT" w:hAnsi="Tw Cen MT"/>
          <w:noProof/>
          <w:sz w:val="24"/>
          <w:szCs w:val="24"/>
        </w:rPr>
      </w:pPr>
      <w:hyperlink w:anchor="_Toc90995631" w:history="1">
        <w:r w:rsidR="004E4C70" w:rsidRPr="004E4C70">
          <w:rPr>
            <w:rStyle w:val="Lienhypertexte"/>
            <w:rFonts w:ascii="Tw Cen MT" w:hAnsi="Tw Cen MT"/>
            <w:noProof/>
            <w:sz w:val="24"/>
            <w:szCs w:val="24"/>
          </w:rPr>
          <w:t>Tableau 9: Chronogramme indicatif de la mission</w:t>
        </w:r>
        <w:r w:rsidR="004E4C70" w:rsidRPr="004E4C70">
          <w:rPr>
            <w:rFonts w:ascii="Tw Cen MT" w:hAnsi="Tw Cen MT"/>
            <w:noProof/>
            <w:webHidden/>
            <w:sz w:val="24"/>
            <w:szCs w:val="24"/>
          </w:rPr>
          <w:tab/>
        </w:r>
        <w:r w:rsidR="004E4C70" w:rsidRPr="004E4C70">
          <w:rPr>
            <w:rFonts w:ascii="Tw Cen MT" w:hAnsi="Tw Cen MT"/>
            <w:noProof/>
            <w:webHidden/>
            <w:sz w:val="24"/>
            <w:szCs w:val="24"/>
          </w:rPr>
          <w:fldChar w:fldCharType="begin"/>
        </w:r>
        <w:r w:rsidR="004E4C70" w:rsidRPr="004E4C70">
          <w:rPr>
            <w:rFonts w:ascii="Tw Cen MT" w:hAnsi="Tw Cen MT"/>
            <w:noProof/>
            <w:webHidden/>
            <w:sz w:val="24"/>
            <w:szCs w:val="24"/>
          </w:rPr>
          <w:instrText xml:space="preserve"> PAGEREF _Toc90995631 \h </w:instrText>
        </w:r>
        <w:r w:rsidR="004E4C70" w:rsidRPr="004E4C70">
          <w:rPr>
            <w:rFonts w:ascii="Tw Cen MT" w:hAnsi="Tw Cen MT"/>
            <w:noProof/>
            <w:webHidden/>
            <w:sz w:val="24"/>
            <w:szCs w:val="24"/>
          </w:rPr>
        </w:r>
        <w:r w:rsidR="004E4C70" w:rsidRPr="004E4C70">
          <w:rPr>
            <w:rFonts w:ascii="Tw Cen MT" w:hAnsi="Tw Cen MT"/>
            <w:noProof/>
            <w:webHidden/>
            <w:sz w:val="24"/>
            <w:szCs w:val="24"/>
          </w:rPr>
          <w:fldChar w:fldCharType="separate"/>
        </w:r>
        <w:r w:rsidR="00D22548">
          <w:rPr>
            <w:rFonts w:ascii="Tw Cen MT" w:hAnsi="Tw Cen MT"/>
            <w:noProof/>
            <w:webHidden/>
            <w:sz w:val="24"/>
            <w:szCs w:val="24"/>
          </w:rPr>
          <w:t>23</w:t>
        </w:r>
        <w:r w:rsidR="004E4C70" w:rsidRPr="004E4C70">
          <w:rPr>
            <w:rFonts w:ascii="Tw Cen MT" w:hAnsi="Tw Cen MT"/>
            <w:noProof/>
            <w:webHidden/>
            <w:sz w:val="24"/>
            <w:szCs w:val="24"/>
          </w:rPr>
          <w:fldChar w:fldCharType="end"/>
        </w:r>
      </w:hyperlink>
    </w:p>
    <w:p w14:paraId="0BFA40E8" w14:textId="3F307CED" w:rsidR="00C16162" w:rsidRDefault="004E4C70" w:rsidP="004E4C70">
      <w:pPr>
        <w:spacing w:after="160" w:line="360" w:lineRule="auto"/>
        <w:rPr>
          <w:rFonts w:ascii="Tw Cen MT" w:hAnsi="Tw Cen MT"/>
          <w:sz w:val="24"/>
          <w:szCs w:val="24"/>
        </w:rPr>
      </w:pPr>
      <w:r w:rsidRPr="004E4C70">
        <w:rPr>
          <w:rFonts w:ascii="Tw Cen MT" w:hAnsi="Tw Cen MT"/>
          <w:sz w:val="24"/>
          <w:szCs w:val="24"/>
        </w:rPr>
        <w:fldChar w:fldCharType="end"/>
      </w:r>
    </w:p>
    <w:p w14:paraId="2CF3C546" w14:textId="1EE3D96F" w:rsidR="00C16162" w:rsidRDefault="00C16162">
      <w:pPr>
        <w:spacing w:after="160" w:line="259" w:lineRule="auto"/>
        <w:rPr>
          <w:rFonts w:ascii="Tw Cen MT" w:hAnsi="Tw Cen MT"/>
          <w:sz w:val="24"/>
          <w:szCs w:val="24"/>
        </w:rPr>
      </w:pPr>
      <w:r>
        <w:rPr>
          <w:rFonts w:ascii="Tw Cen MT" w:hAnsi="Tw Cen MT"/>
          <w:sz w:val="24"/>
          <w:szCs w:val="24"/>
        </w:rPr>
        <w:br w:type="page"/>
      </w:r>
    </w:p>
    <w:p w14:paraId="40F84E36" w14:textId="3898931A" w:rsidR="00776456" w:rsidRPr="006B671D" w:rsidRDefault="006B671D" w:rsidP="006B671D">
      <w:pPr>
        <w:pStyle w:val="En-ttedetabledesmatires"/>
        <w:shd w:val="clear" w:color="auto" w:fill="00B0F0"/>
        <w:spacing w:after="240" w:line="240" w:lineRule="auto"/>
        <w:jc w:val="center"/>
        <w:rPr>
          <w:rFonts w:ascii="Tw Cen MT" w:eastAsia="Times New Roman" w:hAnsi="Tw Cen MT" w:cs="Arial"/>
          <w:b/>
          <w:color w:val="FFFFFF" w:themeColor="background1"/>
          <w:sz w:val="28"/>
          <w:szCs w:val="28"/>
          <w:lang w:eastAsia="en-US"/>
        </w:rPr>
      </w:pPr>
      <w:r w:rsidRPr="006B671D">
        <w:rPr>
          <w:rFonts w:ascii="Tw Cen MT" w:hAnsi="Tw Cen MT"/>
          <w:b/>
          <w:bCs/>
          <w:color w:val="FFFFFF"/>
          <w:sz w:val="28"/>
          <w:szCs w:val="28"/>
        </w:rPr>
        <w:lastRenderedPageBreak/>
        <w:t>LISTE DES ABRÉVIATIONS</w:t>
      </w:r>
    </w:p>
    <w:tbl>
      <w:tblPr>
        <w:tblW w:w="9128" w:type="dxa"/>
        <w:tblCellMar>
          <w:left w:w="70" w:type="dxa"/>
          <w:right w:w="70" w:type="dxa"/>
        </w:tblCellMar>
        <w:tblLook w:val="04A0" w:firstRow="1" w:lastRow="0" w:firstColumn="1" w:lastColumn="0" w:noHBand="0" w:noVBand="1"/>
      </w:tblPr>
      <w:tblGrid>
        <w:gridCol w:w="1408"/>
        <w:gridCol w:w="7720"/>
      </w:tblGrid>
      <w:tr w:rsidR="00393A28" w:rsidRPr="00393A28" w14:paraId="622AE2BC" w14:textId="77777777" w:rsidTr="000211DC">
        <w:trPr>
          <w:trHeight w:val="330"/>
        </w:trPr>
        <w:tc>
          <w:tcPr>
            <w:tcW w:w="1408" w:type="dxa"/>
            <w:shd w:val="clear" w:color="auto" w:fill="auto"/>
            <w:vAlign w:val="center"/>
            <w:hideMark/>
          </w:tcPr>
          <w:p w14:paraId="4E22416B"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iCs/>
                <w:color w:val="000000"/>
                <w:sz w:val="24"/>
                <w:szCs w:val="24"/>
                <w:lang w:eastAsia="fr-FR"/>
              </w:rPr>
              <w:t>AMO</w:t>
            </w:r>
          </w:p>
        </w:tc>
        <w:tc>
          <w:tcPr>
            <w:tcW w:w="7720" w:type="dxa"/>
            <w:shd w:val="clear" w:color="auto" w:fill="auto"/>
            <w:vAlign w:val="center"/>
            <w:hideMark/>
          </w:tcPr>
          <w:p w14:paraId="13348DA6"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 xml:space="preserve">Assurance Maladie Obligatoire </w:t>
            </w:r>
          </w:p>
        </w:tc>
      </w:tr>
      <w:tr w:rsidR="00393A28" w:rsidRPr="00393A28" w14:paraId="202F46EB" w14:textId="77777777" w:rsidTr="000211DC">
        <w:trPr>
          <w:trHeight w:val="330"/>
        </w:trPr>
        <w:tc>
          <w:tcPr>
            <w:tcW w:w="1408" w:type="dxa"/>
            <w:shd w:val="clear" w:color="auto" w:fill="auto"/>
            <w:vAlign w:val="center"/>
            <w:hideMark/>
          </w:tcPr>
          <w:p w14:paraId="22492070"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BCEAO</w:t>
            </w:r>
          </w:p>
        </w:tc>
        <w:tc>
          <w:tcPr>
            <w:tcW w:w="7720" w:type="dxa"/>
            <w:shd w:val="clear" w:color="auto" w:fill="auto"/>
            <w:vAlign w:val="center"/>
            <w:hideMark/>
          </w:tcPr>
          <w:p w14:paraId="6A6E2FDE"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Banque Centrale des États de l’Afrique de l’Ouest</w:t>
            </w:r>
          </w:p>
        </w:tc>
      </w:tr>
      <w:tr w:rsidR="00393A28" w:rsidRPr="00393A28" w14:paraId="2B0B7509" w14:textId="77777777" w:rsidTr="000211DC">
        <w:trPr>
          <w:trHeight w:val="330"/>
        </w:trPr>
        <w:tc>
          <w:tcPr>
            <w:tcW w:w="1408" w:type="dxa"/>
            <w:shd w:val="clear" w:color="auto" w:fill="auto"/>
            <w:vAlign w:val="center"/>
            <w:hideMark/>
          </w:tcPr>
          <w:p w14:paraId="50C07518"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iCs/>
                <w:color w:val="000000"/>
                <w:sz w:val="24"/>
                <w:szCs w:val="24"/>
                <w:lang w:eastAsia="fr-FR"/>
              </w:rPr>
              <w:t>CAC</w:t>
            </w:r>
          </w:p>
        </w:tc>
        <w:tc>
          <w:tcPr>
            <w:tcW w:w="7720" w:type="dxa"/>
            <w:shd w:val="clear" w:color="auto" w:fill="auto"/>
            <w:vAlign w:val="center"/>
            <w:hideMark/>
          </w:tcPr>
          <w:p w14:paraId="0258FDC1"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Commissaire aux Comptes</w:t>
            </w:r>
          </w:p>
        </w:tc>
      </w:tr>
      <w:tr w:rsidR="00393A28" w:rsidRPr="00393A28" w14:paraId="7F3691FF" w14:textId="77777777" w:rsidTr="000211DC">
        <w:trPr>
          <w:trHeight w:val="330"/>
        </w:trPr>
        <w:tc>
          <w:tcPr>
            <w:tcW w:w="1408" w:type="dxa"/>
            <w:shd w:val="clear" w:color="auto" w:fill="auto"/>
            <w:vAlign w:val="center"/>
            <w:hideMark/>
          </w:tcPr>
          <w:p w14:paraId="71959C48"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 xml:space="preserve">CFE </w:t>
            </w:r>
          </w:p>
        </w:tc>
        <w:tc>
          <w:tcPr>
            <w:tcW w:w="7720" w:type="dxa"/>
            <w:shd w:val="clear" w:color="auto" w:fill="auto"/>
            <w:vAlign w:val="center"/>
            <w:hideMark/>
          </w:tcPr>
          <w:p w14:paraId="139967FA"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Contribution Forfaitaire à la Charge des Employeurs</w:t>
            </w:r>
          </w:p>
        </w:tc>
      </w:tr>
      <w:tr w:rsidR="00393A28" w:rsidRPr="00393A28" w14:paraId="036D7CFC" w14:textId="77777777" w:rsidTr="000211DC">
        <w:trPr>
          <w:trHeight w:val="330"/>
        </w:trPr>
        <w:tc>
          <w:tcPr>
            <w:tcW w:w="1408" w:type="dxa"/>
            <w:shd w:val="clear" w:color="auto" w:fill="auto"/>
            <w:vAlign w:val="center"/>
            <w:hideMark/>
          </w:tcPr>
          <w:p w14:paraId="6B8BDBF8"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 xml:space="preserve">CPS </w:t>
            </w:r>
          </w:p>
        </w:tc>
        <w:tc>
          <w:tcPr>
            <w:tcW w:w="7720" w:type="dxa"/>
            <w:shd w:val="clear" w:color="auto" w:fill="auto"/>
            <w:vAlign w:val="center"/>
            <w:hideMark/>
          </w:tcPr>
          <w:p w14:paraId="6F82AE81"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Cellule de planification et de Statistiques</w:t>
            </w:r>
          </w:p>
        </w:tc>
      </w:tr>
      <w:tr w:rsidR="00393A28" w:rsidRPr="00393A28" w14:paraId="6934BEB3" w14:textId="77777777" w:rsidTr="000211DC">
        <w:trPr>
          <w:trHeight w:val="330"/>
        </w:trPr>
        <w:tc>
          <w:tcPr>
            <w:tcW w:w="1408" w:type="dxa"/>
            <w:shd w:val="clear" w:color="auto" w:fill="auto"/>
            <w:vAlign w:val="center"/>
            <w:hideMark/>
          </w:tcPr>
          <w:p w14:paraId="1A60753D"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CPSR</w:t>
            </w:r>
          </w:p>
        </w:tc>
        <w:tc>
          <w:tcPr>
            <w:tcW w:w="7720" w:type="dxa"/>
            <w:shd w:val="clear" w:color="auto" w:fill="auto"/>
            <w:vAlign w:val="center"/>
            <w:hideMark/>
          </w:tcPr>
          <w:p w14:paraId="017E66A7"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Contribution pour Prestations de Services rendus</w:t>
            </w:r>
          </w:p>
        </w:tc>
      </w:tr>
      <w:tr w:rsidR="00393A28" w:rsidRPr="00393A28" w14:paraId="35395EFD" w14:textId="77777777" w:rsidTr="000211DC">
        <w:trPr>
          <w:trHeight w:val="330"/>
        </w:trPr>
        <w:tc>
          <w:tcPr>
            <w:tcW w:w="1408" w:type="dxa"/>
            <w:shd w:val="clear" w:color="auto" w:fill="auto"/>
            <w:vAlign w:val="center"/>
            <w:hideMark/>
          </w:tcPr>
          <w:p w14:paraId="2784D569"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DGCC</w:t>
            </w:r>
          </w:p>
        </w:tc>
        <w:tc>
          <w:tcPr>
            <w:tcW w:w="7720" w:type="dxa"/>
            <w:shd w:val="clear" w:color="auto" w:fill="auto"/>
            <w:vAlign w:val="center"/>
            <w:hideMark/>
          </w:tcPr>
          <w:p w14:paraId="2DFBF02B"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Direction Générale du Commerce, de la Consommation et de la Concurrence</w:t>
            </w:r>
          </w:p>
        </w:tc>
      </w:tr>
      <w:tr w:rsidR="00393A28" w:rsidRPr="00393A28" w14:paraId="2DBBC7EE" w14:textId="77777777" w:rsidTr="000211DC">
        <w:trPr>
          <w:trHeight w:val="330"/>
        </w:trPr>
        <w:tc>
          <w:tcPr>
            <w:tcW w:w="1408" w:type="dxa"/>
            <w:shd w:val="clear" w:color="auto" w:fill="auto"/>
            <w:vAlign w:val="center"/>
            <w:hideMark/>
          </w:tcPr>
          <w:p w14:paraId="74FDE0AE"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 xml:space="preserve">DGD </w:t>
            </w:r>
          </w:p>
        </w:tc>
        <w:tc>
          <w:tcPr>
            <w:tcW w:w="7720" w:type="dxa"/>
            <w:shd w:val="clear" w:color="auto" w:fill="auto"/>
            <w:vAlign w:val="center"/>
            <w:hideMark/>
          </w:tcPr>
          <w:p w14:paraId="4AA16C12"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Direction Générale de la Douane</w:t>
            </w:r>
          </w:p>
        </w:tc>
      </w:tr>
      <w:tr w:rsidR="00393A28" w:rsidRPr="00393A28" w14:paraId="0F8D0C48" w14:textId="77777777" w:rsidTr="000211DC">
        <w:trPr>
          <w:trHeight w:val="330"/>
        </w:trPr>
        <w:tc>
          <w:tcPr>
            <w:tcW w:w="1408" w:type="dxa"/>
            <w:shd w:val="clear" w:color="auto" w:fill="auto"/>
            <w:vAlign w:val="center"/>
            <w:hideMark/>
          </w:tcPr>
          <w:p w14:paraId="17F1C3B0"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 xml:space="preserve">DGE </w:t>
            </w:r>
          </w:p>
        </w:tc>
        <w:tc>
          <w:tcPr>
            <w:tcW w:w="7720" w:type="dxa"/>
            <w:shd w:val="clear" w:color="auto" w:fill="auto"/>
            <w:vAlign w:val="center"/>
            <w:hideMark/>
          </w:tcPr>
          <w:p w14:paraId="30ED02B1"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Direction des Grandes Entreprises</w:t>
            </w:r>
          </w:p>
        </w:tc>
      </w:tr>
      <w:tr w:rsidR="00393A28" w:rsidRPr="00393A28" w14:paraId="39E0E8CB" w14:textId="77777777" w:rsidTr="000211DC">
        <w:trPr>
          <w:trHeight w:val="330"/>
        </w:trPr>
        <w:tc>
          <w:tcPr>
            <w:tcW w:w="1408" w:type="dxa"/>
            <w:shd w:val="clear" w:color="auto" w:fill="auto"/>
            <w:vAlign w:val="center"/>
            <w:hideMark/>
          </w:tcPr>
          <w:p w14:paraId="311CE0AD"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 xml:space="preserve">DGI </w:t>
            </w:r>
          </w:p>
        </w:tc>
        <w:tc>
          <w:tcPr>
            <w:tcW w:w="7720" w:type="dxa"/>
            <w:shd w:val="clear" w:color="auto" w:fill="auto"/>
            <w:vAlign w:val="center"/>
            <w:hideMark/>
          </w:tcPr>
          <w:p w14:paraId="3BE4215E"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Direction Générale des Impôts</w:t>
            </w:r>
          </w:p>
        </w:tc>
      </w:tr>
      <w:tr w:rsidR="00393A28" w:rsidRPr="00393A28" w14:paraId="288CF930" w14:textId="77777777" w:rsidTr="000211DC">
        <w:trPr>
          <w:trHeight w:val="330"/>
        </w:trPr>
        <w:tc>
          <w:tcPr>
            <w:tcW w:w="1408" w:type="dxa"/>
            <w:shd w:val="clear" w:color="auto" w:fill="auto"/>
            <w:vAlign w:val="center"/>
            <w:hideMark/>
          </w:tcPr>
          <w:p w14:paraId="044F7ED4"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 xml:space="preserve">DNB </w:t>
            </w:r>
          </w:p>
        </w:tc>
        <w:tc>
          <w:tcPr>
            <w:tcW w:w="7720" w:type="dxa"/>
            <w:shd w:val="clear" w:color="auto" w:fill="auto"/>
            <w:vAlign w:val="center"/>
            <w:hideMark/>
          </w:tcPr>
          <w:p w14:paraId="78C13EA3"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Direction Nationale du Budget</w:t>
            </w:r>
          </w:p>
        </w:tc>
      </w:tr>
      <w:tr w:rsidR="00393A28" w:rsidRPr="00393A28" w14:paraId="623EB44D" w14:textId="77777777" w:rsidTr="000211DC">
        <w:trPr>
          <w:trHeight w:val="330"/>
        </w:trPr>
        <w:tc>
          <w:tcPr>
            <w:tcW w:w="1408" w:type="dxa"/>
            <w:shd w:val="clear" w:color="auto" w:fill="auto"/>
            <w:vAlign w:val="center"/>
            <w:hideMark/>
          </w:tcPr>
          <w:p w14:paraId="43407796"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 xml:space="preserve">DND </w:t>
            </w:r>
          </w:p>
        </w:tc>
        <w:tc>
          <w:tcPr>
            <w:tcW w:w="7720" w:type="dxa"/>
            <w:shd w:val="clear" w:color="auto" w:fill="auto"/>
            <w:vAlign w:val="center"/>
            <w:hideMark/>
          </w:tcPr>
          <w:p w14:paraId="1B388478"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Direction Nationale des Domaines</w:t>
            </w:r>
          </w:p>
        </w:tc>
      </w:tr>
      <w:tr w:rsidR="00393A28" w:rsidRPr="00393A28" w14:paraId="67328996" w14:textId="77777777" w:rsidTr="000211DC">
        <w:trPr>
          <w:trHeight w:val="330"/>
        </w:trPr>
        <w:tc>
          <w:tcPr>
            <w:tcW w:w="1408" w:type="dxa"/>
            <w:shd w:val="clear" w:color="auto" w:fill="auto"/>
            <w:vAlign w:val="center"/>
            <w:hideMark/>
          </w:tcPr>
          <w:p w14:paraId="1A97DD78"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 xml:space="preserve">DNGM </w:t>
            </w:r>
          </w:p>
        </w:tc>
        <w:tc>
          <w:tcPr>
            <w:tcW w:w="7720" w:type="dxa"/>
            <w:shd w:val="clear" w:color="auto" w:fill="auto"/>
            <w:vAlign w:val="center"/>
            <w:hideMark/>
          </w:tcPr>
          <w:p w14:paraId="4F1802DC"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Direction Nationale de la Géologie et des Mines</w:t>
            </w:r>
          </w:p>
        </w:tc>
      </w:tr>
      <w:tr w:rsidR="00393A28" w:rsidRPr="00393A28" w14:paraId="4D6E3887" w14:textId="77777777" w:rsidTr="000211DC">
        <w:trPr>
          <w:trHeight w:val="330"/>
        </w:trPr>
        <w:tc>
          <w:tcPr>
            <w:tcW w:w="1408" w:type="dxa"/>
            <w:shd w:val="clear" w:color="auto" w:fill="auto"/>
            <w:vAlign w:val="center"/>
            <w:hideMark/>
          </w:tcPr>
          <w:p w14:paraId="18D52D44"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DNTCP</w:t>
            </w:r>
          </w:p>
        </w:tc>
        <w:tc>
          <w:tcPr>
            <w:tcW w:w="7720" w:type="dxa"/>
            <w:shd w:val="clear" w:color="auto" w:fill="auto"/>
            <w:vAlign w:val="center"/>
            <w:hideMark/>
          </w:tcPr>
          <w:p w14:paraId="45364126"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Direction Nationale du Trésor et de la Comptabilité Publique</w:t>
            </w:r>
          </w:p>
        </w:tc>
      </w:tr>
      <w:tr w:rsidR="00393A28" w:rsidRPr="00393A28" w14:paraId="604659CF" w14:textId="77777777" w:rsidTr="000211DC">
        <w:trPr>
          <w:trHeight w:val="330"/>
        </w:trPr>
        <w:tc>
          <w:tcPr>
            <w:tcW w:w="1408" w:type="dxa"/>
            <w:shd w:val="clear" w:color="auto" w:fill="auto"/>
            <w:vAlign w:val="center"/>
            <w:hideMark/>
          </w:tcPr>
          <w:p w14:paraId="187B7833"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FCFA</w:t>
            </w:r>
          </w:p>
        </w:tc>
        <w:tc>
          <w:tcPr>
            <w:tcW w:w="7720" w:type="dxa"/>
            <w:shd w:val="clear" w:color="auto" w:fill="auto"/>
            <w:vAlign w:val="center"/>
            <w:hideMark/>
          </w:tcPr>
          <w:p w14:paraId="53BEF83F"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Franc de la Communauté financière africaine</w:t>
            </w:r>
          </w:p>
        </w:tc>
      </w:tr>
      <w:tr w:rsidR="00393A28" w:rsidRPr="00393A28" w14:paraId="4383311B" w14:textId="77777777" w:rsidTr="000211DC">
        <w:trPr>
          <w:trHeight w:val="330"/>
        </w:trPr>
        <w:tc>
          <w:tcPr>
            <w:tcW w:w="1408" w:type="dxa"/>
            <w:shd w:val="clear" w:color="auto" w:fill="auto"/>
            <w:vAlign w:val="center"/>
            <w:hideMark/>
          </w:tcPr>
          <w:p w14:paraId="05F03AA3"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IBIC</w:t>
            </w:r>
          </w:p>
        </w:tc>
        <w:tc>
          <w:tcPr>
            <w:tcW w:w="7720" w:type="dxa"/>
            <w:shd w:val="clear" w:color="auto" w:fill="auto"/>
            <w:vAlign w:val="center"/>
            <w:hideMark/>
          </w:tcPr>
          <w:p w14:paraId="6C0629EC" w14:textId="3B620D89"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Imp</w:t>
            </w:r>
            <w:r w:rsidR="00CC1399">
              <w:rPr>
                <w:rFonts w:ascii="Tw Cen MT" w:hAnsi="Tw Cen MT" w:cs="Calibri"/>
                <w:color w:val="000000"/>
                <w:sz w:val="24"/>
                <w:szCs w:val="24"/>
                <w:lang w:eastAsia="fr-FR"/>
              </w:rPr>
              <w:t>ô</w:t>
            </w:r>
            <w:r w:rsidRPr="00393A28">
              <w:rPr>
                <w:rFonts w:ascii="Tw Cen MT" w:hAnsi="Tw Cen MT" w:cs="Calibri"/>
                <w:color w:val="000000"/>
                <w:sz w:val="24"/>
                <w:szCs w:val="24"/>
                <w:lang w:eastAsia="fr-FR"/>
              </w:rPr>
              <w:t xml:space="preserve">t sur les Bénéfices Industriels et Commerciaux </w:t>
            </w:r>
          </w:p>
        </w:tc>
      </w:tr>
      <w:tr w:rsidR="00393A28" w:rsidRPr="00393A28" w14:paraId="7D2CE3EB" w14:textId="77777777" w:rsidTr="000211DC">
        <w:trPr>
          <w:trHeight w:val="330"/>
        </w:trPr>
        <w:tc>
          <w:tcPr>
            <w:tcW w:w="1408" w:type="dxa"/>
            <w:shd w:val="clear" w:color="auto" w:fill="auto"/>
            <w:vAlign w:val="center"/>
            <w:hideMark/>
          </w:tcPr>
          <w:p w14:paraId="1AFFA1B7"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IFAC</w:t>
            </w:r>
          </w:p>
        </w:tc>
        <w:tc>
          <w:tcPr>
            <w:tcW w:w="7720" w:type="dxa"/>
            <w:shd w:val="clear" w:color="auto" w:fill="auto"/>
            <w:vAlign w:val="center"/>
            <w:hideMark/>
          </w:tcPr>
          <w:p w14:paraId="5BEBB934"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International Federation of Accountants</w:t>
            </w:r>
          </w:p>
        </w:tc>
      </w:tr>
      <w:tr w:rsidR="00393A28" w:rsidRPr="00393A28" w14:paraId="4BD8EF92" w14:textId="77777777" w:rsidTr="000211DC">
        <w:trPr>
          <w:trHeight w:val="330"/>
        </w:trPr>
        <w:tc>
          <w:tcPr>
            <w:tcW w:w="1408" w:type="dxa"/>
            <w:shd w:val="clear" w:color="auto" w:fill="auto"/>
            <w:vAlign w:val="center"/>
            <w:hideMark/>
          </w:tcPr>
          <w:p w14:paraId="3E309B04"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 xml:space="preserve">INPS </w:t>
            </w:r>
          </w:p>
        </w:tc>
        <w:tc>
          <w:tcPr>
            <w:tcW w:w="7720" w:type="dxa"/>
            <w:shd w:val="clear" w:color="auto" w:fill="auto"/>
            <w:vAlign w:val="center"/>
            <w:hideMark/>
          </w:tcPr>
          <w:p w14:paraId="69B7D0FA"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Institut National de Prévoyance Sociale</w:t>
            </w:r>
          </w:p>
        </w:tc>
      </w:tr>
      <w:tr w:rsidR="00393A28" w:rsidRPr="00393A28" w14:paraId="688AFF40" w14:textId="77777777" w:rsidTr="000211DC">
        <w:trPr>
          <w:trHeight w:val="330"/>
        </w:trPr>
        <w:tc>
          <w:tcPr>
            <w:tcW w:w="1408" w:type="dxa"/>
            <w:shd w:val="clear" w:color="auto" w:fill="auto"/>
            <w:vAlign w:val="center"/>
            <w:hideMark/>
          </w:tcPr>
          <w:p w14:paraId="5C6B8B54"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INSTAT</w:t>
            </w:r>
          </w:p>
        </w:tc>
        <w:tc>
          <w:tcPr>
            <w:tcW w:w="7720" w:type="dxa"/>
            <w:shd w:val="clear" w:color="auto" w:fill="auto"/>
            <w:vAlign w:val="center"/>
            <w:hideMark/>
          </w:tcPr>
          <w:p w14:paraId="24CD06CF"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Institut National de la Statistique</w:t>
            </w:r>
          </w:p>
        </w:tc>
      </w:tr>
      <w:tr w:rsidR="00393A28" w:rsidRPr="00393A28" w14:paraId="5B78A77C" w14:textId="77777777" w:rsidTr="000211DC">
        <w:trPr>
          <w:trHeight w:val="330"/>
        </w:trPr>
        <w:tc>
          <w:tcPr>
            <w:tcW w:w="1408" w:type="dxa"/>
            <w:shd w:val="clear" w:color="auto" w:fill="auto"/>
            <w:vAlign w:val="center"/>
            <w:hideMark/>
          </w:tcPr>
          <w:p w14:paraId="376F221A"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 xml:space="preserve">IRF </w:t>
            </w:r>
          </w:p>
        </w:tc>
        <w:tc>
          <w:tcPr>
            <w:tcW w:w="7720" w:type="dxa"/>
            <w:shd w:val="clear" w:color="auto" w:fill="auto"/>
            <w:vAlign w:val="center"/>
            <w:hideMark/>
          </w:tcPr>
          <w:p w14:paraId="3D7C0FD8"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Impôt sur le Revenu Foncier</w:t>
            </w:r>
          </w:p>
        </w:tc>
      </w:tr>
      <w:tr w:rsidR="00393A28" w:rsidRPr="00393A28" w14:paraId="234751CE" w14:textId="77777777" w:rsidTr="000211DC">
        <w:trPr>
          <w:trHeight w:val="330"/>
        </w:trPr>
        <w:tc>
          <w:tcPr>
            <w:tcW w:w="1408" w:type="dxa"/>
            <w:shd w:val="clear" w:color="auto" w:fill="auto"/>
            <w:vAlign w:val="center"/>
            <w:hideMark/>
          </w:tcPr>
          <w:p w14:paraId="3EBE2DF8"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 xml:space="preserve">IRVM </w:t>
            </w:r>
          </w:p>
        </w:tc>
        <w:tc>
          <w:tcPr>
            <w:tcW w:w="7720" w:type="dxa"/>
            <w:shd w:val="clear" w:color="auto" w:fill="auto"/>
            <w:vAlign w:val="center"/>
            <w:hideMark/>
          </w:tcPr>
          <w:p w14:paraId="20F6487B"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Impôt sur le Revenu des Valeurs Mobilières</w:t>
            </w:r>
          </w:p>
        </w:tc>
      </w:tr>
      <w:tr w:rsidR="00393A28" w:rsidRPr="00393A28" w14:paraId="14B4AB17" w14:textId="77777777" w:rsidTr="000211DC">
        <w:trPr>
          <w:trHeight w:val="330"/>
        </w:trPr>
        <w:tc>
          <w:tcPr>
            <w:tcW w:w="1408" w:type="dxa"/>
            <w:shd w:val="clear" w:color="auto" w:fill="auto"/>
            <w:vAlign w:val="center"/>
            <w:hideMark/>
          </w:tcPr>
          <w:p w14:paraId="021A0B61"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 xml:space="preserve">IS </w:t>
            </w:r>
          </w:p>
        </w:tc>
        <w:tc>
          <w:tcPr>
            <w:tcW w:w="7720" w:type="dxa"/>
            <w:shd w:val="clear" w:color="auto" w:fill="auto"/>
            <w:vAlign w:val="center"/>
            <w:hideMark/>
          </w:tcPr>
          <w:p w14:paraId="3C333CEA"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Impôt sur les Sociétés</w:t>
            </w:r>
          </w:p>
        </w:tc>
      </w:tr>
      <w:tr w:rsidR="00393A28" w:rsidRPr="00393A28" w14:paraId="060D2284" w14:textId="77777777" w:rsidTr="000211DC">
        <w:trPr>
          <w:trHeight w:val="330"/>
        </w:trPr>
        <w:tc>
          <w:tcPr>
            <w:tcW w:w="1408" w:type="dxa"/>
            <w:shd w:val="clear" w:color="auto" w:fill="auto"/>
            <w:vAlign w:val="center"/>
            <w:hideMark/>
          </w:tcPr>
          <w:p w14:paraId="72143FCF"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ISCP</w:t>
            </w:r>
          </w:p>
        </w:tc>
        <w:tc>
          <w:tcPr>
            <w:tcW w:w="7720" w:type="dxa"/>
            <w:shd w:val="clear" w:color="auto" w:fill="auto"/>
            <w:vAlign w:val="center"/>
            <w:hideMark/>
          </w:tcPr>
          <w:p w14:paraId="0DE0D9B8"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Impôt Spécial sur Certains Produits</w:t>
            </w:r>
          </w:p>
        </w:tc>
      </w:tr>
      <w:tr w:rsidR="00393A28" w:rsidRPr="00A32D70" w14:paraId="4AFAE7AB" w14:textId="77777777" w:rsidTr="000211DC">
        <w:trPr>
          <w:trHeight w:val="330"/>
        </w:trPr>
        <w:tc>
          <w:tcPr>
            <w:tcW w:w="1408" w:type="dxa"/>
            <w:shd w:val="clear" w:color="auto" w:fill="auto"/>
            <w:vAlign w:val="center"/>
            <w:hideMark/>
          </w:tcPr>
          <w:p w14:paraId="40F1DE0C"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ISRS</w:t>
            </w:r>
          </w:p>
        </w:tc>
        <w:tc>
          <w:tcPr>
            <w:tcW w:w="7720" w:type="dxa"/>
            <w:shd w:val="clear" w:color="auto" w:fill="auto"/>
            <w:vAlign w:val="center"/>
            <w:hideMark/>
          </w:tcPr>
          <w:p w14:paraId="19E03FC3" w14:textId="77777777" w:rsidR="00393A28" w:rsidRPr="00393A28" w:rsidRDefault="00393A28" w:rsidP="00393A28">
            <w:pPr>
              <w:rPr>
                <w:rFonts w:ascii="Tw Cen MT" w:hAnsi="Tw Cen MT" w:cs="Calibri"/>
                <w:color w:val="000000"/>
                <w:sz w:val="24"/>
                <w:szCs w:val="24"/>
                <w:lang w:val="en-US" w:eastAsia="fr-FR"/>
              </w:rPr>
            </w:pPr>
            <w:r w:rsidRPr="00393A28">
              <w:rPr>
                <w:rFonts w:ascii="Tw Cen MT" w:hAnsi="Tw Cen MT" w:cs="Calibri"/>
                <w:color w:val="000000"/>
                <w:sz w:val="24"/>
                <w:szCs w:val="24"/>
                <w:lang w:val="en-US" w:eastAsia="fr-FR"/>
              </w:rPr>
              <w:t>International Standard on Related Services</w:t>
            </w:r>
          </w:p>
        </w:tc>
      </w:tr>
      <w:tr w:rsidR="00393A28" w:rsidRPr="00393A28" w14:paraId="1AAF6215" w14:textId="77777777" w:rsidTr="000211DC">
        <w:trPr>
          <w:trHeight w:val="330"/>
        </w:trPr>
        <w:tc>
          <w:tcPr>
            <w:tcW w:w="1408" w:type="dxa"/>
            <w:shd w:val="clear" w:color="auto" w:fill="auto"/>
            <w:vAlign w:val="center"/>
            <w:hideMark/>
          </w:tcPr>
          <w:p w14:paraId="16965E12"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ITIE</w:t>
            </w:r>
          </w:p>
        </w:tc>
        <w:tc>
          <w:tcPr>
            <w:tcW w:w="7720" w:type="dxa"/>
            <w:shd w:val="clear" w:color="auto" w:fill="auto"/>
            <w:vAlign w:val="center"/>
            <w:hideMark/>
          </w:tcPr>
          <w:p w14:paraId="21A38EF0"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Initiative pour la Transparence dans les Industries Extractives</w:t>
            </w:r>
          </w:p>
        </w:tc>
      </w:tr>
      <w:tr w:rsidR="00393A28" w:rsidRPr="00393A28" w14:paraId="4930095B" w14:textId="77777777" w:rsidTr="000211DC">
        <w:trPr>
          <w:trHeight w:val="330"/>
        </w:trPr>
        <w:tc>
          <w:tcPr>
            <w:tcW w:w="1408" w:type="dxa"/>
            <w:shd w:val="clear" w:color="auto" w:fill="auto"/>
            <w:vAlign w:val="center"/>
            <w:hideMark/>
          </w:tcPr>
          <w:p w14:paraId="555291C0"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 xml:space="preserve">ITS </w:t>
            </w:r>
          </w:p>
        </w:tc>
        <w:tc>
          <w:tcPr>
            <w:tcW w:w="7720" w:type="dxa"/>
            <w:shd w:val="clear" w:color="auto" w:fill="auto"/>
            <w:vAlign w:val="center"/>
            <w:hideMark/>
          </w:tcPr>
          <w:p w14:paraId="5BAE4F96"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Impôt sur les Traitements et Salaires</w:t>
            </w:r>
          </w:p>
        </w:tc>
      </w:tr>
      <w:tr w:rsidR="00393A28" w:rsidRPr="00393A28" w14:paraId="29F33DBD" w14:textId="77777777" w:rsidTr="000211DC">
        <w:trPr>
          <w:trHeight w:val="330"/>
        </w:trPr>
        <w:tc>
          <w:tcPr>
            <w:tcW w:w="1408" w:type="dxa"/>
            <w:shd w:val="clear" w:color="auto" w:fill="auto"/>
            <w:vAlign w:val="center"/>
            <w:hideMark/>
          </w:tcPr>
          <w:p w14:paraId="52E3B60F"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NIF</w:t>
            </w:r>
          </w:p>
        </w:tc>
        <w:tc>
          <w:tcPr>
            <w:tcW w:w="7720" w:type="dxa"/>
            <w:shd w:val="clear" w:color="auto" w:fill="auto"/>
            <w:vAlign w:val="center"/>
            <w:hideMark/>
          </w:tcPr>
          <w:p w14:paraId="04CC3AAA"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Numéro d’Identification Fiscal</w:t>
            </w:r>
          </w:p>
        </w:tc>
      </w:tr>
      <w:tr w:rsidR="00393A28" w:rsidRPr="00393A28" w14:paraId="5DD213CA" w14:textId="77777777" w:rsidTr="000211DC">
        <w:trPr>
          <w:trHeight w:val="330"/>
        </w:trPr>
        <w:tc>
          <w:tcPr>
            <w:tcW w:w="1408" w:type="dxa"/>
            <w:shd w:val="clear" w:color="auto" w:fill="auto"/>
            <w:vAlign w:val="center"/>
            <w:hideMark/>
          </w:tcPr>
          <w:p w14:paraId="7394350D"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ONRP</w:t>
            </w:r>
          </w:p>
        </w:tc>
        <w:tc>
          <w:tcPr>
            <w:tcW w:w="7720" w:type="dxa"/>
            <w:shd w:val="clear" w:color="auto" w:fill="auto"/>
            <w:vAlign w:val="center"/>
            <w:hideMark/>
          </w:tcPr>
          <w:p w14:paraId="17C4392C"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Office Nationale de la Recherche Pétrolière au Mali</w:t>
            </w:r>
          </w:p>
        </w:tc>
      </w:tr>
      <w:tr w:rsidR="00393A28" w:rsidRPr="00393A28" w14:paraId="77CE4237" w14:textId="77777777" w:rsidTr="000211DC">
        <w:trPr>
          <w:trHeight w:val="330"/>
        </w:trPr>
        <w:tc>
          <w:tcPr>
            <w:tcW w:w="1408" w:type="dxa"/>
            <w:shd w:val="clear" w:color="auto" w:fill="auto"/>
            <w:vAlign w:val="center"/>
            <w:hideMark/>
          </w:tcPr>
          <w:p w14:paraId="5F4E1F2C"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PGSM</w:t>
            </w:r>
          </w:p>
        </w:tc>
        <w:tc>
          <w:tcPr>
            <w:tcW w:w="7720" w:type="dxa"/>
            <w:shd w:val="clear" w:color="auto" w:fill="auto"/>
            <w:vAlign w:val="center"/>
            <w:hideMark/>
          </w:tcPr>
          <w:p w14:paraId="530EBF50"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 xml:space="preserve">Projet de Gouvernance du Secteur des Mines </w:t>
            </w:r>
          </w:p>
        </w:tc>
      </w:tr>
      <w:tr w:rsidR="00393A28" w:rsidRPr="00393A28" w14:paraId="45EF7B7D" w14:textId="77777777" w:rsidTr="000211DC">
        <w:trPr>
          <w:trHeight w:val="330"/>
        </w:trPr>
        <w:tc>
          <w:tcPr>
            <w:tcW w:w="1408" w:type="dxa"/>
            <w:shd w:val="clear" w:color="auto" w:fill="auto"/>
            <w:vAlign w:val="center"/>
            <w:hideMark/>
          </w:tcPr>
          <w:p w14:paraId="3ECF363C"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 xml:space="preserve">TAV </w:t>
            </w:r>
          </w:p>
        </w:tc>
        <w:tc>
          <w:tcPr>
            <w:tcW w:w="7720" w:type="dxa"/>
            <w:shd w:val="clear" w:color="auto" w:fill="auto"/>
            <w:vAlign w:val="center"/>
            <w:hideMark/>
          </w:tcPr>
          <w:p w14:paraId="2E60782F"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Taxe Ad Valorem</w:t>
            </w:r>
          </w:p>
        </w:tc>
      </w:tr>
      <w:tr w:rsidR="00393A28" w:rsidRPr="00393A28" w14:paraId="7BA58851" w14:textId="77777777" w:rsidTr="000211DC">
        <w:trPr>
          <w:trHeight w:val="330"/>
        </w:trPr>
        <w:tc>
          <w:tcPr>
            <w:tcW w:w="1408" w:type="dxa"/>
            <w:shd w:val="clear" w:color="auto" w:fill="auto"/>
            <w:vAlign w:val="center"/>
            <w:hideMark/>
          </w:tcPr>
          <w:p w14:paraId="0F615124"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TEJ</w:t>
            </w:r>
          </w:p>
        </w:tc>
        <w:tc>
          <w:tcPr>
            <w:tcW w:w="7720" w:type="dxa"/>
            <w:shd w:val="clear" w:color="auto" w:fill="auto"/>
            <w:vAlign w:val="center"/>
            <w:hideMark/>
          </w:tcPr>
          <w:p w14:paraId="237286AE"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Taxe Emploi Jeune</w:t>
            </w:r>
          </w:p>
        </w:tc>
      </w:tr>
      <w:tr w:rsidR="00393A28" w:rsidRPr="00393A28" w14:paraId="50BC1829" w14:textId="77777777" w:rsidTr="000211DC">
        <w:trPr>
          <w:trHeight w:val="330"/>
        </w:trPr>
        <w:tc>
          <w:tcPr>
            <w:tcW w:w="1408" w:type="dxa"/>
            <w:shd w:val="clear" w:color="auto" w:fill="auto"/>
            <w:vAlign w:val="center"/>
            <w:hideMark/>
          </w:tcPr>
          <w:p w14:paraId="186B73BB"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 xml:space="preserve">TFP </w:t>
            </w:r>
          </w:p>
        </w:tc>
        <w:tc>
          <w:tcPr>
            <w:tcW w:w="7720" w:type="dxa"/>
            <w:shd w:val="clear" w:color="auto" w:fill="auto"/>
            <w:vAlign w:val="center"/>
            <w:hideMark/>
          </w:tcPr>
          <w:p w14:paraId="6D437A6A"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Taxe de Formation Professionnelle</w:t>
            </w:r>
          </w:p>
        </w:tc>
      </w:tr>
      <w:tr w:rsidR="00393A28" w:rsidRPr="00393A28" w14:paraId="6103E9AE" w14:textId="77777777" w:rsidTr="000211DC">
        <w:trPr>
          <w:trHeight w:val="330"/>
        </w:trPr>
        <w:tc>
          <w:tcPr>
            <w:tcW w:w="1408" w:type="dxa"/>
            <w:shd w:val="clear" w:color="auto" w:fill="auto"/>
            <w:vAlign w:val="center"/>
            <w:hideMark/>
          </w:tcPr>
          <w:p w14:paraId="5AF7CD36"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TL</w:t>
            </w:r>
          </w:p>
        </w:tc>
        <w:tc>
          <w:tcPr>
            <w:tcW w:w="7720" w:type="dxa"/>
            <w:shd w:val="clear" w:color="auto" w:fill="auto"/>
            <w:vAlign w:val="center"/>
            <w:hideMark/>
          </w:tcPr>
          <w:p w14:paraId="6F88752B"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Taxe de Logement</w:t>
            </w:r>
          </w:p>
        </w:tc>
      </w:tr>
      <w:tr w:rsidR="00393A28" w:rsidRPr="00393A28" w14:paraId="34C702E0" w14:textId="77777777" w:rsidTr="000211DC">
        <w:trPr>
          <w:trHeight w:val="330"/>
        </w:trPr>
        <w:tc>
          <w:tcPr>
            <w:tcW w:w="1408" w:type="dxa"/>
            <w:shd w:val="clear" w:color="auto" w:fill="auto"/>
            <w:vAlign w:val="center"/>
            <w:hideMark/>
          </w:tcPr>
          <w:p w14:paraId="6E28AA2D"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TOFE</w:t>
            </w:r>
          </w:p>
        </w:tc>
        <w:tc>
          <w:tcPr>
            <w:tcW w:w="7720" w:type="dxa"/>
            <w:shd w:val="clear" w:color="auto" w:fill="auto"/>
            <w:vAlign w:val="center"/>
            <w:hideMark/>
          </w:tcPr>
          <w:p w14:paraId="291564C1"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Tableau des Opérations Financières de l'État</w:t>
            </w:r>
          </w:p>
        </w:tc>
      </w:tr>
      <w:tr w:rsidR="00393A28" w:rsidRPr="00393A28" w14:paraId="46A2DEEA" w14:textId="77777777" w:rsidTr="000211DC">
        <w:trPr>
          <w:trHeight w:val="330"/>
        </w:trPr>
        <w:tc>
          <w:tcPr>
            <w:tcW w:w="1408" w:type="dxa"/>
            <w:shd w:val="clear" w:color="auto" w:fill="auto"/>
            <w:vAlign w:val="center"/>
            <w:hideMark/>
          </w:tcPr>
          <w:p w14:paraId="51C61F25" w14:textId="77777777" w:rsidR="00393A28" w:rsidRPr="00393A28" w:rsidRDefault="00393A28" w:rsidP="00393A28">
            <w:pPr>
              <w:rPr>
                <w:rFonts w:ascii="Tw Cen MT" w:hAnsi="Tw Cen MT" w:cs="Calibri"/>
                <w:b/>
                <w:bCs/>
                <w:color w:val="000000"/>
                <w:sz w:val="24"/>
                <w:szCs w:val="24"/>
                <w:lang w:eastAsia="fr-FR"/>
              </w:rPr>
            </w:pPr>
            <w:r w:rsidRPr="00393A28">
              <w:rPr>
                <w:rFonts w:ascii="Tw Cen MT" w:hAnsi="Tw Cen MT" w:cs="Calibri"/>
                <w:b/>
                <w:bCs/>
                <w:color w:val="000000"/>
                <w:sz w:val="24"/>
                <w:szCs w:val="24"/>
                <w:lang w:eastAsia="fr-FR"/>
              </w:rPr>
              <w:t xml:space="preserve">TVA </w:t>
            </w:r>
          </w:p>
        </w:tc>
        <w:tc>
          <w:tcPr>
            <w:tcW w:w="7720" w:type="dxa"/>
            <w:shd w:val="clear" w:color="auto" w:fill="auto"/>
            <w:vAlign w:val="center"/>
            <w:hideMark/>
          </w:tcPr>
          <w:p w14:paraId="38A5AB21" w14:textId="77777777" w:rsidR="00393A28" w:rsidRPr="00393A28" w:rsidRDefault="00393A28" w:rsidP="00393A28">
            <w:pPr>
              <w:rPr>
                <w:rFonts w:ascii="Tw Cen MT" w:hAnsi="Tw Cen MT" w:cs="Calibri"/>
                <w:color w:val="000000"/>
                <w:sz w:val="24"/>
                <w:szCs w:val="24"/>
                <w:lang w:eastAsia="fr-FR"/>
              </w:rPr>
            </w:pPr>
            <w:r w:rsidRPr="00393A28">
              <w:rPr>
                <w:rFonts w:ascii="Tw Cen MT" w:hAnsi="Tw Cen MT" w:cs="Calibri"/>
                <w:color w:val="000000"/>
                <w:sz w:val="24"/>
                <w:szCs w:val="24"/>
                <w:lang w:eastAsia="fr-FR"/>
              </w:rPr>
              <w:t>Taxe sur la Valeur Ajoutée</w:t>
            </w:r>
          </w:p>
        </w:tc>
      </w:tr>
    </w:tbl>
    <w:p w14:paraId="475B46AF" w14:textId="77777777" w:rsidR="00393A28" w:rsidRDefault="00393A28" w:rsidP="00080080">
      <w:pPr>
        <w:spacing w:line="360" w:lineRule="auto"/>
        <w:rPr>
          <w:rFonts w:ascii="Tw Cen MT" w:hAnsi="Tw Cen MT"/>
          <w:sz w:val="24"/>
          <w:szCs w:val="24"/>
        </w:rPr>
      </w:pPr>
    </w:p>
    <w:p w14:paraId="605C0E74" w14:textId="46A3671C" w:rsidR="00393A28" w:rsidRDefault="00393A28" w:rsidP="00080080">
      <w:pPr>
        <w:spacing w:line="360" w:lineRule="auto"/>
        <w:rPr>
          <w:rFonts w:ascii="Tw Cen MT" w:hAnsi="Tw Cen MT"/>
          <w:sz w:val="24"/>
          <w:szCs w:val="24"/>
        </w:rPr>
      </w:pPr>
    </w:p>
    <w:p w14:paraId="05B77764" w14:textId="77777777" w:rsidR="00393A28" w:rsidRPr="00904412" w:rsidRDefault="00393A28" w:rsidP="00080080">
      <w:pPr>
        <w:spacing w:line="360" w:lineRule="auto"/>
        <w:rPr>
          <w:rFonts w:ascii="Tw Cen MT" w:hAnsi="Tw Cen MT"/>
          <w:vanish/>
          <w:sz w:val="24"/>
          <w:szCs w:val="24"/>
          <w:specVanish/>
        </w:rPr>
      </w:pPr>
    </w:p>
    <w:p w14:paraId="1491456C" w14:textId="77777777" w:rsidR="00776456" w:rsidRPr="00244200" w:rsidRDefault="00776456" w:rsidP="00080080">
      <w:pPr>
        <w:spacing w:line="360" w:lineRule="auto"/>
        <w:rPr>
          <w:rFonts w:ascii="Tw Cen MT" w:hAnsi="Tw Cen MT"/>
          <w:sz w:val="24"/>
          <w:szCs w:val="24"/>
        </w:rPr>
        <w:sectPr w:rsidR="00776456" w:rsidRPr="00244200" w:rsidSect="00067772">
          <w:headerReference w:type="default" r:id="rId12"/>
          <w:footerReference w:type="default" r:id="rId13"/>
          <w:pgSz w:w="11906" w:h="16838" w:code="9"/>
          <w:pgMar w:top="1418" w:right="1418" w:bottom="1418" w:left="1418" w:header="709" w:footer="709" w:gutter="0"/>
          <w:cols w:space="708"/>
          <w:docGrid w:linePitch="360"/>
        </w:sectPr>
      </w:pPr>
    </w:p>
    <w:p w14:paraId="5073FDE1" w14:textId="6F7600AE" w:rsidR="00D52A0E" w:rsidRPr="00D67302" w:rsidRDefault="004F0A57" w:rsidP="00113DDA">
      <w:pPr>
        <w:pStyle w:val="Paragraphedeliste"/>
        <w:spacing w:before="240" w:after="240"/>
        <w:ind w:left="0"/>
        <w:contextualSpacing w:val="0"/>
        <w:outlineLvl w:val="0"/>
        <w:rPr>
          <w:rFonts w:ascii="Tw Cen MT" w:hAnsi="Tw Cen MT"/>
          <w:b/>
          <w:iCs/>
          <w:sz w:val="28"/>
          <w:szCs w:val="28"/>
        </w:rPr>
      </w:pPr>
      <w:bookmarkStart w:id="1" w:name="_Toc90999701"/>
      <w:r w:rsidRPr="00D67302">
        <w:rPr>
          <w:rFonts w:ascii="Tw Cen MT" w:hAnsi="Tw Cen MT"/>
          <w:b/>
          <w:iCs/>
          <w:sz w:val="28"/>
          <w:szCs w:val="28"/>
        </w:rPr>
        <w:lastRenderedPageBreak/>
        <w:t>INTRODUCTION</w:t>
      </w:r>
      <w:bookmarkEnd w:id="1"/>
    </w:p>
    <w:p w14:paraId="28EEBAD2" w14:textId="0308E897" w:rsidR="004F0A57" w:rsidRPr="00D67302" w:rsidRDefault="004F0A57" w:rsidP="004F0A57">
      <w:pPr>
        <w:spacing w:after="240" w:line="276" w:lineRule="auto"/>
        <w:jc w:val="both"/>
        <w:rPr>
          <w:rFonts w:ascii="Tw Cen MT" w:hAnsi="Tw Cen MT"/>
          <w:bCs/>
          <w:iCs/>
          <w:sz w:val="26"/>
          <w:szCs w:val="26"/>
        </w:rPr>
      </w:pPr>
      <w:r w:rsidRPr="00D67302">
        <w:rPr>
          <w:rFonts w:ascii="Tw Cen MT" w:hAnsi="Tw Cen MT"/>
          <w:bCs/>
          <w:iCs/>
          <w:sz w:val="26"/>
          <w:szCs w:val="26"/>
        </w:rPr>
        <w:t xml:space="preserve">Le gouvernement de la </w:t>
      </w:r>
      <w:r w:rsidR="006B671D">
        <w:rPr>
          <w:rFonts w:ascii="Tw Cen MT" w:hAnsi="Tw Cen MT"/>
          <w:bCs/>
          <w:iCs/>
          <w:sz w:val="26"/>
          <w:szCs w:val="26"/>
        </w:rPr>
        <w:t>R</w:t>
      </w:r>
      <w:r w:rsidRPr="00D67302">
        <w:rPr>
          <w:rFonts w:ascii="Tw Cen MT" w:hAnsi="Tw Cen MT"/>
          <w:bCs/>
          <w:iCs/>
          <w:sz w:val="26"/>
          <w:szCs w:val="26"/>
        </w:rPr>
        <w:t xml:space="preserve">épublique du Mali a reçu un financement de l’Association Internationale de Développement sous la forme d’un </w:t>
      </w:r>
      <w:r w:rsidR="00BB3E73" w:rsidRPr="00D67302">
        <w:rPr>
          <w:rFonts w:ascii="Tw Cen MT" w:hAnsi="Tw Cen MT"/>
          <w:bCs/>
          <w:iCs/>
          <w:sz w:val="26"/>
          <w:szCs w:val="26"/>
        </w:rPr>
        <w:t xml:space="preserve">crédit </w:t>
      </w:r>
      <w:r w:rsidRPr="00D67302">
        <w:rPr>
          <w:rFonts w:ascii="Tw Cen MT" w:hAnsi="Tw Cen MT"/>
          <w:bCs/>
          <w:iCs/>
          <w:sz w:val="26"/>
          <w:szCs w:val="26"/>
        </w:rPr>
        <w:t xml:space="preserve">en vue de financer le coût du Projet de Gouvernance du Secteur des Mines (PGSM). </w:t>
      </w:r>
    </w:p>
    <w:p w14:paraId="2F04F81C" w14:textId="611AC802" w:rsidR="004F0A57" w:rsidRPr="00D67302" w:rsidRDefault="004F0A57" w:rsidP="004F0A57">
      <w:pPr>
        <w:spacing w:after="240" w:line="276" w:lineRule="auto"/>
        <w:jc w:val="both"/>
        <w:rPr>
          <w:rFonts w:ascii="Tw Cen MT" w:hAnsi="Tw Cen MT"/>
          <w:bCs/>
          <w:iCs/>
          <w:sz w:val="26"/>
          <w:szCs w:val="26"/>
        </w:rPr>
      </w:pPr>
      <w:r w:rsidRPr="00D67302">
        <w:rPr>
          <w:rFonts w:ascii="Tw Cen MT" w:hAnsi="Tw Cen MT"/>
          <w:bCs/>
          <w:iCs/>
          <w:sz w:val="26"/>
          <w:szCs w:val="26"/>
        </w:rPr>
        <w:t>L’objectif phare du PGSM consiste à renforcer la capacité du secteur minier afin qu’il contribue aux objectifs à moyen terme de croissance et de développement durable du Mali. À terme, il devrait permettre de renforcer les performances du secteur minier et de contribuer ainsi, de façon durable et significative, à l’amélioration des conditions de vie des populations maliennes, en particulier celles vivant dans les zones minières.</w:t>
      </w:r>
    </w:p>
    <w:p w14:paraId="5C38C5CD" w14:textId="7A644B02" w:rsidR="004F0A57" w:rsidRPr="00D67302" w:rsidRDefault="006B671D" w:rsidP="004F0A57">
      <w:pPr>
        <w:spacing w:after="240" w:line="276" w:lineRule="auto"/>
        <w:jc w:val="both"/>
        <w:rPr>
          <w:rFonts w:ascii="Tw Cen MT" w:hAnsi="Tw Cen MT"/>
          <w:bCs/>
          <w:iCs/>
          <w:sz w:val="26"/>
          <w:szCs w:val="26"/>
        </w:rPr>
      </w:pPr>
      <w:r w:rsidRPr="00D67302">
        <w:rPr>
          <w:rFonts w:ascii="Tw Cen MT" w:hAnsi="Tw Cen MT"/>
          <w:bCs/>
          <w:iCs/>
          <w:sz w:val="26"/>
          <w:szCs w:val="26"/>
        </w:rPr>
        <w:t>À</w:t>
      </w:r>
      <w:r w:rsidR="004F0A57" w:rsidRPr="00D67302">
        <w:rPr>
          <w:rFonts w:ascii="Tw Cen MT" w:hAnsi="Tw Cen MT"/>
          <w:bCs/>
          <w:iCs/>
          <w:sz w:val="26"/>
          <w:szCs w:val="26"/>
        </w:rPr>
        <w:t xml:space="preserve"> la suite d’un appel d’offre, l’Unité de Gestion du Projet a recruté le </w:t>
      </w:r>
      <w:r w:rsidR="00BB3E73" w:rsidRPr="00D67302">
        <w:rPr>
          <w:rFonts w:ascii="Tw Cen MT" w:hAnsi="Tw Cen MT"/>
          <w:bCs/>
          <w:iCs/>
          <w:sz w:val="26"/>
          <w:szCs w:val="26"/>
        </w:rPr>
        <w:t>G</w:t>
      </w:r>
      <w:r w:rsidR="004F0A57" w:rsidRPr="00D67302">
        <w:rPr>
          <w:rFonts w:ascii="Tw Cen MT" w:hAnsi="Tw Cen MT"/>
          <w:bCs/>
          <w:iCs/>
          <w:sz w:val="26"/>
          <w:szCs w:val="26"/>
        </w:rPr>
        <w:t xml:space="preserve">roupement composé des cabinets </w:t>
      </w:r>
      <w:r w:rsidR="00D67302">
        <w:rPr>
          <w:rFonts w:ascii="Tw Cen MT" w:hAnsi="Tw Cen MT"/>
          <w:bCs/>
          <w:iCs/>
          <w:sz w:val="26"/>
          <w:szCs w:val="26"/>
        </w:rPr>
        <w:t>Mazars Sénégal</w:t>
      </w:r>
      <w:r w:rsidR="004F0A57" w:rsidRPr="00D67302">
        <w:rPr>
          <w:rFonts w:ascii="Tw Cen MT" w:hAnsi="Tw Cen MT"/>
          <w:bCs/>
          <w:iCs/>
          <w:sz w:val="26"/>
          <w:szCs w:val="26"/>
        </w:rPr>
        <w:t xml:space="preserve"> et Pyramis </w:t>
      </w:r>
      <w:r w:rsidR="00BB3E73" w:rsidRPr="00D67302">
        <w:rPr>
          <w:rFonts w:ascii="Tw Cen MT" w:hAnsi="Tw Cen MT"/>
          <w:bCs/>
          <w:iCs/>
          <w:sz w:val="26"/>
          <w:szCs w:val="26"/>
        </w:rPr>
        <w:t>A</w:t>
      </w:r>
      <w:r w:rsidR="004F0A57" w:rsidRPr="00D67302">
        <w:rPr>
          <w:rFonts w:ascii="Tw Cen MT" w:hAnsi="Tw Cen MT"/>
          <w:bCs/>
          <w:iCs/>
          <w:sz w:val="26"/>
          <w:szCs w:val="26"/>
        </w:rPr>
        <w:t xml:space="preserve">udit et Conseil </w:t>
      </w:r>
      <w:r w:rsidR="00EA18F4" w:rsidRPr="00D67302">
        <w:rPr>
          <w:rFonts w:ascii="Tw Cen MT" w:hAnsi="Tw Cen MT"/>
          <w:bCs/>
          <w:iCs/>
          <w:sz w:val="26"/>
          <w:szCs w:val="26"/>
        </w:rPr>
        <w:t xml:space="preserve">en qualité de </w:t>
      </w:r>
      <w:r w:rsidR="00BB3E73" w:rsidRPr="00D67302">
        <w:rPr>
          <w:rFonts w:ascii="Tw Cen MT" w:hAnsi="Tw Cen MT"/>
          <w:bCs/>
          <w:iCs/>
          <w:sz w:val="26"/>
          <w:szCs w:val="26"/>
        </w:rPr>
        <w:t>C</w:t>
      </w:r>
      <w:r w:rsidR="00EA18F4" w:rsidRPr="00D67302">
        <w:rPr>
          <w:rFonts w:ascii="Tw Cen MT" w:hAnsi="Tw Cen MT"/>
          <w:bCs/>
          <w:iCs/>
          <w:sz w:val="26"/>
          <w:szCs w:val="26"/>
        </w:rPr>
        <w:t xml:space="preserve">onsultant </w:t>
      </w:r>
      <w:r w:rsidR="004F0A57" w:rsidRPr="00D67302">
        <w:rPr>
          <w:rFonts w:ascii="Tw Cen MT" w:hAnsi="Tw Cen MT"/>
          <w:bCs/>
          <w:iCs/>
          <w:sz w:val="26"/>
          <w:szCs w:val="26"/>
        </w:rPr>
        <w:t xml:space="preserve">en vue de conduire </w:t>
      </w:r>
      <w:r w:rsidR="00D67302">
        <w:rPr>
          <w:rFonts w:ascii="Tw Cen MT" w:hAnsi="Tw Cen MT"/>
          <w:bCs/>
          <w:iCs/>
          <w:sz w:val="26"/>
          <w:szCs w:val="26"/>
        </w:rPr>
        <w:t xml:space="preserve">la mission d’Administrateur Indépendant </w:t>
      </w:r>
      <w:r w:rsidR="00D67302" w:rsidRPr="00D67302">
        <w:rPr>
          <w:rFonts w:ascii="Tw Cen MT" w:hAnsi="Tw Cen MT"/>
          <w:bCs/>
          <w:iCs/>
          <w:sz w:val="26"/>
          <w:szCs w:val="26"/>
        </w:rPr>
        <w:t>pour</w:t>
      </w:r>
      <w:r w:rsidR="004F0A57" w:rsidRPr="00D67302">
        <w:rPr>
          <w:rFonts w:ascii="Tw Cen MT" w:hAnsi="Tw Cen MT"/>
          <w:bCs/>
          <w:iCs/>
          <w:sz w:val="26"/>
          <w:szCs w:val="26"/>
        </w:rPr>
        <w:t xml:space="preserve"> le compte du </w:t>
      </w:r>
      <w:r w:rsidR="005D4EDB">
        <w:rPr>
          <w:rFonts w:ascii="Tw Cen MT" w:hAnsi="Tw Cen MT"/>
          <w:bCs/>
          <w:iCs/>
          <w:sz w:val="26"/>
          <w:szCs w:val="26"/>
        </w:rPr>
        <w:t xml:space="preserve">Comité de Pilotage </w:t>
      </w:r>
      <w:r w:rsidR="004F0A57" w:rsidRPr="00D67302">
        <w:rPr>
          <w:rFonts w:ascii="Tw Cen MT" w:hAnsi="Tw Cen MT"/>
          <w:bCs/>
          <w:iCs/>
          <w:sz w:val="26"/>
          <w:szCs w:val="26"/>
        </w:rPr>
        <w:t>de l’Initiative pour la Transparence dans les Industrie Extractives (SP-ITIE)</w:t>
      </w:r>
      <w:r w:rsidR="00D67302">
        <w:rPr>
          <w:rFonts w:ascii="Tw Cen MT" w:hAnsi="Tw Cen MT"/>
          <w:bCs/>
          <w:iCs/>
          <w:sz w:val="26"/>
          <w:szCs w:val="26"/>
        </w:rPr>
        <w:t xml:space="preserve"> au titre de l’année 2019</w:t>
      </w:r>
      <w:r w:rsidR="004F0A57" w:rsidRPr="00D67302">
        <w:rPr>
          <w:rFonts w:ascii="Tw Cen MT" w:hAnsi="Tw Cen MT"/>
          <w:bCs/>
          <w:iCs/>
          <w:sz w:val="26"/>
          <w:szCs w:val="26"/>
        </w:rPr>
        <w:t>.</w:t>
      </w:r>
      <w:r w:rsidR="00CB221B" w:rsidRPr="00D67302">
        <w:rPr>
          <w:rFonts w:ascii="Tw Cen MT" w:hAnsi="Tw Cen MT"/>
          <w:bCs/>
          <w:iCs/>
          <w:sz w:val="26"/>
          <w:szCs w:val="26"/>
        </w:rPr>
        <w:t xml:space="preserve"> </w:t>
      </w:r>
    </w:p>
    <w:p w14:paraId="65328472" w14:textId="2782B517" w:rsidR="004F0A57" w:rsidRPr="00D67302" w:rsidRDefault="004F0A57" w:rsidP="004F0A57">
      <w:pPr>
        <w:spacing w:after="240" w:line="276" w:lineRule="auto"/>
        <w:jc w:val="both"/>
        <w:rPr>
          <w:rFonts w:ascii="Tw Cen MT" w:hAnsi="Tw Cen MT"/>
          <w:bCs/>
          <w:iCs/>
          <w:sz w:val="26"/>
          <w:szCs w:val="26"/>
        </w:rPr>
      </w:pPr>
      <w:r w:rsidRPr="00D67302">
        <w:rPr>
          <w:rFonts w:ascii="Tw Cen MT" w:hAnsi="Tw Cen MT"/>
          <w:bCs/>
          <w:iCs/>
          <w:sz w:val="26"/>
          <w:szCs w:val="26"/>
        </w:rPr>
        <w:t xml:space="preserve">Le </w:t>
      </w:r>
      <w:r w:rsidR="00295B77" w:rsidRPr="00D67302">
        <w:rPr>
          <w:rFonts w:ascii="Tw Cen MT" w:hAnsi="Tw Cen MT"/>
          <w:bCs/>
          <w:iCs/>
          <w:sz w:val="26"/>
          <w:szCs w:val="26"/>
        </w:rPr>
        <w:t>C</w:t>
      </w:r>
      <w:r w:rsidRPr="00D67302">
        <w:rPr>
          <w:rFonts w:ascii="Tw Cen MT" w:hAnsi="Tw Cen MT"/>
          <w:bCs/>
          <w:iCs/>
          <w:sz w:val="26"/>
          <w:szCs w:val="26"/>
        </w:rPr>
        <w:t xml:space="preserve">onsultant doit réaliser l’ensemble des </w:t>
      </w:r>
      <w:r w:rsidR="00D67302" w:rsidRPr="00D67302">
        <w:rPr>
          <w:rFonts w:ascii="Tw Cen MT" w:hAnsi="Tw Cen MT"/>
          <w:bCs/>
          <w:iCs/>
          <w:sz w:val="26"/>
          <w:szCs w:val="26"/>
        </w:rPr>
        <w:t>tâches</w:t>
      </w:r>
      <w:r w:rsidRPr="00D67302">
        <w:rPr>
          <w:rFonts w:ascii="Tw Cen MT" w:hAnsi="Tw Cen MT"/>
          <w:bCs/>
          <w:iCs/>
          <w:sz w:val="26"/>
          <w:szCs w:val="26"/>
        </w:rPr>
        <w:t xml:space="preserve"> décrites dans les termes de référence de la mission</w:t>
      </w:r>
      <w:r w:rsidR="00EA18F4" w:rsidRPr="00D67302">
        <w:rPr>
          <w:rFonts w:ascii="Tw Cen MT" w:hAnsi="Tw Cen MT"/>
          <w:bCs/>
          <w:iCs/>
          <w:sz w:val="26"/>
          <w:szCs w:val="26"/>
        </w:rPr>
        <w:t>.</w:t>
      </w:r>
      <w:r w:rsidR="00D67302">
        <w:rPr>
          <w:rFonts w:ascii="Tw Cen MT" w:hAnsi="Tw Cen MT"/>
          <w:bCs/>
          <w:iCs/>
          <w:sz w:val="26"/>
          <w:szCs w:val="26"/>
        </w:rPr>
        <w:t xml:space="preserve"> </w:t>
      </w:r>
    </w:p>
    <w:p w14:paraId="23E2E65D" w14:textId="02F92F74" w:rsidR="00EA18F4" w:rsidRPr="00D67302" w:rsidRDefault="00EA18F4" w:rsidP="004F0A57">
      <w:pPr>
        <w:spacing w:after="240" w:line="276" w:lineRule="auto"/>
        <w:jc w:val="both"/>
        <w:rPr>
          <w:rFonts w:ascii="Tw Cen MT" w:hAnsi="Tw Cen MT"/>
          <w:bCs/>
          <w:iCs/>
          <w:sz w:val="26"/>
          <w:szCs w:val="26"/>
        </w:rPr>
      </w:pPr>
      <w:r w:rsidRPr="00D67302">
        <w:rPr>
          <w:rFonts w:ascii="Tw Cen MT" w:hAnsi="Tw Cen MT"/>
          <w:bCs/>
          <w:iCs/>
          <w:sz w:val="26"/>
          <w:szCs w:val="26"/>
        </w:rPr>
        <w:t xml:space="preserve">Le présent </w:t>
      </w:r>
      <w:r w:rsidR="00D67302">
        <w:rPr>
          <w:rFonts w:ascii="Tw Cen MT" w:hAnsi="Tw Cen MT"/>
          <w:bCs/>
          <w:iCs/>
          <w:sz w:val="26"/>
          <w:szCs w:val="26"/>
        </w:rPr>
        <w:t>rapport de cadrage</w:t>
      </w:r>
      <w:r w:rsidRPr="00D67302">
        <w:rPr>
          <w:rFonts w:ascii="Tw Cen MT" w:hAnsi="Tw Cen MT"/>
          <w:bCs/>
          <w:iCs/>
          <w:sz w:val="26"/>
          <w:szCs w:val="26"/>
        </w:rPr>
        <w:t xml:space="preserve"> a pour but de donner </w:t>
      </w:r>
      <w:r w:rsidR="00D67302">
        <w:rPr>
          <w:rFonts w:ascii="Tw Cen MT" w:hAnsi="Tw Cen MT"/>
          <w:bCs/>
          <w:iCs/>
          <w:sz w:val="26"/>
          <w:szCs w:val="26"/>
        </w:rPr>
        <w:t>l</w:t>
      </w:r>
      <w:r w:rsidRPr="00D67302">
        <w:rPr>
          <w:rFonts w:ascii="Tw Cen MT" w:hAnsi="Tw Cen MT"/>
          <w:bCs/>
          <w:iCs/>
          <w:sz w:val="26"/>
          <w:szCs w:val="26"/>
        </w:rPr>
        <w:t xml:space="preserve">es orientations </w:t>
      </w:r>
      <w:r w:rsidR="00D67302">
        <w:rPr>
          <w:rFonts w:ascii="Tw Cen MT" w:hAnsi="Tw Cen MT"/>
          <w:bCs/>
          <w:iCs/>
          <w:sz w:val="26"/>
          <w:szCs w:val="26"/>
        </w:rPr>
        <w:t xml:space="preserve">préliminaires </w:t>
      </w:r>
      <w:r w:rsidRPr="00D67302">
        <w:rPr>
          <w:rFonts w:ascii="Tw Cen MT" w:hAnsi="Tw Cen MT"/>
          <w:bCs/>
          <w:iCs/>
          <w:sz w:val="26"/>
          <w:szCs w:val="26"/>
        </w:rPr>
        <w:t>nécessaires pour la réalisation de ce travail. Il présentera les points ci-dessous :</w:t>
      </w:r>
    </w:p>
    <w:p w14:paraId="53CC9E6B" w14:textId="7454795E" w:rsidR="00EA18F4" w:rsidRPr="00D67302" w:rsidRDefault="00EA18F4" w:rsidP="001F786B">
      <w:pPr>
        <w:pStyle w:val="Paragraphedeliste"/>
        <w:numPr>
          <w:ilvl w:val="0"/>
          <w:numId w:val="8"/>
        </w:numPr>
        <w:tabs>
          <w:tab w:val="left" w:pos="8505"/>
        </w:tabs>
        <w:spacing w:after="240" w:line="276" w:lineRule="auto"/>
        <w:jc w:val="both"/>
        <w:rPr>
          <w:rFonts w:ascii="Tw Cen MT" w:hAnsi="Tw Cen MT"/>
          <w:bCs/>
          <w:iCs/>
          <w:sz w:val="26"/>
          <w:szCs w:val="26"/>
        </w:rPr>
      </w:pPr>
      <w:r w:rsidRPr="00D67302">
        <w:rPr>
          <w:rFonts w:ascii="Tw Cen MT" w:hAnsi="Tw Cen MT"/>
          <w:bCs/>
          <w:iCs/>
          <w:sz w:val="26"/>
          <w:szCs w:val="26"/>
        </w:rPr>
        <w:t>le contexte et la justification de la mission ;</w:t>
      </w:r>
    </w:p>
    <w:p w14:paraId="5781ABE4" w14:textId="73F72C33" w:rsidR="00EA18F4" w:rsidRPr="00D67302" w:rsidRDefault="00EA18F4" w:rsidP="00F84296">
      <w:pPr>
        <w:pStyle w:val="Paragraphedeliste"/>
        <w:numPr>
          <w:ilvl w:val="0"/>
          <w:numId w:val="8"/>
        </w:numPr>
        <w:spacing w:after="240" w:line="276" w:lineRule="auto"/>
        <w:jc w:val="both"/>
        <w:rPr>
          <w:rFonts w:ascii="Tw Cen MT" w:hAnsi="Tw Cen MT"/>
          <w:bCs/>
          <w:iCs/>
          <w:sz w:val="26"/>
          <w:szCs w:val="26"/>
        </w:rPr>
      </w:pPr>
      <w:r w:rsidRPr="00D67302">
        <w:rPr>
          <w:rFonts w:ascii="Tw Cen MT" w:hAnsi="Tw Cen MT"/>
          <w:bCs/>
          <w:iCs/>
          <w:sz w:val="26"/>
          <w:szCs w:val="26"/>
        </w:rPr>
        <w:t>les objectifs et les résultats attendus ;</w:t>
      </w:r>
    </w:p>
    <w:p w14:paraId="7C96A267" w14:textId="48CDF8E9" w:rsidR="00EA18F4" w:rsidRPr="00D67302" w:rsidRDefault="00EA18F4" w:rsidP="00F84296">
      <w:pPr>
        <w:pStyle w:val="Paragraphedeliste"/>
        <w:numPr>
          <w:ilvl w:val="0"/>
          <w:numId w:val="8"/>
        </w:numPr>
        <w:spacing w:after="240" w:line="276" w:lineRule="auto"/>
        <w:jc w:val="both"/>
        <w:rPr>
          <w:rFonts w:ascii="Tw Cen MT" w:hAnsi="Tw Cen MT"/>
          <w:bCs/>
          <w:iCs/>
          <w:sz w:val="26"/>
          <w:szCs w:val="26"/>
        </w:rPr>
      </w:pPr>
      <w:r w:rsidRPr="00D67302">
        <w:rPr>
          <w:rFonts w:ascii="Tw Cen MT" w:hAnsi="Tw Cen MT"/>
          <w:bCs/>
          <w:iCs/>
          <w:sz w:val="26"/>
          <w:szCs w:val="26"/>
        </w:rPr>
        <w:t xml:space="preserve">la méthodologie envisagée ; </w:t>
      </w:r>
    </w:p>
    <w:p w14:paraId="2CE88654" w14:textId="23D95B27" w:rsidR="004F0A57" w:rsidRPr="00D67302" w:rsidRDefault="00EA18F4" w:rsidP="00F84296">
      <w:pPr>
        <w:pStyle w:val="Paragraphedeliste"/>
        <w:numPr>
          <w:ilvl w:val="0"/>
          <w:numId w:val="8"/>
        </w:numPr>
        <w:spacing w:after="160" w:line="259" w:lineRule="auto"/>
        <w:jc w:val="both"/>
        <w:rPr>
          <w:rFonts w:ascii="Tw Cen MT" w:hAnsi="Tw Cen MT"/>
          <w:b/>
          <w:iCs/>
          <w:sz w:val="24"/>
          <w:szCs w:val="24"/>
        </w:rPr>
      </w:pPr>
      <w:r w:rsidRPr="00D67302">
        <w:rPr>
          <w:rFonts w:ascii="Tw Cen MT" w:hAnsi="Tw Cen MT"/>
          <w:bCs/>
          <w:iCs/>
          <w:sz w:val="26"/>
          <w:szCs w:val="26"/>
        </w:rPr>
        <w:t>le chronogramme de la mission.</w:t>
      </w:r>
      <w:r w:rsidR="004F0A57" w:rsidRPr="00D67302">
        <w:rPr>
          <w:rFonts w:ascii="Tw Cen MT" w:hAnsi="Tw Cen MT"/>
          <w:b/>
          <w:iCs/>
          <w:sz w:val="24"/>
          <w:szCs w:val="24"/>
        </w:rPr>
        <w:br w:type="page"/>
      </w:r>
    </w:p>
    <w:p w14:paraId="6C464155" w14:textId="6FFBE0B6" w:rsidR="00FB385F" w:rsidRPr="0087586F" w:rsidRDefault="00D52A0E" w:rsidP="00F84296">
      <w:pPr>
        <w:pStyle w:val="Paragraphedeliste"/>
        <w:numPr>
          <w:ilvl w:val="0"/>
          <w:numId w:val="5"/>
        </w:numPr>
        <w:spacing w:before="240" w:after="240"/>
        <w:ind w:left="1077"/>
        <w:contextualSpacing w:val="0"/>
        <w:outlineLvl w:val="0"/>
        <w:rPr>
          <w:rFonts w:ascii="Tw Cen MT" w:hAnsi="Tw Cen MT"/>
          <w:b/>
          <w:iCs/>
          <w:sz w:val="26"/>
          <w:szCs w:val="26"/>
        </w:rPr>
      </w:pPr>
      <w:bookmarkStart w:id="2" w:name="_Toc90999702"/>
      <w:r w:rsidRPr="0087586F">
        <w:rPr>
          <w:rFonts w:ascii="Tw Cen MT" w:hAnsi="Tw Cen MT"/>
          <w:b/>
          <w:iCs/>
          <w:sz w:val="26"/>
          <w:szCs w:val="26"/>
        </w:rPr>
        <w:lastRenderedPageBreak/>
        <w:t>CONTEXTE ET JUSTIFICATION DE L’ÉTUDE</w:t>
      </w:r>
      <w:bookmarkEnd w:id="2"/>
    </w:p>
    <w:p w14:paraId="696A5A9E" w14:textId="77777777" w:rsidR="005401AB" w:rsidRPr="005401AB" w:rsidRDefault="005401AB" w:rsidP="005401AB">
      <w:pPr>
        <w:autoSpaceDE w:val="0"/>
        <w:autoSpaceDN w:val="0"/>
        <w:adjustRightInd w:val="0"/>
        <w:spacing w:after="240"/>
        <w:jc w:val="both"/>
        <w:rPr>
          <w:rFonts w:ascii="Tw Cen MT" w:hAnsi="Tw Cen MT" w:cstheme="majorBidi"/>
          <w:sz w:val="26"/>
          <w:szCs w:val="26"/>
        </w:rPr>
      </w:pPr>
      <w:r w:rsidRPr="005401AB">
        <w:rPr>
          <w:rFonts w:ascii="Tw Cen MT" w:hAnsi="Tw Cen MT" w:cstheme="majorBidi"/>
          <w:sz w:val="26"/>
          <w:szCs w:val="26"/>
        </w:rPr>
        <w:t>L’Initiative pour la Transparence dans les Industries Extractives (ITIE) est une norme mondiale qui prône la transparence dans la gestion des revenus tirés de l’extraction des ressources naturelles et de l’obligation de redevabilité dans les secteurs pétrolier, gazier et minier.</w:t>
      </w:r>
    </w:p>
    <w:p w14:paraId="302349DF" w14:textId="77777777" w:rsidR="005401AB" w:rsidRPr="005401AB" w:rsidRDefault="005401AB" w:rsidP="005401AB">
      <w:pPr>
        <w:autoSpaceDE w:val="0"/>
        <w:autoSpaceDN w:val="0"/>
        <w:adjustRightInd w:val="0"/>
        <w:spacing w:after="240" w:line="276" w:lineRule="auto"/>
        <w:jc w:val="both"/>
        <w:rPr>
          <w:rFonts w:ascii="Tw Cen MT" w:hAnsi="Tw Cen MT" w:cstheme="majorBidi"/>
          <w:sz w:val="26"/>
          <w:szCs w:val="26"/>
        </w:rPr>
      </w:pPr>
      <w:r w:rsidRPr="005401AB">
        <w:rPr>
          <w:rFonts w:ascii="Tw Cen MT" w:hAnsi="Tw Cen MT" w:cstheme="majorBidi"/>
          <w:sz w:val="26"/>
          <w:szCs w:val="26"/>
        </w:rPr>
        <w:t>La mise en œuvre de l’ITIE repose sur deux principes fondamentaux :</w:t>
      </w:r>
    </w:p>
    <w:p w14:paraId="54D5CE1F" w14:textId="77777777" w:rsidR="005401AB" w:rsidRPr="005401AB" w:rsidRDefault="005401AB" w:rsidP="0048041A">
      <w:pPr>
        <w:pStyle w:val="Paragraphedeliste"/>
        <w:numPr>
          <w:ilvl w:val="0"/>
          <w:numId w:val="23"/>
        </w:numPr>
        <w:autoSpaceDE w:val="0"/>
        <w:autoSpaceDN w:val="0"/>
        <w:adjustRightInd w:val="0"/>
        <w:spacing w:after="240" w:line="276" w:lineRule="auto"/>
        <w:jc w:val="both"/>
        <w:rPr>
          <w:rFonts w:ascii="Tw Cen MT" w:hAnsi="Tw Cen MT" w:cstheme="majorBidi"/>
          <w:sz w:val="26"/>
          <w:szCs w:val="26"/>
        </w:rPr>
      </w:pPr>
      <w:r w:rsidRPr="005401AB">
        <w:rPr>
          <w:rFonts w:ascii="Tw Cen MT" w:hAnsi="Tw Cen MT" w:cstheme="majorBidi"/>
          <w:b/>
          <w:bCs/>
          <w:sz w:val="26"/>
          <w:szCs w:val="26"/>
        </w:rPr>
        <w:t xml:space="preserve">la transparence </w:t>
      </w:r>
      <w:r w:rsidRPr="005401AB">
        <w:rPr>
          <w:rFonts w:ascii="Tw Cen MT" w:hAnsi="Tw Cen MT" w:cstheme="majorBidi"/>
          <w:sz w:val="26"/>
          <w:szCs w:val="26"/>
        </w:rPr>
        <w:t>: les entreprises pétrolières, gazières et minières publient des informations sur leurs activités, notamment sur les paiements qu’elles versent au gouvernement, et le gouvernement communique des informations sur ses revenues et d’autres informations pertinentes sur les sociétés d’exploitation des ressources minières, gazière et pétrolières. Ces chiffres sont rapprochés par un conciliateur indépendant et notifiés dans des rapports ITIE annuels aux côtés d’autres informations sur la chaine de valeur des industries extractives ;</w:t>
      </w:r>
    </w:p>
    <w:p w14:paraId="29515A7F" w14:textId="77777777" w:rsidR="005401AB" w:rsidRPr="005401AB" w:rsidRDefault="005401AB" w:rsidP="0048041A">
      <w:pPr>
        <w:pStyle w:val="Paragraphedeliste"/>
        <w:numPr>
          <w:ilvl w:val="0"/>
          <w:numId w:val="23"/>
        </w:numPr>
        <w:autoSpaceDE w:val="0"/>
        <w:autoSpaceDN w:val="0"/>
        <w:adjustRightInd w:val="0"/>
        <w:spacing w:after="240" w:line="276" w:lineRule="auto"/>
        <w:jc w:val="both"/>
        <w:rPr>
          <w:rFonts w:ascii="Tw Cen MT" w:hAnsi="Tw Cen MT" w:cstheme="majorBidi"/>
          <w:sz w:val="26"/>
          <w:szCs w:val="26"/>
        </w:rPr>
      </w:pPr>
      <w:r w:rsidRPr="005401AB">
        <w:rPr>
          <w:rFonts w:ascii="Tw Cen MT" w:hAnsi="Tw Cen MT" w:cstheme="majorBidi"/>
          <w:b/>
          <w:bCs/>
          <w:sz w:val="26"/>
          <w:szCs w:val="26"/>
        </w:rPr>
        <w:t xml:space="preserve">l’obligation de redevabilité </w:t>
      </w:r>
      <w:r w:rsidRPr="005401AB">
        <w:rPr>
          <w:rFonts w:ascii="Tw Cen MT" w:hAnsi="Tw Cen MT" w:cstheme="majorBidi"/>
          <w:sz w:val="26"/>
          <w:szCs w:val="26"/>
        </w:rPr>
        <w:t>: un Groupe multipartite ou multi acteurs (appelé Comité de pilotage au Mali) composé de représentants du gouvernement, des entreprises minières et de la société civile est mis en place pour superviser le processus, communiquer les conclusions du rapport ITIE et promouvoir l’intégration de l’ITIE dans d’autres efforts plus larges en matière de gouvernance et de transparence dans le pays.</w:t>
      </w:r>
    </w:p>
    <w:p w14:paraId="56B8586A" w14:textId="77777777" w:rsidR="005401AB" w:rsidRPr="005401AB" w:rsidRDefault="005401AB" w:rsidP="005401AB">
      <w:pPr>
        <w:autoSpaceDE w:val="0"/>
        <w:autoSpaceDN w:val="0"/>
        <w:adjustRightInd w:val="0"/>
        <w:spacing w:after="240" w:line="276" w:lineRule="auto"/>
        <w:jc w:val="both"/>
        <w:rPr>
          <w:rFonts w:ascii="Tw Cen MT" w:hAnsi="Tw Cen MT" w:cstheme="majorBidi"/>
          <w:sz w:val="26"/>
          <w:szCs w:val="26"/>
        </w:rPr>
      </w:pPr>
      <w:r w:rsidRPr="005401AB">
        <w:rPr>
          <w:rFonts w:ascii="Tw Cen MT" w:hAnsi="Tw Cen MT" w:cstheme="majorBidi"/>
          <w:sz w:val="26"/>
          <w:szCs w:val="26"/>
        </w:rPr>
        <w:t>L'ITIE Internationale a adopté et publié une nouvelle norme lors de sa Conférence mondiale tenue à Paris en juin 2019. Le caractère obligatoire de ladite norme a débuté en 2020 pour son application intégrale. Ainsi, tous travaux de mise en œuvre de l'ITIE dans tous les pays membres, doivent se conformer aux exigences stipulées dans la nouvelle Norme, notamment la réalisation du rapport ITIE, objet du présent document.</w:t>
      </w:r>
    </w:p>
    <w:p w14:paraId="7924C3B4" w14:textId="108FF179" w:rsidR="005401AB" w:rsidRDefault="005401AB" w:rsidP="005401AB">
      <w:pPr>
        <w:autoSpaceDE w:val="0"/>
        <w:autoSpaceDN w:val="0"/>
        <w:adjustRightInd w:val="0"/>
        <w:spacing w:after="240" w:line="276" w:lineRule="auto"/>
        <w:jc w:val="both"/>
        <w:rPr>
          <w:rFonts w:ascii="Tw Cen MT" w:hAnsi="Tw Cen MT" w:cstheme="majorBidi"/>
          <w:sz w:val="26"/>
          <w:szCs w:val="26"/>
        </w:rPr>
      </w:pPr>
      <w:r w:rsidRPr="005401AB">
        <w:rPr>
          <w:rFonts w:ascii="Tw Cen MT" w:hAnsi="Tw Cen MT" w:cstheme="majorBidi"/>
          <w:sz w:val="26"/>
          <w:szCs w:val="26"/>
        </w:rPr>
        <w:t xml:space="preserve">L’une des Exigences de l’ITIE est que le conciliateur soit perçu par le Groupe multipartite comme étant crédible, digne de confiance et compétent sur le plan technique (Exigence n° 4.9 (b)(ii)). Le Groupe multipartite et l’Administrateur Indépendant sont tenus d’aborder tout problème de conflit d’intérêts. Le rapport du conciliateur sera remis au Comité de pilotage pour son approbation et sa publication en vertu de l’exigence n° 7.1. Les exigences de la norme auxquelles les pays mettant en œuvre l’ITIE doivent satisfaire sont énoncées dans la Norme ITIE. Pour tout complément d’information, veuillez consulter le site </w:t>
      </w:r>
      <w:hyperlink r:id="rId14" w:history="1">
        <w:r w:rsidRPr="005401AB">
          <w:rPr>
            <w:rStyle w:val="Lienhypertexte"/>
            <w:rFonts w:ascii="Tw Cen MT" w:hAnsi="Tw Cen MT" w:cstheme="majorBidi"/>
            <w:sz w:val="26"/>
            <w:szCs w:val="26"/>
          </w:rPr>
          <w:t>www.ITIE.org/fr</w:t>
        </w:r>
      </w:hyperlink>
      <w:r w:rsidRPr="005401AB">
        <w:rPr>
          <w:rFonts w:ascii="Tw Cen MT" w:hAnsi="Tw Cen MT" w:cstheme="majorBidi"/>
          <w:sz w:val="26"/>
          <w:szCs w:val="26"/>
        </w:rPr>
        <w:t>.</w:t>
      </w:r>
    </w:p>
    <w:p w14:paraId="7D2F7B3B" w14:textId="4E6BB05D" w:rsidR="00BC0972" w:rsidRPr="00851ED2" w:rsidRDefault="00BC0972" w:rsidP="00BC0972">
      <w:pPr>
        <w:spacing w:before="120" w:after="120" w:line="264" w:lineRule="auto"/>
        <w:jc w:val="both"/>
        <w:rPr>
          <w:rFonts w:ascii="Tw Cen MT" w:hAnsi="Tw Cen MT" w:cstheme="majorBidi"/>
          <w:sz w:val="26"/>
          <w:szCs w:val="26"/>
        </w:rPr>
      </w:pPr>
      <w:r w:rsidRPr="00851ED2">
        <w:rPr>
          <w:rFonts w:ascii="Tw Cen MT" w:hAnsi="Tw Cen MT" w:cstheme="majorBidi"/>
          <w:sz w:val="26"/>
          <w:szCs w:val="26"/>
        </w:rPr>
        <w:t xml:space="preserve">Le Mali a adhéré à l’ITIE en 2007 et a été déclaré « pays conforme » en août 2011. </w:t>
      </w:r>
      <w:r>
        <w:rPr>
          <w:rFonts w:ascii="Tw Cen MT" w:hAnsi="Tw Cen MT" w:cstheme="majorBidi"/>
          <w:sz w:val="26"/>
          <w:szCs w:val="26"/>
        </w:rPr>
        <w:t xml:space="preserve">Depuis cette adhésion, </w:t>
      </w:r>
      <w:r w:rsidRPr="00851ED2">
        <w:rPr>
          <w:rFonts w:ascii="Tw Cen MT" w:hAnsi="Tw Cen MT" w:cstheme="majorBidi"/>
          <w:sz w:val="26"/>
          <w:szCs w:val="26"/>
        </w:rPr>
        <w:t>le Mali a déjà publié dix (12) rapports couvrant les exercices de 2006 à 2018. Le tableau ci-dessous les progrès réalisés par le Mali depuis son adhésion :</w:t>
      </w:r>
    </w:p>
    <w:p w14:paraId="1459D1E8" w14:textId="58568F4F" w:rsidR="00BC0972" w:rsidRDefault="00BC0972" w:rsidP="00BC0972">
      <w:pPr>
        <w:spacing w:before="120" w:after="120" w:line="264" w:lineRule="auto"/>
        <w:jc w:val="both"/>
        <w:rPr>
          <w:rFonts w:ascii="Tw Cen MT" w:hAnsi="Tw Cen MT" w:cs="Times New Roman"/>
          <w:kern w:val="16"/>
          <w:sz w:val="24"/>
          <w:szCs w:val="24"/>
          <w:lang w:eastAsia="fr-FR"/>
        </w:rPr>
      </w:pPr>
    </w:p>
    <w:p w14:paraId="0BC4A0D8" w14:textId="660032EE" w:rsidR="00BC0972" w:rsidRDefault="00BC0972" w:rsidP="00BC0972">
      <w:pPr>
        <w:spacing w:before="120" w:after="120" w:line="264" w:lineRule="auto"/>
        <w:jc w:val="both"/>
        <w:rPr>
          <w:rFonts w:ascii="Tw Cen MT" w:hAnsi="Tw Cen MT" w:cs="Times New Roman"/>
          <w:kern w:val="16"/>
          <w:sz w:val="24"/>
          <w:szCs w:val="24"/>
          <w:lang w:eastAsia="fr-FR"/>
        </w:rPr>
      </w:pPr>
    </w:p>
    <w:p w14:paraId="30AEB20C" w14:textId="03CD993D" w:rsidR="00BC0972" w:rsidRDefault="00BC0972" w:rsidP="00BC0972">
      <w:pPr>
        <w:spacing w:before="120" w:after="120" w:line="264" w:lineRule="auto"/>
        <w:jc w:val="both"/>
        <w:rPr>
          <w:rFonts w:ascii="Tw Cen MT" w:hAnsi="Tw Cen MT" w:cs="Times New Roman"/>
          <w:kern w:val="16"/>
          <w:sz w:val="24"/>
          <w:szCs w:val="24"/>
          <w:lang w:eastAsia="fr-FR"/>
        </w:rPr>
      </w:pPr>
    </w:p>
    <w:p w14:paraId="017C7B2D" w14:textId="0DAA53A3" w:rsidR="00BC0972" w:rsidRPr="00851ED2" w:rsidRDefault="00BC0972" w:rsidP="00851ED2">
      <w:pPr>
        <w:spacing w:before="120" w:after="120" w:line="264" w:lineRule="auto"/>
        <w:jc w:val="both"/>
        <w:rPr>
          <w:rFonts w:ascii="Tw Cen MT" w:hAnsi="Tw Cen MT" w:cstheme="majorBidi"/>
          <w:sz w:val="24"/>
          <w:szCs w:val="24"/>
        </w:rPr>
      </w:pPr>
      <w:r>
        <w:rPr>
          <w:rFonts w:ascii="Tw Cen MT" w:hAnsi="Tw Cen MT" w:cstheme="majorBidi"/>
          <w:noProof/>
          <w:sz w:val="24"/>
          <w:szCs w:val="24"/>
          <w:lang w:eastAsia="fr-FR"/>
        </w:rPr>
        <w:drawing>
          <wp:inline distT="0" distB="0" distL="0" distR="0" wp14:anchorId="1CF75A21" wp14:editId="233EC219">
            <wp:extent cx="5857875" cy="2686029"/>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5092" cy="2698509"/>
                    </a:xfrm>
                    <a:prstGeom prst="rect">
                      <a:avLst/>
                    </a:prstGeom>
                    <a:noFill/>
                  </pic:spPr>
                </pic:pic>
              </a:graphicData>
            </a:graphic>
          </wp:inline>
        </w:drawing>
      </w:r>
    </w:p>
    <w:p w14:paraId="28CBCA77" w14:textId="51E3F22D" w:rsidR="00BC0972" w:rsidRDefault="00BC0972" w:rsidP="005401AB">
      <w:pPr>
        <w:autoSpaceDE w:val="0"/>
        <w:autoSpaceDN w:val="0"/>
        <w:adjustRightInd w:val="0"/>
        <w:spacing w:after="240" w:line="276" w:lineRule="auto"/>
        <w:jc w:val="both"/>
        <w:rPr>
          <w:rFonts w:ascii="Tw Cen MT" w:hAnsi="Tw Cen MT" w:cstheme="majorBidi"/>
          <w:sz w:val="26"/>
          <w:szCs w:val="26"/>
        </w:rPr>
      </w:pPr>
      <w:r>
        <w:rPr>
          <w:rFonts w:ascii="Tw Cen MT" w:hAnsi="Tw Cen MT" w:cstheme="majorBidi"/>
          <w:sz w:val="26"/>
          <w:szCs w:val="26"/>
        </w:rPr>
        <w:t xml:space="preserve">Le cadre institutionnel de l’ITIE est régi au Mali par le </w:t>
      </w:r>
      <w:r w:rsidRPr="00851ED2">
        <w:rPr>
          <w:rFonts w:ascii="Tw Cen MT" w:hAnsi="Tw Cen MT" w:cstheme="majorBidi"/>
          <w:sz w:val="26"/>
          <w:szCs w:val="26"/>
        </w:rPr>
        <w:t>Décret N°2019 – 0006/PM-RM du 10 décembre 2019</w:t>
      </w:r>
      <w:r>
        <w:rPr>
          <w:rFonts w:ascii="Tw Cen MT" w:hAnsi="Tw Cen MT" w:cstheme="majorBidi"/>
          <w:sz w:val="26"/>
          <w:szCs w:val="26"/>
        </w:rPr>
        <w:t xml:space="preserve"> portant création, organisation et modalités de fonctionnement des organes de mise en œuvre de l’ITIE au Mali. Il comprend les organes ci-dessous :</w:t>
      </w:r>
    </w:p>
    <w:p w14:paraId="437B137C" w14:textId="6596C008" w:rsidR="00BC0972" w:rsidRDefault="00BC0972" w:rsidP="00BC0972">
      <w:pPr>
        <w:pStyle w:val="Paragraphedeliste"/>
        <w:numPr>
          <w:ilvl w:val="0"/>
          <w:numId w:val="8"/>
        </w:numPr>
        <w:autoSpaceDE w:val="0"/>
        <w:autoSpaceDN w:val="0"/>
        <w:adjustRightInd w:val="0"/>
        <w:spacing w:after="240" w:line="276" w:lineRule="auto"/>
        <w:jc w:val="both"/>
        <w:rPr>
          <w:rFonts w:ascii="Tw Cen MT" w:hAnsi="Tw Cen MT" w:cstheme="majorBidi"/>
          <w:sz w:val="26"/>
          <w:szCs w:val="26"/>
        </w:rPr>
      </w:pPr>
      <w:r>
        <w:rPr>
          <w:rFonts w:ascii="Tw Cen MT" w:hAnsi="Tw Cen MT" w:cstheme="majorBidi"/>
          <w:sz w:val="26"/>
          <w:szCs w:val="26"/>
        </w:rPr>
        <w:t>le comité de supervision composé de 11 membres représentant l’administration publique, la société civile et la chambre des mines ;</w:t>
      </w:r>
    </w:p>
    <w:p w14:paraId="2E86EB0A" w14:textId="6351EAB7" w:rsidR="00BC0972" w:rsidRDefault="00BC0972" w:rsidP="00BC0972">
      <w:pPr>
        <w:pStyle w:val="Paragraphedeliste"/>
        <w:numPr>
          <w:ilvl w:val="0"/>
          <w:numId w:val="8"/>
        </w:numPr>
        <w:autoSpaceDE w:val="0"/>
        <w:autoSpaceDN w:val="0"/>
        <w:adjustRightInd w:val="0"/>
        <w:spacing w:after="240" w:line="276" w:lineRule="auto"/>
        <w:jc w:val="both"/>
        <w:rPr>
          <w:rFonts w:ascii="Tw Cen MT" w:hAnsi="Tw Cen MT" w:cstheme="majorBidi"/>
          <w:sz w:val="26"/>
          <w:szCs w:val="26"/>
        </w:rPr>
      </w:pPr>
      <w:r>
        <w:rPr>
          <w:rFonts w:ascii="Tw Cen MT" w:hAnsi="Tw Cen MT" w:cstheme="majorBidi"/>
          <w:sz w:val="26"/>
          <w:szCs w:val="26"/>
        </w:rPr>
        <w:t>le comité de pilotage composé de 30 membres représentant l’administration publique, la société civile et des entreprises extractives ;</w:t>
      </w:r>
    </w:p>
    <w:p w14:paraId="72B97000" w14:textId="5369FA2A" w:rsidR="00BC0972" w:rsidRDefault="00BC0972" w:rsidP="00BC0972">
      <w:pPr>
        <w:pStyle w:val="Paragraphedeliste"/>
        <w:numPr>
          <w:ilvl w:val="0"/>
          <w:numId w:val="8"/>
        </w:numPr>
        <w:autoSpaceDE w:val="0"/>
        <w:autoSpaceDN w:val="0"/>
        <w:adjustRightInd w:val="0"/>
        <w:spacing w:after="240" w:line="276" w:lineRule="auto"/>
        <w:jc w:val="both"/>
        <w:rPr>
          <w:rFonts w:ascii="Tw Cen MT" w:hAnsi="Tw Cen MT" w:cstheme="majorBidi"/>
          <w:sz w:val="26"/>
          <w:szCs w:val="26"/>
        </w:rPr>
      </w:pPr>
      <w:r>
        <w:rPr>
          <w:rFonts w:ascii="Tw Cen MT" w:hAnsi="Tw Cen MT" w:cstheme="majorBidi"/>
          <w:sz w:val="26"/>
          <w:szCs w:val="26"/>
        </w:rPr>
        <w:t xml:space="preserve">le </w:t>
      </w:r>
      <w:r w:rsidR="00D60026">
        <w:rPr>
          <w:rFonts w:ascii="Tw Cen MT" w:hAnsi="Tw Cen MT" w:cstheme="majorBidi"/>
          <w:sz w:val="26"/>
          <w:szCs w:val="26"/>
        </w:rPr>
        <w:t>S</w:t>
      </w:r>
      <w:r>
        <w:rPr>
          <w:rFonts w:ascii="Tw Cen MT" w:hAnsi="Tw Cen MT" w:cstheme="majorBidi"/>
          <w:sz w:val="26"/>
          <w:szCs w:val="26"/>
        </w:rPr>
        <w:t xml:space="preserve">ecrétariat </w:t>
      </w:r>
      <w:r w:rsidR="00D60026">
        <w:rPr>
          <w:rFonts w:ascii="Tw Cen MT" w:hAnsi="Tw Cen MT" w:cstheme="majorBidi"/>
          <w:sz w:val="26"/>
          <w:szCs w:val="26"/>
        </w:rPr>
        <w:t>P</w:t>
      </w:r>
      <w:r>
        <w:rPr>
          <w:rFonts w:ascii="Tw Cen MT" w:hAnsi="Tw Cen MT" w:cstheme="majorBidi"/>
          <w:sz w:val="26"/>
          <w:szCs w:val="26"/>
        </w:rPr>
        <w:t>ermanent.</w:t>
      </w:r>
    </w:p>
    <w:p w14:paraId="564462C6" w14:textId="1820585E" w:rsidR="005401AB" w:rsidRPr="005401AB" w:rsidRDefault="005401AB" w:rsidP="005401AB">
      <w:pPr>
        <w:autoSpaceDE w:val="0"/>
        <w:autoSpaceDN w:val="0"/>
        <w:adjustRightInd w:val="0"/>
        <w:spacing w:after="240" w:line="276" w:lineRule="auto"/>
        <w:jc w:val="both"/>
        <w:rPr>
          <w:rFonts w:ascii="Tw Cen MT" w:hAnsi="Tw Cen MT" w:cstheme="majorBidi"/>
          <w:sz w:val="26"/>
          <w:szCs w:val="26"/>
        </w:rPr>
      </w:pPr>
      <w:r w:rsidRPr="005401AB">
        <w:rPr>
          <w:rFonts w:ascii="Tw Cen MT" w:hAnsi="Tw Cen MT" w:cstheme="majorBidi"/>
          <w:sz w:val="26"/>
          <w:szCs w:val="26"/>
        </w:rPr>
        <w:t xml:space="preserve">Au regard de ce qui précède, le Comité de Pilotage de l’ITIE -Mali </w:t>
      </w:r>
      <w:r w:rsidR="005D4EDB">
        <w:rPr>
          <w:rFonts w:ascii="Tw Cen MT" w:hAnsi="Tw Cen MT" w:cstheme="majorBidi"/>
          <w:sz w:val="26"/>
          <w:szCs w:val="26"/>
        </w:rPr>
        <w:t xml:space="preserve">fait recours aux services </w:t>
      </w:r>
      <w:r>
        <w:rPr>
          <w:rFonts w:ascii="Tw Cen MT" w:hAnsi="Tw Cen MT" w:cstheme="majorBidi"/>
          <w:sz w:val="26"/>
          <w:szCs w:val="26"/>
        </w:rPr>
        <w:t>d’un</w:t>
      </w:r>
      <w:r w:rsidRPr="005401AB">
        <w:rPr>
          <w:rFonts w:ascii="Tw Cen MT" w:hAnsi="Tw Cen MT" w:cstheme="majorBidi"/>
          <w:sz w:val="26"/>
          <w:szCs w:val="26"/>
        </w:rPr>
        <w:t xml:space="preserve"> Cabinet de réputation internationale, libre de tout conflit d’intérêt pour fournir des services d’Administrateur Indépendant conformément à la norme ITIE </w:t>
      </w:r>
      <w:r w:rsidR="00D60026">
        <w:rPr>
          <w:rFonts w:ascii="Tw Cen MT" w:hAnsi="Tw Cen MT" w:cstheme="majorBidi"/>
          <w:sz w:val="26"/>
          <w:szCs w:val="26"/>
        </w:rPr>
        <w:t xml:space="preserve">2019 </w:t>
      </w:r>
      <w:r w:rsidRPr="005401AB">
        <w:rPr>
          <w:rFonts w:ascii="Tw Cen MT" w:hAnsi="Tw Cen MT" w:cstheme="majorBidi"/>
          <w:sz w:val="26"/>
          <w:szCs w:val="26"/>
        </w:rPr>
        <w:t xml:space="preserve">en vue d’élaborer le rapport ITIE </w:t>
      </w:r>
      <w:r w:rsidR="00D60026">
        <w:rPr>
          <w:rFonts w:ascii="Tw Cen MT" w:hAnsi="Tw Cen MT" w:cstheme="majorBidi"/>
          <w:sz w:val="26"/>
          <w:szCs w:val="26"/>
        </w:rPr>
        <w:t xml:space="preserve">Mali </w:t>
      </w:r>
      <w:r w:rsidRPr="005401AB">
        <w:rPr>
          <w:rFonts w:ascii="Tw Cen MT" w:hAnsi="Tw Cen MT" w:cstheme="majorBidi"/>
          <w:sz w:val="26"/>
          <w:szCs w:val="26"/>
        </w:rPr>
        <w:t>pour l</w:t>
      </w:r>
      <w:r w:rsidR="008B4F97">
        <w:rPr>
          <w:rFonts w:ascii="Tw Cen MT" w:hAnsi="Tw Cen MT" w:cstheme="majorBidi"/>
          <w:sz w:val="26"/>
          <w:szCs w:val="26"/>
        </w:rPr>
        <w:t>a période allant du 01 janvier au 31 décembre 2019.</w:t>
      </w:r>
    </w:p>
    <w:p w14:paraId="53A6FA1E" w14:textId="626B1535" w:rsidR="00185109" w:rsidRPr="005401AB" w:rsidRDefault="0025147D" w:rsidP="0025147D">
      <w:pPr>
        <w:spacing w:after="240" w:line="276" w:lineRule="auto"/>
        <w:jc w:val="both"/>
        <w:rPr>
          <w:rFonts w:ascii="Tw Cen MT" w:hAnsi="Tw Cen MT" w:cstheme="majorBidi"/>
          <w:sz w:val="26"/>
          <w:szCs w:val="26"/>
        </w:rPr>
      </w:pPr>
      <w:r w:rsidRPr="005401AB">
        <w:rPr>
          <w:rFonts w:ascii="Tw Cen MT" w:hAnsi="Tw Cen MT" w:cstheme="majorBidi"/>
          <w:sz w:val="26"/>
          <w:szCs w:val="26"/>
        </w:rPr>
        <w:t>La présente mission s’inscrit dans ce cadre.</w:t>
      </w:r>
    </w:p>
    <w:p w14:paraId="64730B02" w14:textId="77777777" w:rsidR="0025147D" w:rsidRDefault="0025147D">
      <w:pPr>
        <w:spacing w:after="160" w:line="259" w:lineRule="auto"/>
        <w:rPr>
          <w:rFonts w:ascii="Tw Cen MT" w:hAnsi="Tw Cen MT"/>
          <w:b/>
          <w:iCs/>
          <w:sz w:val="24"/>
          <w:szCs w:val="24"/>
        </w:rPr>
      </w:pPr>
      <w:r>
        <w:rPr>
          <w:rFonts w:ascii="Tw Cen MT" w:hAnsi="Tw Cen MT"/>
          <w:b/>
          <w:iCs/>
          <w:sz w:val="24"/>
          <w:szCs w:val="24"/>
        </w:rPr>
        <w:br w:type="page"/>
      </w:r>
    </w:p>
    <w:p w14:paraId="46D95D79" w14:textId="784EB657" w:rsidR="0025147D" w:rsidRPr="0087586F" w:rsidRDefault="0025147D" w:rsidP="00F84296">
      <w:pPr>
        <w:pStyle w:val="Paragraphedeliste"/>
        <w:numPr>
          <w:ilvl w:val="0"/>
          <w:numId w:val="5"/>
        </w:numPr>
        <w:spacing w:before="240" w:after="240"/>
        <w:ind w:left="1077"/>
        <w:contextualSpacing w:val="0"/>
        <w:outlineLvl w:val="0"/>
        <w:rPr>
          <w:rFonts w:ascii="Tw Cen MT" w:hAnsi="Tw Cen MT"/>
          <w:b/>
          <w:iCs/>
          <w:sz w:val="26"/>
          <w:szCs w:val="26"/>
        </w:rPr>
      </w:pPr>
      <w:bookmarkStart w:id="3" w:name="_Toc90999703"/>
      <w:r w:rsidRPr="0087586F">
        <w:rPr>
          <w:rFonts w:ascii="Tw Cen MT" w:hAnsi="Tw Cen MT"/>
          <w:b/>
          <w:iCs/>
          <w:sz w:val="26"/>
          <w:szCs w:val="26"/>
        </w:rPr>
        <w:lastRenderedPageBreak/>
        <w:t>OBJECTIFS ET RÉSULTATS ATTENDUS DE L’ÉTUDE</w:t>
      </w:r>
      <w:bookmarkEnd w:id="3"/>
    </w:p>
    <w:p w14:paraId="1C3350D5" w14:textId="52795DCB" w:rsidR="0025147D" w:rsidRPr="0087586F" w:rsidRDefault="0025147D" w:rsidP="00F84296">
      <w:pPr>
        <w:pStyle w:val="Paragraphedeliste"/>
        <w:numPr>
          <w:ilvl w:val="1"/>
          <w:numId w:val="6"/>
        </w:numPr>
        <w:spacing w:before="240" w:after="240"/>
        <w:outlineLvl w:val="1"/>
        <w:rPr>
          <w:rFonts w:ascii="Tw Cen MT" w:hAnsi="Tw Cen MT"/>
          <w:b/>
          <w:iCs/>
          <w:sz w:val="26"/>
          <w:szCs w:val="26"/>
        </w:rPr>
      </w:pPr>
      <w:bookmarkStart w:id="4" w:name="_Toc90999704"/>
      <w:r w:rsidRPr="0087586F">
        <w:rPr>
          <w:rFonts w:ascii="Tw Cen MT" w:hAnsi="Tw Cen MT"/>
          <w:b/>
          <w:iCs/>
          <w:sz w:val="26"/>
          <w:szCs w:val="26"/>
        </w:rPr>
        <w:t>Objectifs</w:t>
      </w:r>
      <w:bookmarkEnd w:id="4"/>
      <w:r w:rsidRPr="0087586F">
        <w:rPr>
          <w:rFonts w:ascii="Tw Cen MT" w:hAnsi="Tw Cen MT"/>
          <w:b/>
          <w:iCs/>
          <w:sz w:val="26"/>
          <w:szCs w:val="26"/>
        </w:rPr>
        <w:t xml:space="preserve"> </w:t>
      </w:r>
    </w:p>
    <w:p w14:paraId="009F9A51" w14:textId="4308D03E" w:rsidR="0025147D" w:rsidRPr="003F215E" w:rsidRDefault="0025147D" w:rsidP="0025147D">
      <w:pPr>
        <w:spacing w:after="240" w:line="276" w:lineRule="auto"/>
        <w:jc w:val="both"/>
        <w:rPr>
          <w:rFonts w:ascii="Tw Cen MT" w:hAnsi="Tw Cen MT"/>
          <w:bCs/>
          <w:iCs/>
          <w:sz w:val="26"/>
          <w:szCs w:val="26"/>
        </w:rPr>
      </w:pPr>
      <w:r w:rsidRPr="003F215E">
        <w:rPr>
          <w:rFonts w:ascii="Tw Cen MT" w:hAnsi="Tw Cen MT"/>
          <w:bCs/>
          <w:iCs/>
          <w:sz w:val="26"/>
          <w:szCs w:val="26"/>
        </w:rPr>
        <w:t>L’objectif</w:t>
      </w:r>
      <w:r w:rsidR="003F36D5" w:rsidRPr="003F36D5">
        <w:rPr>
          <w:rFonts w:ascii="Tw Cen MT" w:hAnsi="Tw Cen MT"/>
          <w:bCs/>
          <w:iCs/>
          <w:sz w:val="26"/>
          <w:szCs w:val="26"/>
        </w:rPr>
        <w:t xml:space="preserve"> général de la mission consiste à produire le Rapport ITIE-Mali pour l’exercice fiscal 2019 conformément à la norme ITIE 2019.</w:t>
      </w:r>
    </w:p>
    <w:p w14:paraId="05EFBC64" w14:textId="77777777" w:rsidR="0025147D" w:rsidRPr="003F215E" w:rsidRDefault="0025147D" w:rsidP="00FB3B13">
      <w:pPr>
        <w:spacing w:after="120" w:line="276" w:lineRule="auto"/>
        <w:jc w:val="both"/>
        <w:rPr>
          <w:rFonts w:ascii="Tw Cen MT" w:hAnsi="Tw Cen MT"/>
          <w:bCs/>
          <w:iCs/>
          <w:sz w:val="26"/>
          <w:szCs w:val="26"/>
        </w:rPr>
      </w:pPr>
      <w:r w:rsidRPr="003F215E">
        <w:rPr>
          <w:rFonts w:ascii="Tw Cen MT" w:hAnsi="Tw Cen MT"/>
          <w:bCs/>
          <w:iCs/>
          <w:sz w:val="26"/>
          <w:szCs w:val="26"/>
        </w:rPr>
        <w:t>Les objectifs spécifiques sont :</w:t>
      </w:r>
    </w:p>
    <w:p w14:paraId="33D9EBA0" w14:textId="77777777" w:rsidR="003F36D5" w:rsidRPr="003F36D5" w:rsidRDefault="003F36D5" w:rsidP="003F36D5">
      <w:pPr>
        <w:pStyle w:val="Paragraphedeliste"/>
        <w:numPr>
          <w:ilvl w:val="2"/>
          <w:numId w:val="7"/>
        </w:numPr>
        <w:spacing w:after="240" w:line="276" w:lineRule="auto"/>
        <w:ind w:left="567"/>
        <w:jc w:val="both"/>
        <w:rPr>
          <w:rFonts w:ascii="Tw Cen MT" w:hAnsi="Tw Cen MT"/>
          <w:bCs/>
          <w:iCs/>
          <w:sz w:val="26"/>
          <w:szCs w:val="26"/>
        </w:rPr>
      </w:pPr>
      <w:r w:rsidRPr="003F36D5">
        <w:rPr>
          <w:rFonts w:ascii="Tw Cen MT" w:hAnsi="Tw Cen MT"/>
          <w:bCs/>
          <w:iCs/>
          <w:sz w:val="26"/>
          <w:szCs w:val="26"/>
        </w:rPr>
        <w:t>renforcer le suivi de la mise en œuvre du processus ITIE au Mali ;</w:t>
      </w:r>
    </w:p>
    <w:p w14:paraId="4A3132F7" w14:textId="77777777" w:rsidR="003F36D5" w:rsidRPr="003F36D5" w:rsidRDefault="003F36D5" w:rsidP="003F36D5">
      <w:pPr>
        <w:pStyle w:val="Paragraphedeliste"/>
        <w:numPr>
          <w:ilvl w:val="2"/>
          <w:numId w:val="7"/>
        </w:numPr>
        <w:spacing w:after="240" w:line="276" w:lineRule="auto"/>
        <w:ind w:left="567"/>
        <w:jc w:val="both"/>
        <w:rPr>
          <w:rFonts w:ascii="Tw Cen MT" w:hAnsi="Tw Cen MT"/>
          <w:bCs/>
          <w:iCs/>
          <w:sz w:val="26"/>
          <w:szCs w:val="26"/>
        </w:rPr>
      </w:pPr>
      <w:r w:rsidRPr="003F36D5">
        <w:rPr>
          <w:rFonts w:ascii="Tw Cen MT" w:hAnsi="Tw Cen MT"/>
          <w:bCs/>
          <w:iCs/>
          <w:sz w:val="26"/>
          <w:szCs w:val="26"/>
        </w:rPr>
        <w:t xml:space="preserve">assurer l’exhaustivité et la fiabilité des données du secteur extractif ; </w:t>
      </w:r>
    </w:p>
    <w:p w14:paraId="5C7CFF67" w14:textId="0DE3A6DD" w:rsidR="003F36D5" w:rsidRPr="003F36D5" w:rsidRDefault="003F36D5" w:rsidP="003F36D5">
      <w:pPr>
        <w:pStyle w:val="Paragraphedeliste"/>
        <w:numPr>
          <w:ilvl w:val="2"/>
          <w:numId w:val="7"/>
        </w:numPr>
        <w:spacing w:after="240" w:line="276" w:lineRule="auto"/>
        <w:ind w:left="567"/>
        <w:jc w:val="both"/>
        <w:rPr>
          <w:rFonts w:ascii="Tw Cen MT" w:hAnsi="Tw Cen MT"/>
          <w:bCs/>
          <w:iCs/>
          <w:sz w:val="26"/>
          <w:szCs w:val="26"/>
        </w:rPr>
      </w:pPr>
      <w:r w:rsidRPr="003F36D5">
        <w:rPr>
          <w:rFonts w:ascii="Tw Cen MT" w:hAnsi="Tw Cen MT"/>
          <w:bCs/>
          <w:iCs/>
          <w:sz w:val="26"/>
          <w:szCs w:val="26"/>
        </w:rPr>
        <w:t>décrire l’octroi et la gestion des licences du secteur extractif ;</w:t>
      </w:r>
    </w:p>
    <w:p w14:paraId="425EEBCF" w14:textId="77777777" w:rsidR="003F36D5" w:rsidRPr="003F36D5" w:rsidRDefault="003F36D5" w:rsidP="003F36D5">
      <w:pPr>
        <w:pStyle w:val="Paragraphedeliste"/>
        <w:numPr>
          <w:ilvl w:val="2"/>
          <w:numId w:val="7"/>
        </w:numPr>
        <w:spacing w:after="240" w:line="276" w:lineRule="auto"/>
        <w:ind w:left="567"/>
        <w:jc w:val="both"/>
        <w:rPr>
          <w:rFonts w:ascii="Tw Cen MT" w:hAnsi="Tw Cen MT"/>
          <w:bCs/>
          <w:iCs/>
          <w:sz w:val="26"/>
          <w:szCs w:val="26"/>
        </w:rPr>
      </w:pPr>
      <w:r w:rsidRPr="003F36D5">
        <w:rPr>
          <w:rFonts w:ascii="Tw Cen MT" w:hAnsi="Tw Cen MT"/>
          <w:bCs/>
          <w:iCs/>
          <w:sz w:val="26"/>
          <w:szCs w:val="26"/>
        </w:rPr>
        <w:t xml:space="preserve">décrire les critères techniques et financiers considérés pendant l’octroi et le transfert des licences minières ; </w:t>
      </w:r>
    </w:p>
    <w:p w14:paraId="4E89326C" w14:textId="5C547EB8" w:rsidR="003F36D5" w:rsidRPr="003F36D5" w:rsidRDefault="003F36D5" w:rsidP="003F36D5">
      <w:pPr>
        <w:pStyle w:val="Paragraphedeliste"/>
        <w:numPr>
          <w:ilvl w:val="2"/>
          <w:numId w:val="7"/>
        </w:numPr>
        <w:spacing w:after="240" w:line="276" w:lineRule="auto"/>
        <w:ind w:left="567"/>
        <w:jc w:val="both"/>
        <w:rPr>
          <w:rFonts w:ascii="Tw Cen MT" w:hAnsi="Tw Cen MT"/>
          <w:bCs/>
          <w:iCs/>
          <w:sz w:val="26"/>
          <w:szCs w:val="26"/>
        </w:rPr>
      </w:pPr>
      <w:r w:rsidRPr="003F36D5">
        <w:rPr>
          <w:rFonts w:ascii="Tw Cen MT" w:hAnsi="Tw Cen MT"/>
          <w:bCs/>
          <w:iCs/>
          <w:sz w:val="26"/>
          <w:szCs w:val="26"/>
        </w:rPr>
        <w:t>divulguer</w:t>
      </w:r>
      <w:r w:rsidR="00922E01">
        <w:rPr>
          <w:rFonts w:ascii="Tw Cen MT" w:hAnsi="Tw Cen MT"/>
          <w:bCs/>
          <w:iCs/>
          <w:sz w:val="26"/>
          <w:szCs w:val="26"/>
        </w:rPr>
        <w:t xml:space="preserve"> </w:t>
      </w:r>
      <w:r w:rsidRPr="003F36D5">
        <w:rPr>
          <w:rFonts w:ascii="Tw Cen MT" w:hAnsi="Tw Cen MT"/>
          <w:bCs/>
          <w:iCs/>
          <w:sz w:val="26"/>
          <w:szCs w:val="26"/>
        </w:rPr>
        <w:t>les transferts infranationaux et justifier</w:t>
      </w:r>
      <w:r w:rsidR="00922E01">
        <w:rPr>
          <w:rFonts w:ascii="Tw Cen MT" w:hAnsi="Tw Cen MT"/>
          <w:bCs/>
          <w:iCs/>
          <w:sz w:val="26"/>
          <w:szCs w:val="26"/>
        </w:rPr>
        <w:t xml:space="preserve"> </w:t>
      </w:r>
      <w:r w:rsidRPr="003F36D5">
        <w:rPr>
          <w:rFonts w:ascii="Tw Cen MT" w:hAnsi="Tw Cen MT"/>
          <w:bCs/>
          <w:iCs/>
          <w:sz w:val="26"/>
          <w:szCs w:val="26"/>
        </w:rPr>
        <w:t>leur écart ;</w:t>
      </w:r>
    </w:p>
    <w:p w14:paraId="00604B5B" w14:textId="77777777" w:rsidR="003F36D5" w:rsidRPr="003F36D5" w:rsidRDefault="003F36D5" w:rsidP="003F36D5">
      <w:pPr>
        <w:pStyle w:val="Paragraphedeliste"/>
        <w:numPr>
          <w:ilvl w:val="2"/>
          <w:numId w:val="7"/>
        </w:numPr>
        <w:spacing w:after="240" w:line="276" w:lineRule="auto"/>
        <w:ind w:left="567"/>
        <w:jc w:val="both"/>
        <w:rPr>
          <w:rFonts w:ascii="Tw Cen MT" w:hAnsi="Tw Cen MT"/>
          <w:bCs/>
          <w:iCs/>
          <w:sz w:val="26"/>
          <w:szCs w:val="26"/>
        </w:rPr>
      </w:pPr>
      <w:r w:rsidRPr="003F36D5">
        <w:rPr>
          <w:rFonts w:ascii="Tw Cen MT" w:hAnsi="Tw Cen MT"/>
          <w:bCs/>
          <w:iCs/>
          <w:sz w:val="26"/>
          <w:szCs w:val="26"/>
        </w:rPr>
        <w:t>inventorier les données du secteur extractif en vue de leur intégration systématique dans les systèmes du gouvernement ;</w:t>
      </w:r>
    </w:p>
    <w:p w14:paraId="093787AD" w14:textId="77777777" w:rsidR="003F36D5" w:rsidRPr="003F36D5" w:rsidRDefault="003F36D5" w:rsidP="003F36D5">
      <w:pPr>
        <w:pStyle w:val="Paragraphedeliste"/>
        <w:numPr>
          <w:ilvl w:val="2"/>
          <w:numId w:val="7"/>
        </w:numPr>
        <w:spacing w:after="240" w:line="276" w:lineRule="auto"/>
        <w:ind w:left="567"/>
        <w:jc w:val="both"/>
        <w:rPr>
          <w:rFonts w:ascii="Tw Cen MT" w:hAnsi="Tw Cen MT"/>
          <w:bCs/>
          <w:iCs/>
          <w:sz w:val="26"/>
          <w:szCs w:val="26"/>
        </w:rPr>
      </w:pPr>
      <w:r w:rsidRPr="003F36D5">
        <w:rPr>
          <w:rFonts w:ascii="Tw Cen MT" w:hAnsi="Tw Cen MT"/>
          <w:bCs/>
          <w:iCs/>
          <w:sz w:val="26"/>
          <w:szCs w:val="26"/>
        </w:rPr>
        <w:t>divulguer l’identité des bénéficiaires effectifs ;</w:t>
      </w:r>
    </w:p>
    <w:p w14:paraId="325CB25F" w14:textId="77777777" w:rsidR="003F36D5" w:rsidRPr="003F36D5" w:rsidRDefault="003F36D5" w:rsidP="003F36D5">
      <w:pPr>
        <w:pStyle w:val="Paragraphedeliste"/>
        <w:numPr>
          <w:ilvl w:val="2"/>
          <w:numId w:val="7"/>
        </w:numPr>
        <w:spacing w:after="240" w:line="276" w:lineRule="auto"/>
        <w:ind w:left="567"/>
        <w:jc w:val="both"/>
        <w:rPr>
          <w:rFonts w:ascii="Tw Cen MT" w:hAnsi="Tw Cen MT"/>
          <w:bCs/>
          <w:iCs/>
          <w:sz w:val="26"/>
          <w:szCs w:val="26"/>
        </w:rPr>
      </w:pPr>
      <w:r w:rsidRPr="003F36D5">
        <w:rPr>
          <w:rFonts w:ascii="Tw Cen MT" w:hAnsi="Tw Cen MT"/>
          <w:bCs/>
          <w:iCs/>
          <w:sz w:val="26"/>
          <w:szCs w:val="26"/>
        </w:rPr>
        <w:t>assurer la divulgation par projet ;</w:t>
      </w:r>
    </w:p>
    <w:p w14:paraId="3973A493" w14:textId="5E74049E" w:rsidR="00FB3B13" w:rsidRPr="003F215E" w:rsidRDefault="003F36D5" w:rsidP="003F36D5">
      <w:pPr>
        <w:pStyle w:val="Paragraphedeliste"/>
        <w:numPr>
          <w:ilvl w:val="2"/>
          <w:numId w:val="7"/>
        </w:numPr>
        <w:spacing w:after="240" w:line="276" w:lineRule="auto"/>
        <w:ind w:left="567" w:hanging="357"/>
        <w:contextualSpacing w:val="0"/>
        <w:jc w:val="both"/>
        <w:rPr>
          <w:rFonts w:ascii="Tw Cen MT" w:hAnsi="Tw Cen MT"/>
          <w:bCs/>
          <w:iCs/>
          <w:sz w:val="26"/>
          <w:szCs w:val="26"/>
        </w:rPr>
      </w:pPr>
      <w:r w:rsidRPr="003F36D5">
        <w:rPr>
          <w:rFonts w:ascii="Tw Cen MT" w:hAnsi="Tw Cen MT"/>
          <w:bCs/>
          <w:iCs/>
          <w:sz w:val="26"/>
          <w:szCs w:val="26"/>
        </w:rPr>
        <w:t>intégrer les données sur l’ASM avec un pilote.</w:t>
      </w:r>
    </w:p>
    <w:p w14:paraId="15946BFA" w14:textId="77777777" w:rsidR="0025147D" w:rsidRPr="0087586F" w:rsidRDefault="0025147D" w:rsidP="003F36D5">
      <w:pPr>
        <w:pStyle w:val="Paragraphedeliste"/>
        <w:numPr>
          <w:ilvl w:val="1"/>
          <w:numId w:val="6"/>
        </w:numPr>
        <w:spacing w:before="240" w:after="240"/>
        <w:ind w:left="1797"/>
        <w:contextualSpacing w:val="0"/>
        <w:outlineLvl w:val="1"/>
        <w:rPr>
          <w:rFonts w:ascii="Tw Cen MT" w:hAnsi="Tw Cen MT"/>
          <w:b/>
          <w:iCs/>
          <w:sz w:val="26"/>
          <w:szCs w:val="26"/>
        </w:rPr>
      </w:pPr>
      <w:bookmarkStart w:id="5" w:name="_Toc90999705"/>
      <w:r w:rsidRPr="0087586F">
        <w:rPr>
          <w:rFonts w:ascii="Tw Cen MT" w:hAnsi="Tw Cen MT"/>
          <w:b/>
          <w:iCs/>
          <w:sz w:val="26"/>
          <w:szCs w:val="26"/>
        </w:rPr>
        <w:t>Résultats Attendus</w:t>
      </w:r>
      <w:bookmarkEnd w:id="5"/>
    </w:p>
    <w:p w14:paraId="79FF204C" w14:textId="7A12438B" w:rsidR="0025147D" w:rsidRPr="00C30010" w:rsidRDefault="0025147D" w:rsidP="00FB3B13">
      <w:pPr>
        <w:spacing w:after="120" w:line="276" w:lineRule="auto"/>
        <w:jc w:val="both"/>
        <w:rPr>
          <w:rFonts w:ascii="Tw Cen MT" w:hAnsi="Tw Cen MT"/>
          <w:bCs/>
          <w:iCs/>
          <w:sz w:val="26"/>
          <w:szCs w:val="26"/>
        </w:rPr>
      </w:pPr>
      <w:r w:rsidRPr="00C30010">
        <w:rPr>
          <w:rFonts w:ascii="Tw Cen MT" w:hAnsi="Tw Cen MT"/>
          <w:bCs/>
          <w:iCs/>
          <w:sz w:val="26"/>
          <w:szCs w:val="26"/>
        </w:rPr>
        <w:t>Les résultats suivants sont</w:t>
      </w:r>
      <w:r w:rsidR="00FB3B13" w:rsidRPr="00C30010">
        <w:rPr>
          <w:rFonts w:ascii="Tw Cen MT" w:hAnsi="Tw Cen MT"/>
          <w:bCs/>
          <w:iCs/>
          <w:sz w:val="26"/>
          <w:szCs w:val="26"/>
        </w:rPr>
        <w:t xml:space="preserve"> </w:t>
      </w:r>
      <w:r w:rsidRPr="00C30010">
        <w:rPr>
          <w:rFonts w:ascii="Tw Cen MT" w:hAnsi="Tw Cen MT"/>
          <w:bCs/>
          <w:iCs/>
          <w:sz w:val="26"/>
          <w:szCs w:val="26"/>
        </w:rPr>
        <w:t>:</w:t>
      </w:r>
    </w:p>
    <w:p w14:paraId="4B86F294" w14:textId="7D11584C" w:rsidR="0025147D" w:rsidRPr="00C30010" w:rsidRDefault="003F36D5" w:rsidP="00F84296">
      <w:pPr>
        <w:pStyle w:val="Paragraphedeliste"/>
        <w:numPr>
          <w:ilvl w:val="2"/>
          <w:numId w:val="7"/>
        </w:numPr>
        <w:spacing w:after="240" w:line="276" w:lineRule="auto"/>
        <w:ind w:left="567"/>
        <w:jc w:val="both"/>
        <w:rPr>
          <w:rFonts w:ascii="Tw Cen MT" w:hAnsi="Tw Cen MT"/>
          <w:bCs/>
          <w:iCs/>
          <w:sz w:val="26"/>
          <w:szCs w:val="26"/>
        </w:rPr>
      </w:pPr>
      <w:r>
        <w:rPr>
          <w:rFonts w:ascii="Tw Cen MT" w:hAnsi="Tw Cen MT"/>
          <w:bCs/>
          <w:iCs/>
          <w:sz w:val="26"/>
          <w:szCs w:val="26"/>
        </w:rPr>
        <w:t>l</w:t>
      </w:r>
      <w:r w:rsidRPr="003F36D5">
        <w:rPr>
          <w:rFonts w:ascii="Tw Cen MT" w:hAnsi="Tw Cen MT"/>
          <w:bCs/>
          <w:iCs/>
          <w:sz w:val="26"/>
          <w:szCs w:val="26"/>
        </w:rPr>
        <w:t>e rapport ITIE 2019 conformément à la norme ITIE 2019 est produit dans les délais escomptés.</w:t>
      </w:r>
      <w:r w:rsidR="0025147D" w:rsidRPr="00C30010">
        <w:rPr>
          <w:rFonts w:ascii="Tw Cen MT" w:hAnsi="Tw Cen MT"/>
          <w:bCs/>
          <w:iCs/>
          <w:sz w:val="26"/>
          <w:szCs w:val="26"/>
        </w:rPr>
        <w:t> ;</w:t>
      </w:r>
    </w:p>
    <w:p w14:paraId="2DED06F1" w14:textId="27960D63" w:rsidR="0025147D" w:rsidRPr="003F36D5" w:rsidRDefault="003F36D5" w:rsidP="005D08D6">
      <w:pPr>
        <w:pStyle w:val="Paragraphedeliste"/>
        <w:numPr>
          <w:ilvl w:val="2"/>
          <w:numId w:val="7"/>
        </w:numPr>
        <w:spacing w:after="240" w:line="276" w:lineRule="auto"/>
        <w:ind w:left="567" w:hanging="357"/>
        <w:contextualSpacing w:val="0"/>
        <w:jc w:val="both"/>
        <w:rPr>
          <w:rFonts w:ascii="Tw Cen MT" w:hAnsi="Tw Cen MT"/>
          <w:bCs/>
          <w:iCs/>
          <w:sz w:val="26"/>
          <w:szCs w:val="26"/>
        </w:rPr>
      </w:pPr>
      <w:r w:rsidRPr="003F36D5">
        <w:rPr>
          <w:rFonts w:ascii="Tw Cen MT" w:hAnsi="Tw Cen MT"/>
          <w:bCs/>
          <w:iCs/>
          <w:sz w:val="26"/>
          <w:szCs w:val="26"/>
        </w:rPr>
        <w:t>des ateliers de présentation du rapport de cadrage, de formation sur les instructions de reporting et de validation du rapport sont organisés.</w:t>
      </w:r>
      <w:r w:rsidR="0025147D" w:rsidRPr="003F36D5">
        <w:rPr>
          <w:rFonts w:ascii="Tw Cen MT" w:hAnsi="Tw Cen MT"/>
          <w:bCs/>
          <w:iCs/>
          <w:sz w:val="26"/>
          <w:szCs w:val="26"/>
        </w:rPr>
        <w:t> </w:t>
      </w:r>
    </w:p>
    <w:p w14:paraId="7494E3DE" w14:textId="17425F24" w:rsidR="00FB3B13" w:rsidRPr="0087586F" w:rsidRDefault="00CB4D58" w:rsidP="00F84296">
      <w:pPr>
        <w:pStyle w:val="Paragraphedeliste"/>
        <w:numPr>
          <w:ilvl w:val="1"/>
          <w:numId w:val="6"/>
        </w:numPr>
        <w:spacing w:before="240" w:after="240"/>
        <w:ind w:left="1797"/>
        <w:contextualSpacing w:val="0"/>
        <w:outlineLvl w:val="1"/>
        <w:rPr>
          <w:rFonts w:ascii="Tw Cen MT" w:hAnsi="Tw Cen MT"/>
          <w:b/>
          <w:iCs/>
          <w:sz w:val="26"/>
          <w:szCs w:val="26"/>
        </w:rPr>
      </w:pPr>
      <w:bookmarkStart w:id="6" w:name="_Toc90999706"/>
      <w:r>
        <w:rPr>
          <w:rFonts w:ascii="Tw Cen MT" w:hAnsi="Tw Cen MT"/>
          <w:b/>
          <w:iCs/>
          <w:sz w:val="26"/>
          <w:szCs w:val="26"/>
        </w:rPr>
        <w:t xml:space="preserve">Livrables </w:t>
      </w:r>
      <w:r w:rsidR="00FB3B13" w:rsidRPr="0087586F">
        <w:rPr>
          <w:rFonts w:ascii="Tw Cen MT" w:hAnsi="Tw Cen MT"/>
          <w:b/>
          <w:iCs/>
          <w:sz w:val="26"/>
          <w:szCs w:val="26"/>
        </w:rPr>
        <w:t>Attendus</w:t>
      </w:r>
      <w:bookmarkEnd w:id="6"/>
    </w:p>
    <w:p w14:paraId="1710C4CE" w14:textId="7DD16E7B" w:rsidR="00FB3B13" w:rsidRPr="00C30010" w:rsidRDefault="00FB3B13" w:rsidP="00295B77">
      <w:pPr>
        <w:spacing w:line="276" w:lineRule="auto"/>
        <w:jc w:val="both"/>
        <w:rPr>
          <w:rFonts w:ascii="Tw Cen MT" w:hAnsi="Tw Cen MT"/>
          <w:bCs/>
          <w:iCs/>
          <w:sz w:val="26"/>
          <w:szCs w:val="26"/>
        </w:rPr>
      </w:pPr>
      <w:r w:rsidRPr="00C30010">
        <w:rPr>
          <w:rFonts w:ascii="Tw Cen MT" w:hAnsi="Tw Cen MT"/>
          <w:bCs/>
          <w:iCs/>
          <w:sz w:val="26"/>
          <w:szCs w:val="26"/>
        </w:rPr>
        <w:t>Selon les termes de référence et la séance de négociation du contrat</w:t>
      </w:r>
      <w:r w:rsidR="00D52A0E" w:rsidRPr="00C30010">
        <w:rPr>
          <w:rFonts w:ascii="Tw Cen MT" w:hAnsi="Tw Cen MT"/>
          <w:bCs/>
          <w:iCs/>
          <w:sz w:val="26"/>
          <w:szCs w:val="26"/>
        </w:rPr>
        <w:t>, les livrables à produire sont les suivants :</w:t>
      </w:r>
    </w:p>
    <w:p w14:paraId="03E15B3C" w14:textId="66E268BD" w:rsidR="003F36D5" w:rsidRPr="003F36D5" w:rsidRDefault="003F36D5" w:rsidP="003F36D5">
      <w:pPr>
        <w:pStyle w:val="Paragraphedeliste"/>
        <w:numPr>
          <w:ilvl w:val="2"/>
          <w:numId w:val="7"/>
        </w:numPr>
        <w:spacing w:after="240" w:line="276" w:lineRule="auto"/>
        <w:ind w:left="567"/>
        <w:jc w:val="both"/>
        <w:rPr>
          <w:rFonts w:ascii="Tw Cen MT" w:hAnsi="Tw Cen MT"/>
          <w:bCs/>
          <w:iCs/>
          <w:sz w:val="26"/>
          <w:szCs w:val="26"/>
        </w:rPr>
      </w:pPr>
      <w:r>
        <w:rPr>
          <w:rFonts w:ascii="Tw Cen MT" w:hAnsi="Tw Cen MT"/>
          <w:bCs/>
          <w:iCs/>
          <w:sz w:val="26"/>
          <w:szCs w:val="26"/>
        </w:rPr>
        <w:t xml:space="preserve">le </w:t>
      </w:r>
      <w:r w:rsidRPr="003F36D5">
        <w:rPr>
          <w:rFonts w:ascii="Tw Cen MT" w:hAnsi="Tw Cen MT"/>
          <w:bCs/>
          <w:iCs/>
          <w:sz w:val="26"/>
          <w:szCs w:val="26"/>
        </w:rPr>
        <w:t>rapport de l’étude de cadrage</w:t>
      </w:r>
      <w:r>
        <w:rPr>
          <w:rFonts w:ascii="Tw Cen MT" w:hAnsi="Tw Cen MT"/>
          <w:bCs/>
          <w:iCs/>
          <w:sz w:val="26"/>
          <w:szCs w:val="26"/>
        </w:rPr>
        <w:t xml:space="preserve"> </w:t>
      </w:r>
      <w:r w:rsidRPr="003F36D5">
        <w:rPr>
          <w:rFonts w:ascii="Tw Cen MT" w:hAnsi="Tw Cen MT"/>
          <w:bCs/>
          <w:iCs/>
          <w:sz w:val="26"/>
          <w:szCs w:val="26"/>
        </w:rPr>
        <w:t>;</w:t>
      </w:r>
    </w:p>
    <w:p w14:paraId="7775BF12" w14:textId="1FCFB11F" w:rsidR="003F36D5" w:rsidRPr="003F36D5" w:rsidRDefault="003F36D5" w:rsidP="003F36D5">
      <w:pPr>
        <w:pStyle w:val="Paragraphedeliste"/>
        <w:numPr>
          <w:ilvl w:val="2"/>
          <w:numId w:val="7"/>
        </w:numPr>
        <w:spacing w:after="240" w:line="276" w:lineRule="auto"/>
        <w:ind w:left="567"/>
        <w:jc w:val="both"/>
        <w:rPr>
          <w:rFonts w:ascii="Tw Cen MT" w:hAnsi="Tw Cen MT"/>
          <w:bCs/>
          <w:iCs/>
          <w:sz w:val="26"/>
          <w:szCs w:val="26"/>
        </w:rPr>
      </w:pPr>
      <w:r>
        <w:rPr>
          <w:rFonts w:ascii="Tw Cen MT" w:hAnsi="Tw Cen MT"/>
          <w:bCs/>
          <w:iCs/>
          <w:sz w:val="26"/>
          <w:szCs w:val="26"/>
        </w:rPr>
        <w:t xml:space="preserve">le </w:t>
      </w:r>
      <w:r w:rsidRPr="003F36D5">
        <w:rPr>
          <w:rFonts w:ascii="Tw Cen MT" w:hAnsi="Tw Cen MT"/>
          <w:bCs/>
          <w:iCs/>
          <w:sz w:val="26"/>
          <w:szCs w:val="26"/>
        </w:rPr>
        <w:t>rapport provisoire ITIE</w:t>
      </w:r>
      <w:r>
        <w:rPr>
          <w:rFonts w:ascii="Tw Cen MT" w:hAnsi="Tw Cen MT"/>
          <w:bCs/>
          <w:iCs/>
          <w:sz w:val="26"/>
          <w:szCs w:val="26"/>
        </w:rPr>
        <w:t xml:space="preserve"> </w:t>
      </w:r>
      <w:r w:rsidR="005D4EDB">
        <w:rPr>
          <w:rFonts w:ascii="Tw Cen MT" w:hAnsi="Tw Cen MT"/>
          <w:bCs/>
          <w:iCs/>
          <w:sz w:val="26"/>
          <w:szCs w:val="26"/>
        </w:rPr>
        <w:t>2019</w:t>
      </w:r>
      <w:r w:rsidRPr="003F36D5">
        <w:rPr>
          <w:rFonts w:ascii="Tw Cen MT" w:hAnsi="Tw Cen MT"/>
          <w:bCs/>
          <w:iCs/>
          <w:sz w:val="26"/>
          <w:szCs w:val="26"/>
        </w:rPr>
        <w:t>;</w:t>
      </w:r>
    </w:p>
    <w:p w14:paraId="74E40484" w14:textId="5C7C8BA7" w:rsidR="00D52A0E" w:rsidRDefault="00295B77" w:rsidP="003F36D5">
      <w:pPr>
        <w:pStyle w:val="Paragraphedeliste"/>
        <w:numPr>
          <w:ilvl w:val="2"/>
          <w:numId w:val="7"/>
        </w:numPr>
        <w:spacing w:after="240" w:line="276" w:lineRule="auto"/>
        <w:ind w:left="567" w:hanging="357"/>
        <w:contextualSpacing w:val="0"/>
        <w:jc w:val="both"/>
        <w:rPr>
          <w:rFonts w:ascii="Tw Cen MT" w:hAnsi="Tw Cen MT"/>
          <w:bCs/>
          <w:iCs/>
          <w:sz w:val="26"/>
          <w:szCs w:val="26"/>
        </w:rPr>
      </w:pPr>
      <w:r>
        <w:rPr>
          <w:rFonts w:ascii="Tw Cen MT" w:hAnsi="Tw Cen MT"/>
          <w:bCs/>
          <w:iCs/>
          <w:sz w:val="26"/>
          <w:szCs w:val="26"/>
        </w:rPr>
        <w:t>l</w:t>
      </w:r>
      <w:r w:rsidR="00D52A0E" w:rsidRPr="00C30010">
        <w:rPr>
          <w:rFonts w:ascii="Tw Cen MT" w:hAnsi="Tw Cen MT"/>
          <w:bCs/>
          <w:iCs/>
          <w:sz w:val="26"/>
          <w:szCs w:val="26"/>
        </w:rPr>
        <w:t xml:space="preserve">e rapport final </w:t>
      </w:r>
      <w:r w:rsidR="003F36D5">
        <w:rPr>
          <w:rFonts w:ascii="Tw Cen MT" w:hAnsi="Tw Cen MT"/>
          <w:bCs/>
          <w:iCs/>
          <w:sz w:val="26"/>
          <w:szCs w:val="26"/>
        </w:rPr>
        <w:t>ITIE 2019</w:t>
      </w:r>
      <w:r w:rsidR="00D52A0E" w:rsidRPr="00C30010">
        <w:rPr>
          <w:rFonts w:ascii="Tw Cen MT" w:hAnsi="Tw Cen MT"/>
          <w:bCs/>
          <w:iCs/>
          <w:sz w:val="26"/>
          <w:szCs w:val="26"/>
        </w:rPr>
        <w:t xml:space="preserve">. </w:t>
      </w:r>
    </w:p>
    <w:p w14:paraId="3106649A" w14:textId="3B2C7FA2" w:rsidR="003F36D5" w:rsidRDefault="003F36D5" w:rsidP="003F36D5">
      <w:pPr>
        <w:pStyle w:val="Paragraphedeliste"/>
        <w:numPr>
          <w:ilvl w:val="1"/>
          <w:numId w:val="6"/>
        </w:numPr>
        <w:spacing w:before="240" w:after="240"/>
        <w:ind w:left="1797"/>
        <w:contextualSpacing w:val="0"/>
        <w:outlineLvl w:val="1"/>
        <w:rPr>
          <w:rFonts w:ascii="Tw Cen MT" w:hAnsi="Tw Cen MT"/>
          <w:b/>
          <w:iCs/>
          <w:sz w:val="26"/>
          <w:szCs w:val="26"/>
        </w:rPr>
      </w:pPr>
      <w:bookmarkStart w:id="7" w:name="_Toc90999707"/>
      <w:r w:rsidRPr="003F36D5">
        <w:rPr>
          <w:rFonts w:ascii="Tw Cen MT" w:hAnsi="Tw Cen MT"/>
          <w:b/>
          <w:iCs/>
          <w:sz w:val="26"/>
          <w:szCs w:val="26"/>
        </w:rPr>
        <w:t>Normes de travail</w:t>
      </w:r>
      <w:bookmarkEnd w:id="7"/>
    </w:p>
    <w:p w14:paraId="7154E132" w14:textId="0A4C8419" w:rsidR="00217DE2" w:rsidRDefault="003F36D5" w:rsidP="003F36D5">
      <w:pPr>
        <w:spacing w:line="276" w:lineRule="auto"/>
        <w:jc w:val="both"/>
        <w:rPr>
          <w:rFonts w:ascii="Tw Cen MT" w:hAnsi="Tw Cen MT"/>
          <w:bCs/>
          <w:iCs/>
          <w:sz w:val="26"/>
          <w:szCs w:val="26"/>
        </w:rPr>
      </w:pPr>
      <w:r w:rsidRPr="003F36D5">
        <w:rPr>
          <w:rFonts w:ascii="Tw Cen MT" w:hAnsi="Tw Cen MT"/>
          <w:bCs/>
          <w:iCs/>
          <w:sz w:val="26"/>
          <w:szCs w:val="26"/>
        </w:rPr>
        <w:t>Nos travaux sont conduits sur la base des normes internationales des services connexes</w:t>
      </w:r>
      <w:r w:rsidR="00CC1399">
        <w:rPr>
          <w:rFonts w:ascii="Tw Cen MT" w:hAnsi="Tw Cen MT"/>
          <w:bCs/>
          <w:iCs/>
          <w:sz w:val="26"/>
          <w:szCs w:val="26"/>
        </w:rPr>
        <w:t xml:space="preserve"> </w:t>
      </w:r>
      <w:r w:rsidRPr="003F36D5">
        <w:rPr>
          <w:rFonts w:ascii="Tw Cen MT" w:hAnsi="Tw Cen MT"/>
          <w:bCs/>
          <w:iCs/>
          <w:sz w:val="26"/>
          <w:szCs w:val="26"/>
        </w:rPr>
        <w:t xml:space="preserve">ISRS </w:t>
      </w:r>
      <w:r w:rsidR="00217DE2" w:rsidRPr="00217DE2">
        <w:rPr>
          <w:rFonts w:ascii="Tw Cen MT" w:hAnsi="Tw Cen MT"/>
          <w:bCs/>
          <w:iCs/>
          <w:sz w:val="26"/>
          <w:szCs w:val="26"/>
        </w:rPr>
        <w:t xml:space="preserve">4400 relative aux « Missions de procédures convenues relatives aux informations financières » </w:t>
      </w:r>
      <w:r w:rsidR="00217DE2">
        <w:rPr>
          <w:rFonts w:ascii="Tw Cen MT" w:hAnsi="Tw Cen MT"/>
          <w:bCs/>
          <w:iCs/>
          <w:sz w:val="26"/>
          <w:szCs w:val="26"/>
        </w:rPr>
        <w:t>et</w:t>
      </w:r>
      <w:r w:rsidR="00CC1399">
        <w:rPr>
          <w:rFonts w:ascii="Tw Cen MT" w:hAnsi="Tw Cen MT"/>
          <w:bCs/>
          <w:iCs/>
          <w:sz w:val="26"/>
          <w:szCs w:val="26"/>
        </w:rPr>
        <w:t xml:space="preserve"> ISRS</w:t>
      </w:r>
      <w:r w:rsidR="00217DE2">
        <w:rPr>
          <w:rFonts w:ascii="Tw Cen MT" w:hAnsi="Tw Cen MT"/>
          <w:bCs/>
          <w:iCs/>
          <w:sz w:val="26"/>
          <w:szCs w:val="26"/>
        </w:rPr>
        <w:t xml:space="preserve"> </w:t>
      </w:r>
      <w:r w:rsidRPr="003F36D5">
        <w:rPr>
          <w:rFonts w:ascii="Tw Cen MT" w:hAnsi="Tw Cen MT"/>
          <w:bCs/>
          <w:iCs/>
          <w:sz w:val="26"/>
          <w:szCs w:val="26"/>
        </w:rPr>
        <w:t>4410 relative aux « Missions de compilation d’informations financières ». Conformément à ces normes, notre intervention ne constitue ni un audit, ni un examen limité des revenus du secteur minier et pétrolier amont.</w:t>
      </w:r>
      <w:r>
        <w:rPr>
          <w:rFonts w:ascii="Tw Cen MT" w:hAnsi="Tw Cen MT"/>
          <w:bCs/>
          <w:iCs/>
          <w:sz w:val="26"/>
          <w:szCs w:val="26"/>
        </w:rPr>
        <w:t xml:space="preserve"> </w:t>
      </w:r>
    </w:p>
    <w:p w14:paraId="26873F85" w14:textId="12E6FF46" w:rsidR="003F36D5" w:rsidRDefault="003F36D5" w:rsidP="003F36D5">
      <w:pPr>
        <w:spacing w:line="276" w:lineRule="auto"/>
        <w:jc w:val="both"/>
        <w:rPr>
          <w:rFonts w:ascii="Tw Cen MT" w:hAnsi="Tw Cen MT"/>
          <w:bCs/>
          <w:iCs/>
          <w:sz w:val="26"/>
          <w:szCs w:val="26"/>
        </w:rPr>
      </w:pPr>
      <w:r w:rsidRPr="003F36D5">
        <w:rPr>
          <w:rFonts w:ascii="Tw Cen MT" w:hAnsi="Tw Cen MT"/>
          <w:bCs/>
          <w:iCs/>
          <w:sz w:val="26"/>
          <w:szCs w:val="26"/>
        </w:rPr>
        <w:lastRenderedPageBreak/>
        <w:t>L’audit et la certification des données transmises n’entrent pas dans le périmètre de nos travaux.</w:t>
      </w:r>
      <w:r>
        <w:rPr>
          <w:rFonts w:ascii="Tw Cen MT" w:hAnsi="Tw Cen MT"/>
          <w:bCs/>
          <w:iCs/>
          <w:sz w:val="26"/>
          <w:szCs w:val="26"/>
        </w:rPr>
        <w:t xml:space="preserve"> </w:t>
      </w:r>
      <w:r w:rsidR="00217DE2" w:rsidRPr="00217DE2">
        <w:rPr>
          <w:rFonts w:ascii="Tw Cen MT" w:hAnsi="Tw Cen MT"/>
          <w:bCs/>
          <w:iCs/>
          <w:sz w:val="26"/>
          <w:szCs w:val="26"/>
        </w:rPr>
        <w:t>De même, notre intervention n’a pas pour objet de déceler des erreurs, des fraudes ou d’autres irrégularités</w:t>
      </w:r>
      <w:r w:rsidR="00217DE2">
        <w:rPr>
          <w:rFonts w:ascii="Tw Cen MT" w:hAnsi="Tw Cen MT"/>
          <w:bCs/>
          <w:iCs/>
          <w:sz w:val="26"/>
          <w:szCs w:val="26"/>
        </w:rPr>
        <w:t xml:space="preserve"> dans les données communiquées par les parties prenantes</w:t>
      </w:r>
      <w:r w:rsidR="00217DE2" w:rsidRPr="00217DE2">
        <w:rPr>
          <w:rFonts w:ascii="Tw Cen MT" w:hAnsi="Tw Cen MT"/>
          <w:bCs/>
          <w:iCs/>
          <w:sz w:val="26"/>
          <w:szCs w:val="26"/>
        </w:rPr>
        <w:t>. Dès lors que l'</w:t>
      </w:r>
      <w:r w:rsidR="00217DE2">
        <w:rPr>
          <w:rFonts w:ascii="Tw Cen MT" w:hAnsi="Tw Cen MT"/>
          <w:bCs/>
          <w:iCs/>
          <w:sz w:val="26"/>
          <w:szCs w:val="26"/>
        </w:rPr>
        <w:t>Administrateur Indépendant</w:t>
      </w:r>
      <w:r w:rsidR="00217DE2" w:rsidRPr="00217DE2">
        <w:rPr>
          <w:rFonts w:ascii="Tw Cen MT" w:hAnsi="Tw Cen MT"/>
          <w:bCs/>
          <w:iCs/>
          <w:sz w:val="26"/>
          <w:szCs w:val="26"/>
        </w:rPr>
        <w:t xml:space="preserve"> ne fournit qu'un rapport sur des constatations de fait sur la base des procédures convenues, aucun degré d'assurance n'est exprimé. Il appartient aux destinataires du rapport d'évaluer par eux-mêmes les procédures et les constatations de fait, et de tirer leurs propres conclusions des travaux de l'auditeur.</w:t>
      </w:r>
    </w:p>
    <w:p w14:paraId="6E730016" w14:textId="446A039B" w:rsidR="00320355" w:rsidRDefault="00320355" w:rsidP="00320355">
      <w:pPr>
        <w:pStyle w:val="Paragraphedeliste"/>
        <w:numPr>
          <w:ilvl w:val="1"/>
          <w:numId w:val="6"/>
        </w:numPr>
        <w:spacing w:before="240" w:after="240"/>
        <w:ind w:left="1797"/>
        <w:contextualSpacing w:val="0"/>
        <w:outlineLvl w:val="1"/>
        <w:rPr>
          <w:rFonts w:ascii="Tw Cen MT" w:hAnsi="Tw Cen MT"/>
          <w:b/>
          <w:iCs/>
          <w:sz w:val="26"/>
          <w:szCs w:val="26"/>
        </w:rPr>
      </w:pPr>
      <w:bookmarkStart w:id="8" w:name="_Toc90999708"/>
      <w:r>
        <w:rPr>
          <w:rFonts w:ascii="Tw Cen MT" w:hAnsi="Tw Cen MT"/>
          <w:b/>
          <w:iCs/>
          <w:sz w:val="26"/>
          <w:szCs w:val="26"/>
        </w:rPr>
        <w:t>Limitation</w:t>
      </w:r>
      <w:r w:rsidR="003A75AF">
        <w:rPr>
          <w:rFonts w:ascii="Tw Cen MT" w:hAnsi="Tw Cen MT"/>
          <w:b/>
          <w:iCs/>
          <w:sz w:val="26"/>
          <w:szCs w:val="26"/>
        </w:rPr>
        <w:t>s</w:t>
      </w:r>
      <w:r>
        <w:rPr>
          <w:rFonts w:ascii="Tw Cen MT" w:hAnsi="Tw Cen MT"/>
          <w:b/>
          <w:iCs/>
          <w:sz w:val="26"/>
          <w:szCs w:val="26"/>
        </w:rPr>
        <w:t xml:space="preserve"> à l’analyse des données brutes</w:t>
      </w:r>
      <w:bookmarkEnd w:id="8"/>
    </w:p>
    <w:p w14:paraId="4CD73DE2" w14:textId="643F0D8C" w:rsidR="00320355" w:rsidRDefault="00320355" w:rsidP="00320355">
      <w:pPr>
        <w:spacing w:after="240" w:line="276" w:lineRule="auto"/>
        <w:jc w:val="both"/>
        <w:rPr>
          <w:rFonts w:ascii="Tw Cen MT" w:hAnsi="Tw Cen MT"/>
          <w:bCs/>
          <w:iCs/>
          <w:sz w:val="26"/>
          <w:szCs w:val="26"/>
        </w:rPr>
      </w:pPr>
      <w:r w:rsidRPr="00C4535A">
        <w:rPr>
          <w:rFonts w:ascii="Tw Cen MT" w:hAnsi="Tw Cen MT"/>
          <w:bCs/>
          <w:iCs/>
          <w:sz w:val="26"/>
          <w:szCs w:val="26"/>
        </w:rPr>
        <w:t>À ce stade</w:t>
      </w:r>
      <w:r>
        <w:rPr>
          <w:rFonts w:ascii="Tw Cen MT" w:hAnsi="Tw Cen MT"/>
          <w:bCs/>
          <w:iCs/>
          <w:sz w:val="26"/>
          <w:szCs w:val="26"/>
        </w:rPr>
        <w:t>, l’étude préliminaire est confrontée aux limitations ci-dessous :</w:t>
      </w:r>
    </w:p>
    <w:p w14:paraId="786DE489" w14:textId="0249656A" w:rsidR="00320355" w:rsidRDefault="00320355" w:rsidP="0048041A">
      <w:pPr>
        <w:pStyle w:val="Paragraphedeliste"/>
        <w:numPr>
          <w:ilvl w:val="0"/>
          <w:numId w:val="12"/>
        </w:numPr>
        <w:spacing w:after="240" w:line="276" w:lineRule="auto"/>
        <w:jc w:val="both"/>
        <w:rPr>
          <w:rFonts w:ascii="Tw Cen MT" w:hAnsi="Tw Cen MT"/>
          <w:bCs/>
          <w:iCs/>
          <w:sz w:val="26"/>
          <w:szCs w:val="26"/>
        </w:rPr>
      </w:pPr>
      <w:r>
        <w:rPr>
          <w:rFonts w:ascii="Tw Cen MT" w:hAnsi="Tw Cen MT"/>
          <w:bCs/>
          <w:iCs/>
          <w:sz w:val="26"/>
          <w:szCs w:val="26"/>
        </w:rPr>
        <w:t xml:space="preserve">les données brutes communiquées par </w:t>
      </w:r>
      <w:r w:rsidR="001377E9">
        <w:rPr>
          <w:rFonts w:ascii="Tw Cen MT" w:hAnsi="Tw Cen MT"/>
          <w:bCs/>
          <w:iCs/>
          <w:sz w:val="26"/>
          <w:szCs w:val="26"/>
        </w:rPr>
        <w:t xml:space="preserve">l’administration publique n’ont pas </w:t>
      </w:r>
      <w:r>
        <w:rPr>
          <w:rFonts w:ascii="Tw Cen MT" w:hAnsi="Tw Cen MT"/>
          <w:bCs/>
          <w:iCs/>
          <w:sz w:val="26"/>
          <w:szCs w:val="26"/>
        </w:rPr>
        <w:t xml:space="preserve">encore fait l’objet de </w:t>
      </w:r>
      <w:r w:rsidR="001377E9">
        <w:rPr>
          <w:rFonts w:ascii="Tw Cen MT" w:hAnsi="Tw Cen MT"/>
          <w:bCs/>
          <w:iCs/>
          <w:sz w:val="26"/>
          <w:szCs w:val="26"/>
        </w:rPr>
        <w:t>certification par un auditeur indépendant. La vérification de la fiabilité des données entre dans le cadre des travaux de conciliation</w:t>
      </w:r>
      <w:r>
        <w:rPr>
          <w:rFonts w:ascii="Tw Cen MT" w:hAnsi="Tw Cen MT"/>
          <w:bCs/>
          <w:iCs/>
          <w:sz w:val="26"/>
          <w:szCs w:val="26"/>
        </w:rPr>
        <w:t>;</w:t>
      </w:r>
    </w:p>
    <w:p w14:paraId="48C4F794" w14:textId="18347D89" w:rsidR="00AF0E0F" w:rsidRDefault="00AF0E0F" w:rsidP="0048041A">
      <w:pPr>
        <w:pStyle w:val="Paragraphedeliste"/>
        <w:numPr>
          <w:ilvl w:val="0"/>
          <w:numId w:val="12"/>
        </w:numPr>
        <w:spacing w:after="240" w:line="276" w:lineRule="auto"/>
        <w:jc w:val="both"/>
        <w:rPr>
          <w:rFonts w:ascii="Tw Cen MT" w:hAnsi="Tw Cen MT"/>
          <w:bCs/>
          <w:iCs/>
          <w:sz w:val="26"/>
          <w:szCs w:val="26"/>
        </w:rPr>
      </w:pPr>
      <w:r>
        <w:rPr>
          <w:rFonts w:ascii="Tw Cen MT" w:hAnsi="Tw Cen MT"/>
          <w:bCs/>
          <w:iCs/>
          <w:sz w:val="26"/>
          <w:szCs w:val="26"/>
        </w:rPr>
        <w:t xml:space="preserve">les recettes déclarées par l’administration publique pour le secteur extractif s’élèvent à un montant total de FCFA </w:t>
      </w:r>
      <w:r w:rsidRPr="00AF0E0F">
        <w:rPr>
          <w:rFonts w:ascii="Tw Cen MT" w:hAnsi="Tw Cen MT"/>
          <w:bCs/>
          <w:iCs/>
          <w:sz w:val="26"/>
          <w:szCs w:val="26"/>
        </w:rPr>
        <w:t>390 626 613</w:t>
      </w:r>
      <w:r>
        <w:rPr>
          <w:rFonts w:ascii="Tw Cen MT" w:hAnsi="Tw Cen MT"/>
          <w:bCs/>
          <w:iCs/>
          <w:sz w:val="26"/>
          <w:szCs w:val="26"/>
        </w:rPr>
        <w:t> </w:t>
      </w:r>
      <w:r w:rsidRPr="00AF0E0F">
        <w:rPr>
          <w:rFonts w:ascii="Tw Cen MT" w:hAnsi="Tw Cen MT"/>
          <w:bCs/>
          <w:iCs/>
          <w:sz w:val="26"/>
          <w:szCs w:val="26"/>
        </w:rPr>
        <w:t>640</w:t>
      </w:r>
      <w:r>
        <w:rPr>
          <w:rFonts w:ascii="Tw Cen MT" w:hAnsi="Tw Cen MT"/>
          <w:bCs/>
          <w:iCs/>
          <w:sz w:val="26"/>
          <w:szCs w:val="26"/>
        </w:rPr>
        <w:t xml:space="preserve"> pour 198 entités extractives et 33 sous-traitants. Alors que, les déclarations unilatérales des entités extractives ont porté sur 40 sous-traitants dans le rapport ITIE 2018. </w:t>
      </w:r>
      <w:r w:rsidRPr="00851ED2">
        <w:rPr>
          <w:rFonts w:ascii="Tw Cen MT" w:hAnsi="Tw Cen MT"/>
          <w:bCs/>
          <w:iCs/>
          <w:sz w:val="26"/>
          <w:szCs w:val="26"/>
        </w:rPr>
        <w:t>Ceci ne permet pas d’avoir une assurance sur l’exhaustivité des recettes déclarées dans le cadre de la présente étude</w:t>
      </w:r>
      <w:r>
        <w:rPr>
          <w:rFonts w:ascii="Tw Cen MT" w:hAnsi="Tw Cen MT"/>
          <w:bCs/>
          <w:iCs/>
          <w:sz w:val="26"/>
          <w:szCs w:val="26"/>
        </w:rPr>
        <w:t xml:space="preserve"> ; </w:t>
      </w:r>
    </w:p>
    <w:p w14:paraId="2AE54904" w14:textId="50CD76BD" w:rsidR="00320355" w:rsidRDefault="00320355" w:rsidP="0048041A">
      <w:pPr>
        <w:pStyle w:val="Paragraphedeliste"/>
        <w:numPr>
          <w:ilvl w:val="0"/>
          <w:numId w:val="12"/>
        </w:numPr>
        <w:spacing w:after="240" w:line="276" w:lineRule="auto"/>
        <w:jc w:val="both"/>
        <w:rPr>
          <w:rFonts w:ascii="Tw Cen MT" w:hAnsi="Tw Cen MT"/>
          <w:bCs/>
          <w:iCs/>
          <w:sz w:val="26"/>
          <w:szCs w:val="26"/>
        </w:rPr>
      </w:pPr>
      <w:r>
        <w:rPr>
          <w:rFonts w:ascii="Tw Cen MT" w:hAnsi="Tw Cen MT"/>
          <w:bCs/>
          <w:iCs/>
          <w:sz w:val="26"/>
          <w:szCs w:val="26"/>
        </w:rPr>
        <w:t xml:space="preserve">les </w:t>
      </w:r>
      <w:r w:rsidR="00AF0E0F">
        <w:rPr>
          <w:rFonts w:ascii="Tw Cen MT" w:hAnsi="Tw Cen MT"/>
          <w:bCs/>
          <w:iCs/>
          <w:sz w:val="26"/>
          <w:szCs w:val="26"/>
        </w:rPr>
        <w:t>recettes</w:t>
      </w:r>
      <w:r>
        <w:rPr>
          <w:rFonts w:ascii="Tw Cen MT" w:hAnsi="Tw Cen MT"/>
          <w:bCs/>
          <w:iCs/>
          <w:sz w:val="26"/>
          <w:szCs w:val="26"/>
        </w:rPr>
        <w:t xml:space="preserve"> collecté</w:t>
      </w:r>
      <w:r w:rsidR="00AF0E0F">
        <w:rPr>
          <w:rFonts w:ascii="Tw Cen MT" w:hAnsi="Tw Cen MT"/>
          <w:bCs/>
          <w:iCs/>
          <w:sz w:val="26"/>
          <w:szCs w:val="26"/>
        </w:rPr>
        <w:t>e</w:t>
      </w:r>
      <w:r>
        <w:rPr>
          <w:rFonts w:ascii="Tw Cen MT" w:hAnsi="Tw Cen MT"/>
          <w:bCs/>
          <w:iCs/>
          <w:sz w:val="26"/>
          <w:szCs w:val="26"/>
        </w:rPr>
        <w:t>s p</w:t>
      </w:r>
      <w:r w:rsidR="00C21059">
        <w:rPr>
          <w:rFonts w:ascii="Tw Cen MT" w:hAnsi="Tw Cen MT"/>
          <w:bCs/>
          <w:iCs/>
          <w:sz w:val="26"/>
          <w:szCs w:val="26"/>
        </w:rPr>
        <w:t xml:space="preserve">ar </w:t>
      </w:r>
      <w:r>
        <w:rPr>
          <w:rFonts w:ascii="Tw Cen MT" w:hAnsi="Tw Cen MT"/>
          <w:bCs/>
          <w:iCs/>
          <w:sz w:val="26"/>
          <w:szCs w:val="26"/>
        </w:rPr>
        <w:t xml:space="preserve">l’INPS </w:t>
      </w:r>
      <w:r w:rsidR="00AF0E0F">
        <w:rPr>
          <w:rFonts w:ascii="Tw Cen MT" w:hAnsi="Tw Cen MT"/>
          <w:bCs/>
          <w:iCs/>
          <w:sz w:val="26"/>
          <w:szCs w:val="26"/>
        </w:rPr>
        <w:t xml:space="preserve">au titre des cotisations sociales et l’Assurance Maladie Obligatoire (AMO) </w:t>
      </w:r>
      <w:r>
        <w:rPr>
          <w:rFonts w:ascii="Tw Cen MT" w:hAnsi="Tw Cen MT"/>
          <w:bCs/>
          <w:iCs/>
          <w:sz w:val="26"/>
          <w:szCs w:val="26"/>
        </w:rPr>
        <w:t>n’ont pas été communiqué</w:t>
      </w:r>
      <w:r w:rsidR="00AF0E0F">
        <w:rPr>
          <w:rFonts w:ascii="Tw Cen MT" w:hAnsi="Tw Cen MT"/>
          <w:bCs/>
          <w:iCs/>
          <w:sz w:val="26"/>
          <w:szCs w:val="26"/>
        </w:rPr>
        <w:t>e</w:t>
      </w:r>
      <w:r>
        <w:rPr>
          <w:rFonts w:ascii="Tw Cen MT" w:hAnsi="Tw Cen MT"/>
          <w:bCs/>
          <w:iCs/>
          <w:sz w:val="26"/>
          <w:szCs w:val="26"/>
        </w:rPr>
        <w:t>s</w:t>
      </w:r>
      <w:r w:rsidR="00AF0E0F">
        <w:rPr>
          <w:rFonts w:ascii="Tw Cen MT" w:hAnsi="Tw Cen MT"/>
          <w:bCs/>
          <w:iCs/>
          <w:sz w:val="26"/>
          <w:szCs w:val="26"/>
        </w:rPr>
        <w:t>.</w:t>
      </w:r>
      <w:r>
        <w:rPr>
          <w:rFonts w:ascii="Tw Cen MT" w:hAnsi="Tw Cen MT"/>
          <w:bCs/>
          <w:iCs/>
          <w:sz w:val="26"/>
          <w:szCs w:val="26"/>
        </w:rPr>
        <w:t xml:space="preserve"> </w:t>
      </w:r>
      <w:r w:rsidR="00AF0E0F">
        <w:rPr>
          <w:rFonts w:ascii="Tw Cen MT" w:hAnsi="Tw Cen MT"/>
          <w:bCs/>
          <w:iCs/>
          <w:sz w:val="26"/>
          <w:szCs w:val="26"/>
        </w:rPr>
        <w:t>P</w:t>
      </w:r>
      <w:r>
        <w:rPr>
          <w:rFonts w:ascii="Tw Cen MT" w:hAnsi="Tw Cen MT"/>
          <w:bCs/>
          <w:iCs/>
          <w:sz w:val="26"/>
          <w:szCs w:val="26"/>
        </w:rPr>
        <w:t>ar conséquent</w:t>
      </w:r>
      <w:r w:rsidR="00AF0E0F">
        <w:rPr>
          <w:rFonts w:ascii="Tw Cen MT" w:hAnsi="Tw Cen MT"/>
          <w:bCs/>
          <w:iCs/>
          <w:sz w:val="26"/>
          <w:szCs w:val="26"/>
        </w:rPr>
        <w:t>,</w:t>
      </w:r>
      <w:r>
        <w:rPr>
          <w:rFonts w:ascii="Tw Cen MT" w:hAnsi="Tw Cen MT"/>
          <w:bCs/>
          <w:iCs/>
          <w:sz w:val="26"/>
          <w:szCs w:val="26"/>
        </w:rPr>
        <w:t xml:space="preserve"> ils ne sont pas pris en compte dans l’analyse de la matérialité ;</w:t>
      </w:r>
    </w:p>
    <w:p w14:paraId="392EF200" w14:textId="424E93B0" w:rsidR="00320355" w:rsidRDefault="00AF0E0F" w:rsidP="0048041A">
      <w:pPr>
        <w:pStyle w:val="Paragraphedeliste"/>
        <w:numPr>
          <w:ilvl w:val="0"/>
          <w:numId w:val="12"/>
        </w:numPr>
        <w:spacing w:after="240" w:line="276" w:lineRule="auto"/>
        <w:jc w:val="both"/>
        <w:rPr>
          <w:rFonts w:ascii="Tw Cen MT" w:hAnsi="Tw Cen MT"/>
          <w:bCs/>
          <w:iCs/>
          <w:sz w:val="26"/>
          <w:szCs w:val="26"/>
        </w:rPr>
      </w:pPr>
      <w:r>
        <w:rPr>
          <w:rFonts w:ascii="Tw Cen MT" w:hAnsi="Tw Cen MT"/>
          <w:bCs/>
          <w:iCs/>
          <w:sz w:val="26"/>
          <w:szCs w:val="26"/>
        </w:rPr>
        <w:t xml:space="preserve">le cadastre minier communiqué par la DNGM n’est pas exhaustif. Il ne prend pas les certaines entités extractives en phase de production ; </w:t>
      </w:r>
    </w:p>
    <w:p w14:paraId="5906B1C8" w14:textId="09DF468E" w:rsidR="00320355" w:rsidRDefault="00AF0E0F" w:rsidP="0048041A">
      <w:pPr>
        <w:pStyle w:val="Paragraphedeliste"/>
        <w:numPr>
          <w:ilvl w:val="0"/>
          <w:numId w:val="12"/>
        </w:numPr>
        <w:spacing w:after="240" w:line="276" w:lineRule="auto"/>
        <w:jc w:val="both"/>
        <w:rPr>
          <w:rFonts w:ascii="Tw Cen MT" w:hAnsi="Tw Cen MT"/>
          <w:bCs/>
          <w:iCs/>
          <w:sz w:val="26"/>
          <w:szCs w:val="26"/>
        </w:rPr>
      </w:pPr>
      <w:r>
        <w:rPr>
          <w:rFonts w:ascii="Tw Cen MT" w:hAnsi="Tw Cen MT"/>
          <w:bCs/>
          <w:iCs/>
          <w:sz w:val="26"/>
          <w:szCs w:val="26"/>
        </w:rPr>
        <w:t xml:space="preserve">la DNGM n’a pas communiqué </w:t>
      </w:r>
      <w:r w:rsidR="00320355">
        <w:rPr>
          <w:rFonts w:ascii="Tw Cen MT" w:hAnsi="Tw Cen MT"/>
          <w:bCs/>
          <w:iCs/>
          <w:sz w:val="26"/>
          <w:szCs w:val="26"/>
        </w:rPr>
        <w:t xml:space="preserve">la situation </w:t>
      </w:r>
      <w:r>
        <w:rPr>
          <w:rFonts w:ascii="Tw Cen MT" w:hAnsi="Tw Cen MT"/>
          <w:bCs/>
          <w:iCs/>
          <w:sz w:val="26"/>
          <w:szCs w:val="26"/>
        </w:rPr>
        <w:t>exhaustive des o</w:t>
      </w:r>
      <w:r w:rsidR="00320355">
        <w:rPr>
          <w:rFonts w:ascii="Tw Cen MT" w:hAnsi="Tw Cen MT"/>
          <w:bCs/>
          <w:iCs/>
          <w:sz w:val="26"/>
          <w:szCs w:val="26"/>
        </w:rPr>
        <w:t>ctrois et transferts de titres minier en 2019 ;</w:t>
      </w:r>
    </w:p>
    <w:p w14:paraId="3AD95C09" w14:textId="7FFC5B44" w:rsidR="00320355" w:rsidRDefault="00320355" w:rsidP="0048041A">
      <w:pPr>
        <w:pStyle w:val="Paragraphedeliste"/>
        <w:numPr>
          <w:ilvl w:val="0"/>
          <w:numId w:val="12"/>
        </w:numPr>
        <w:spacing w:after="240" w:line="276" w:lineRule="auto"/>
        <w:jc w:val="both"/>
        <w:rPr>
          <w:rFonts w:ascii="Tw Cen MT" w:hAnsi="Tw Cen MT"/>
          <w:bCs/>
          <w:iCs/>
          <w:sz w:val="26"/>
          <w:szCs w:val="26"/>
        </w:rPr>
      </w:pPr>
      <w:r>
        <w:rPr>
          <w:rFonts w:ascii="Tw Cen MT" w:hAnsi="Tw Cen MT"/>
          <w:bCs/>
          <w:iCs/>
          <w:sz w:val="26"/>
          <w:szCs w:val="26"/>
        </w:rPr>
        <w:t>l</w:t>
      </w:r>
      <w:r w:rsidRPr="00C4535A">
        <w:rPr>
          <w:rFonts w:ascii="Tw Cen MT" w:hAnsi="Tw Cen MT"/>
          <w:bCs/>
          <w:iCs/>
          <w:sz w:val="26"/>
          <w:szCs w:val="26"/>
        </w:rPr>
        <w:t xml:space="preserve">es déclarations unilatérales de la DNGM ne font pas ressortir </w:t>
      </w:r>
      <w:r w:rsidR="00AF0E0F">
        <w:rPr>
          <w:rFonts w:ascii="Tw Cen MT" w:hAnsi="Tw Cen MT"/>
          <w:bCs/>
          <w:iCs/>
          <w:sz w:val="26"/>
          <w:szCs w:val="26"/>
        </w:rPr>
        <w:t xml:space="preserve">également </w:t>
      </w:r>
      <w:r w:rsidRPr="00C4535A">
        <w:rPr>
          <w:rFonts w:ascii="Tw Cen MT" w:hAnsi="Tw Cen MT"/>
          <w:bCs/>
          <w:iCs/>
          <w:sz w:val="26"/>
          <w:szCs w:val="26"/>
        </w:rPr>
        <w:t>la taxe de convention, la taxe de transfert et les pénalités</w:t>
      </w:r>
      <w:r>
        <w:rPr>
          <w:rFonts w:ascii="Tw Cen MT" w:hAnsi="Tw Cen MT"/>
          <w:bCs/>
          <w:iCs/>
          <w:sz w:val="26"/>
          <w:szCs w:val="26"/>
        </w:rPr>
        <w:t xml:space="preserve"> </w:t>
      </w:r>
      <w:r w:rsidRPr="00C4535A">
        <w:rPr>
          <w:rFonts w:ascii="Tw Cen MT" w:hAnsi="Tw Cen MT"/>
          <w:bCs/>
          <w:iCs/>
          <w:sz w:val="26"/>
          <w:szCs w:val="26"/>
        </w:rPr>
        <w:t>;</w:t>
      </w:r>
    </w:p>
    <w:p w14:paraId="3FAC85EF" w14:textId="2A91ED9D" w:rsidR="00320355" w:rsidRDefault="00AF0E0F" w:rsidP="0048041A">
      <w:pPr>
        <w:pStyle w:val="Paragraphedeliste"/>
        <w:numPr>
          <w:ilvl w:val="0"/>
          <w:numId w:val="12"/>
        </w:numPr>
        <w:spacing w:after="240" w:line="276" w:lineRule="auto"/>
        <w:jc w:val="both"/>
        <w:rPr>
          <w:rFonts w:ascii="Tw Cen MT" w:hAnsi="Tw Cen MT"/>
          <w:bCs/>
          <w:iCs/>
          <w:sz w:val="26"/>
          <w:szCs w:val="26"/>
        </w:rPr>
      </w:pPr>
      <w:r>
        <w:rPr>
          <w:rFonts w:ascii="Tw Cen MT" w:hAnsi="Tw Cen MT"/>
          <w:bCs/>
          <w:iCs/>
          <w:sz w:val="26"/>
          <w:szCs w:val="26"/>
        </w:rPr>
        <w:t xml:space="preserve">la </w:t>
      </w:r>
      <w:r w:rsidR="00320355">
        <w:rPr>
          <w:rFonts w:ascii="Tw Cen MT" w:hAnsi="Tw Cen MT"/>
          <w:bCs/>
          <w:iCs/>
          <w:sz w:val="26"/>
          <w:szCs w:val="26"/>
        </w:rPr>
        <w:t>C</w:t>
      </w:r>
      <w:r w:rsidR="00C21059">
        <w:rPr>
          <w:rFonts w:ascii="Tw Cen MT" w:hAnsi="Tw Cen MT"/>
          <w:bCs/>
          <w:iCs/>
          <w:sz w:val="26"/>
          <w:szCs w:val="26"/>
        </w:rPr>
        <w:t xml:space="preserve">ellule de </w:t>
      </w:r>
      <w:r w:rsidR="00320355">
        <w:rPr>
          <w:rFonts w:ascii="Tw Cen MT" w:hAnsi="Tw Cen MT"/>
          <w:bCs/>
          <w:iCs/>
          <w:sz w:val="26"/>
          <w:szCs w:val="26"/>
        </w:rPr>
        <w:t>P</w:t>
      </w:r>
      <w:r w:rsidR="00C21059">
        <w:rPr>
          <w:rFonts w:ascii="Tw Cen MT" w:hAnsi="Tw Cen MT"/>
          <w:bCs/>
          <w:iCs/>
          <w:sz w:val="26"/>
          <w:szCs w:val="26"/>
        </w:rPr>
        <w:t xml:space="preserve">lanification </w:t>
      </w:r>
      <w:r w:rsidR="006B671D">
        <w:rPr>
          <w:rFonts w:ascii="Tw Cen MT" w:hAnsi="Tw Cen MT"/>
          <w:bCs/>
          <w:iCs/>
          <w:sz w:val="26"/>
          <w:szCs w:val="26"/>
        </w:rPr>
        <w:t xml:space="preserve">et de Statistique (CPS) </w:t>
      </w:r>
      <w:r w:rsidR="00C21059">
        <w:rPr>
          <w:rFonts w:ascii="Tw Cen MT" w:hAnsi="Tw Cen MT"/>
          <w:bCs/>
          <w:iCs/>
          <w:sz w:val="26"/>
          <w:szCs w:val="26"/>
        </w:rPr>
        <w:t xml:space="preserve">du </w:t>
      </w:r>
      <w:r w:rsidR="00320355">
        <w:rPr>
          <w:rFonts w:ascii="Tw Cen MT" w:hAnsi="Tw Cen MT"/>
          <w:bCs/>
          <w:iCs/>
          <w:sz w:val="26"/>
          <w:szCs w:val="26"/>
        </w:rPr>
        <w:t>Secteur des Mines</w:t>
      </w:r>
      <w:r w:rsidR="00C21059">
        <w:rPr>
          <w:rFonts w:ascii="Tw Cen MT" w:hAnsi="Tw Cen MT"/>
          <w:bCs/>
          <w:iCs/>
          <w:sz w:val="26"/>
          <w:szCs w:val="26"/>
        </w:rPr>
        <w:t xml:space="preserve"> et</w:t>
      </w:r>
      <w:r w:rsidR="00320355">
        <w:rPr>
          <w:rFonts w:ascii="Tw Cen MT" w:hAnsi="Tw Cen MT"/>
          <w:bCs/>
          <w:iCs/>
          <w:sz w:val="26"/>
          <w:szCs w:val="26"/>
        </w:rPr>
        <w:t xml:space="preserve"> de l’Energie</w:t>
      </w:r>
      <w:r w:rsidR="00C21059">
        <w:rPr>
          <w:rFonts w:ascii="Tw Cen MT" w:hAnsi="Tw Cen MT"/>
          <w:bCs/>
          <w:iCs/>
          <w:sz w:val="26"/>
          <w:szCs w:val="26"/>
        </w:rPr>
        <w:t xml:space="preserve"> </w:t>
      </w:r>
      <w:r w:rsidR="00320355">
        <w:rPr>
          <w:rFonts w:ascii="Tw Cen MT" w:hAnsi="Tw Cen MT"/>
          <w:bCs/>
          <w:iCs/>
          <w:sz w:val="26"/>
          <w:szCs w:val="26"/>
        </w:rPr>
        <w:t>n’</w:t>
      </w:r>
      <w:r>
        <w:rPr>
          <w:rFonts w:ascii="Tw Cen MT" w:hAnsi="Tw Cen MT"/>
          <w:bCs/>
          <w:iCs/>
          <w:sz w:val="26"/>
          <w:szCs w:val="26"/>
        </w:rPr>
        <w:t>a pas</w:t>
      </w:r>
      <w:r w:rsidR="00320355">
        <w:rPr>
          <w:rFonts w:ascii="Tw Cen MT" w:hAnsi="Tw Cen MT"/>
          <w:bCs/>
          <w:iCs/>
          <w:sz w:val="26"/>
          <w:szCs w:val="26"/>
        </w:rPr>
        <w:t xml:space="preserve"> communiqué</w:t>
      </w:r>
      <w:r>
        <w:rPr>
          <w:rFonts w:ascii="Tw Cen MT" w:hAnsi="Tw Cen MT"/>
          <w:bCs/>
          <w:iCs/>
          <w:sz w:val="26"/>
          <w:szCs w:val="26"/>
        </w:rPr>
        <w:t xml:space="preserve"> les statistiques sectorielles au titre de l’année 2019 </w:t>
      </w:r>
      <w:r w:rsidR="00320355">
        <w:rPr>
          <w:rFonts w:ascii="Tw Cen MT" w:hAnsi="Tw Cen MT"/>
          <w:bCs/>
          <w:iCs/>
          <w:sz w:val="26"/>
          <w:szCs w:val="26"/>
        </w:rPr>
        <w:t> ;</w:t>
      </w:r>
    </w:p>
    <w:p w14:paraId="589AF24C" w14:textId="4B75A318" w:rsidR="00320355" w:rsidRDefault="00320355" w:rsidP="0048041A">
      <w:pPr>
        <w:pStyle w:val="Paragraphedeliste"/>
        <w:numPr>
          <w:ilvl w:val="0"/>
          <w:numId w:val="12"/>
        </w:numPr>
        <w:spacing w:after="240" w:line="276" w:lineRule="auto"/>
        <w:jc w:val="both"/>
        <w:rPr>
          <w:rFonts w:ascii="Tw Cen MT" w:hAnsi="Tw Cen MT"/>
          <w:bCs/>
          <w:iCs/>
          <w:sz w:val="26"/>
          <w:szCs w:val="26"/>
        </w:rPr>
      </w:pPr>
      <w:r w:rsidRPr="00434319">
        <w:rPr>
          <w:rFonts w:ascii="Tw Cen MT" w:hAnsi="Tw Cen MT"/>
          <w:bCs/>
          <w:iCs/>
          <w:sz w:val="26"/>
          <w:szCs w:val="26"/>
        </w:rPr>
        <w:t xml:space="preserve">les informations sur l’évolution de l’environnement contextuel du secteur extractif malien </w:t>
      </w:r>
      <w:r w:rsidR="00AF0E0F">
        <w:rPr>
          <w:rFonts w:ascii="Tw Cen MT" w:hAnsi="Tw Cen MT"/>
          <w:bCs/>
          <w:iCs/>
          <w:sz w:val="26"/>
          <w:szCs w:val="26"/>
        </w:rPr>
        <w:t xml:space="preserve">au titre de l’année 2019 </w:t>
      </w:r>
      <w:r w:rsidRPr="00434319">
        <w:rPr>
          <w:rFonts w:ascii="Tw Cen MT" w:hAnsi="Tw Cen MT"/>
          <w:bCs/>
          <w:iCs/>
          <w:sz w:val="26"/>
          <w:szCs w:val="26"/>
        </w:rPr>
        <w:t>n’ont pas été communiquées</w:t>
      </w:r>
      <w:r w:rsidR="00AF0E0F">
        <w:rPr>
          <w:rFonts w:ascii="Tw Cen MT" w:hAnsi="Tw Cen MT"/>
          <w:bCs/>
          <w:iCs/>
          <w:sz w:val="26"/>
          <w:szCs w:val="26"/>
        </w:rPr>
        <w:t xml:space="preserve"> par l’administration publique</w:t>
      </w:r>
      <w:r>
        <w:rPr>
          <w:rFonts w:ascii="Tw Cen MT" w:hAnsi="Tw Cen MT"/>
          <w:bCs/>
          <w:iCs/>
          <w:sz w:val="26"/>
          <w:szCs w:val="26"/>
        </w:rPr>
        <w:t>.</w:t>
      </w:r>
    </w:p>
    <w:p w14:paraId="1A98AEB4" w14:textId="61F79D22" w:rsidR="00320355" w:rsidRDefault="00320355">
      <w:pPr>
        <w:spacing w:after="160" w:line="259" w:lineRule="auto"/>
        <w:rPr>
          <w:rFonts w:ascii="Tw Cen MT" w:hAnsi="Tw Cen MT"/>
          <w:bCs/>
          <w:iCs/>
          <w:sz w:val="26"/>
          <w:szCs w:val="26"/>
        </w:rPr>
      </w:pPr>
      <w:r>
        <w:rPr>
          <w:rFonts w:ascii="Tw Cen MT" w:hAnsi="Tw Cen MT"/>
          <w:bCs/>
          <w:iCs/>
          <w:sz w:val="26"/>
          <w:szCs w:val="26"/>
        </w:rPr>
        <w:br w:type="page"/>
      </w:r>
    </w:p>
    <w:p w14:paraId="23DAD4F9" w14:textId="6FE80492" w:rsidR="00244200" w:rsidRPr="0087586F" w:rsidRDefault="00244200" w:rsidP="00F84296">
      <w:pPr>
        <w:pStyle w:val="Paragraphedeliste"/>
        <w:numPr>
          <w:ilvl w:val="0"/>
          <w:numId w:val="5"/>
        </w:numPr>
        <w:spacing w:before="240" w:after="240"/>
        <w:ind w:left="1077"/>
        <w:contextualSpacing w:val="0"/>
        <w:outlineLvl w:val="0"/>
        <w:rPr>
          <w:rFonts w:ascii="Tw Cen MT" w:hAnsi="Tw Cen MT"/>
          <w:b/>
          <w:iCs/>
          <w:sz w:val="26"/>
          <w:szCs w:val="26"/>
        </w:rPr>
      </w:pPr>
      <w:bookmarkStart w:id="9" w:name="_Toc90999709"/>
      <w:r w:rsidRPr="0087586F">
        <w:rPr>
          <w:rFonts w:ascii="Tw Cen MT" w:hAnsi="Tw Cen MT"/>
          <w:b/>
          <w:iCs/>
          <w:sz w:val="26"/>
          <w:szCs w:val="26"/>
        </w:rPr>
        <w:lastRenderedPageBreak/>
        <w:t>MÉTHODOLOGIE ENVISAGÉE</w:t>
      </w:r>
      <w:bookmarkEnd w:id="9"/>
    </w:p>
    <w:p w14:paraId="25BB979A" w14:textId="1C2A9B56" w:rsidR="00BE0E5D" w:rsidRPr="00C30010" w:rsidRDefault="00BE0E5D" w:rsidP="00A255CD">
      <w:pPr>
        <w:spacing w:after="240" w:line="276" w:lineRule="auto"/>
        <w:jc w:val="both"/>
        <w:rPr>
          <w:rFonts w:ascii="Tw Cen MT" w:hAnsi="Tw Cen MT"/>
          <w:bCs/>
          <w:iCs/>
          <w:sz w:val="26"/>
          <w:szCs w:val="26"/>
        </w:rPr>
      </w:pPr>
      <w:r w:rsidRPr="00C30010">
        <w:rPr>
          <w:rFonts w:ascii="Tw Cen MT" w:hAnsi="Tw Cen MT"/>
          <w:bCs/>
          <w:iCs/>
          <w:sz w:val="26"/>
          <w:szCs w:val="26"/>
        </w:rPr>
        <w:t xml:space="preserve">Conformément à notre offre technique, la </w:t>
      </w:r>
      <w:r w:rsidR="00952BB4" w:rsidRPr="00C30010">
        <w:rPr>
          <w:rFonts w:ascii="Tw Cen MT" w:hAnsi="Tw Cen MT"/>
          <w:bCs/>
          <w:iCs/>
          <w:sz w:val="26"/>
          <w:szCs w:val="26"/>
        </w:rPr>
        <w:t>méthodologie envisagée comporte les étapes suivantes</w:t>
      </w:r>
      <w:r w:rsidRPr="00C30010">
        <w:rPr>
          <w:rFonts w:ascii="Tw Cen MT" w:hAnsi="Tw Cen MT"/>
          <w:bCs/>
          <w:iCs/>
          <w:sz w:val="26"/>
          <w:szCs w:val="26"/>
        </w:rPr>
        <w:t> :</w:t>
      </w:r>
    </w:p>
    <w:p w14:paraId="58599A6E" w14:textId="12967A6E" w:rsidR="003F36D5" w:rsidRPr="003F36D5" w:rsidRDefault="003F36D5" w:rsidP="0048041A">
      <w:pPr>
        <w:pStyle w:val="Paragraphedeliste"/>
        <w:numPr>
          <w:ilvl w:val="0"/>
          <w:numId w:val="10"/>
        </w:numPr>
        <w:spacing w:line="276" w:lineRule="auto"/>
        <w:ind w:left="426" w:hanging="295"/>
        <w:jc w:val="both"/>
        <w:rPr>
          <w:rFonts w:ascii="Tw Cen MT" w:hAnsi="Tw Cen MT"/>
          <w:bCs/>
          <w:iCs/>
          <w:sz w:val="26"/>
          <w:szCs w:val="26"/>
        </w:rPr>
      </w:pPr>
      <w:r w:rsidRPr="003F36D5">
        <w:rPr>
          <w:rFonts w:ascii="Tw Cen MT" w:hAnsi="Tw Cen MT"/>
          <w:bCs/>
          <w:iCs/>
          <w:sz w:val="26"/>
          <w:szCs w:val="26"/>
        </w:rPr>
        <w:t>la méthodologie de collecte et d’analyse des données ;</w:t>
      </w:r>
    </w:p>
    <w:p w14:paraId="373C6296" w14:textId="77777777" w:rsidR="00AF0E0F" w:rsidRPr="003F36D5" w:rsidRDefault="00AF0E0F" w:rsidP="00AF0E0F">
      <w:pPr>
        <w:pStyle w:val="Paragraphedeliste"/>
        <w:numPr>
          <w:ilvl w:val="0"/>
          <w:numId w:val="10"/>
        </w:numPr>
        <w:spacing w:line="276" w:lineRule="auto"/>
        <w:ind w:left="426" w:hanging="295"/>
        <w:jc w:val="both"/>
        <w:rPr>
          <w:rFonts w:ascii="Tw Cen MT" w:hAnsi="Tw Cen MT"/>
          <w:bCs/>
          <w:iCs/>
          <w:sz w:val="26"/>
          <w:szCs w:val="26"/>
        </w:rPr>
      </w:pPr>
      <w:r w:rsidRPr="003F36D5">
        <w:rPr>
          <w:rFonts w:ascii="Tw Cen MT" w:hAnsi="Tw Cen MT"/>
          <w:bCs/>
          <w:iCs/>
          <w:sz w:val="26"/>
          <w:szCs w:val="26"/>
        </w:rPr>
        <w:t>la détermination des informations contextuelles pertinentes</w:t>
      </w:r>
      <w:r>
        <w:rPr>
          <w:rFonts w:ascii="Tw Cen MT" w:hAnsi="Tw Cen MT"/>
          <w:bCs/>
          <w:iCs/>
          <w:sz w:val="26"/>
          <w:szCs w:val="26"/>
        </w:rPr>
        <w:t xml:space="preserve"> </w:t>
      </w:r>
      <w:r w:rsidRPr="003F36D5">
        <w:rPr>
          <w:rFonts w:ascii="Tw Cen MT" w:hAnsi="Tw Cen MT"/>
          <w:bCs/>
          <w:iCs/>
          <w:sz w:val="26"/>
          <w:szCs w:val="26"/>
        </w:rPr>
        <w:t>;</w:t>
      </w:r>
    </w:p>
    <w:p w14:paraId="732F0E31" w14:textId="31E394EB" w:rsidR="003F36D5" w:rsidRPr="003F36D5" w:rsidRDefault="003F36D5" w:rsidP="0048041A">
      <w:pPr>
        <w:pStyle w:val="Paragraphedeliste"/>
        <w:numPr>
          <w:ilvl w:val="0"/>
          <w:numId w:val="10"/>
        </w:numPr>
        <w:spacing w:line="276" w:lineRule="auto"/>
        <w:ind w:left="426" w:hanging="295"/>
        <w:jc w:val="both"/>
        <w:rPr>
          <w:rFonts w:ascii="Tw Cen MT" w:hAnsi="Tw Cen MT"/>
          <w:bCs/>
          <w:iCs/>
          <w:sz w:val="26"/>
          <w:szCs w:val="26"/>
        </w:rPr>
      </w:pPr>
      <w:r w:rsidRPr="003F36D5">
        <w:rPr>
          <w:rFonts w:ascii="Tw Cen MT" w:hAnsi="Tw Cen MT"/>
          <w:bCs/>
          <w:iCs/>
          <w:sz w:val="26"/>
          <w:szCs w:val="26"/>
        </w:rPr>
        <w:t>la détermination des critères de matérialité ;</w:t>
      </w:r>
    </w:p>
    <w:p w14:paraId="7CBBC970" w14:textId="7E495418" w:rsidR="003F36D5" w:rsidRPr="003F36D5" w:rsidRDefault="003F36D5" w:rsidP="0048041A">
      <w:pPr>
        <w:pStyle w:val="Paragraphedeliste"/>
        <w:numPr>
          <w:ilvl w:val="0"/>
          <w:numId w:val="10"/>
        </w:numPr>
        <w:spacing w:line="276" w:lineRule="auto"/>
        <w:ind w:left="426" w:hanging="295"/>
        <w:jc w:val="both"/>
        <w:rPr>
          <w:rFonts w:ascii="Tw Cen MT" w:hAnsi="Tw Cen MT"/>
          <w:bCs/>
          <w:iCs/>
          <w:sz w:val="26"/>
          <w:szCs w:val="26"/>
        </w:rPr>
      </w:pPr>
      <w:r w:rsidRPr="003F36D5">
        <w:rPr>
          <w:rFonts w:ascii="Tw Cen MT" w:hAnsi="Tw Cen MT"/>
          <w:bCs/>
          <w:iCs/>
          <w:sz w:val="26"/>
          <w:szCs w:val="26"/>
        </w:rPr>
        <w:t xml:space="preserve">la détermination du </w:t>
      </w:r>
      <w:r w:rsidRPr="003F36D5">
        <w:rPr>
          <w:rFonts w:ascii="Tw Cen MT" w:hAnsi="Tw Cen MT" w:cstheme="majorBidi"/>
          <w:bCs/>
          <w:sz w:val="26"/>
          <w:szCs w:val="26"/>
        </w:rPr>
        <w:t>périmètre des sociétés pétrolières et</w:t>
      </w:r>
      <w:r w:rsidR="00ED6728">
        <w:rPr>
          <w:rFonts w:ascii="Tw Cen MT" w:hAnsi="Tw Cen MT" w:cstheme="majorBidi"/>
          <w:bCs/>
          <w:sz w:val="26"/>
          <w:szCs w:val="26"/>
        </w:rPr>
        <w:t xml:space="preserve"> </w:t>
      </w:r>
      <w:r w:rsidRPr="003F36D5">
        <w:rPr>
          <w:rFonts w:ascii="Tw Cen MT" w:hAnsi="Tw Cen MT" w:cstheme="majorBidi"/>
          <w:bCs/>
          <w:sz w:val="26"/>
          <w:szCs w:val="26"/>
        </w:rPr>
        <w:t>minières y compris les sous-traitants ainsi que des entités gouvernementales qui sont tenues de préparer les déclarations ITIE ;</w:t>
      </w:r>
    </w:p>
    <w:p w14:paraId="7D2196FA" w14:textId="5C1B01DF" w:rsidR="00BE0E5D" w:rsidRPr="003F36D5" w:rsidRDefault="003F36D5" w:rsidP="0048041A">
      <w:pPr>
        <w:pStyle w:val="Paragraphedeliste"/>
        <w:numPr>
          <w:ilvl w:val="0"/>
          <w:numId w:val="10"/>
        </w:numPr>
        <w:spacing w:line="276" w:lineRule="auto"/>
        <w:ind w:left="426" w:hanging="295"/>
        <w:jc w:val="both"/>
        <w:rPr>
          <w:rFonts w:ascii="Tw Cen MT" w:hAnsi="Tw Cen MT"/>
          <w:bCs/>
          <w:iCs/>
          <w:sz w:val="26"/>
          <w:szCs w:val="26"/>
        </w:rPr>
      </w:pPr>
      <w:bookmarkStart w:id="10" w:name="_Hlk49354027"/>
      <w:r w:rsidRPr="003F36D5">
        <w:rPr>
          <w:rFonts w:ascii="Tw Cen MT" w:hAnsi="Tw Cen MT"/>
          <w:bCs/>
          <w:iCs/>
          <w:sz w:val="26"/>
          <w:szCs w:val="26"/>
        </w:rPr>
        <w:t>l’étude de la crédibilité des données</w:t>
      </w:r>
      <w:r w:rsidR="00BE0E5D" w:rsidRPr="003F36D5">
        <w:rPr>
          <w:rFonts w:ascii="Tw Cen MT" w:hAnsi="Tw Cen MT"/>
          <w:bCs/>
          <w:iCs/>
          <w:sz w:val="26"/>
          <w:szCs w:val="26"/>
        </w:rPr>
        <w:t xml:space="preserve"> ;</w:t>
      </w:r>
    </w:p>
    <w:bookmarkEnd w:id="10"/>
    <w:p w14:paraId="1D99717F" w14:textId="20F69F54" w:rsidR="00BE0E5D" w:rsidRPr="003F36D5" w:rsidRDefault="00295B77" w:rsidP="0048041A">
      <w:pPr>
        <w:pStyle w:val="Paragraphedeliste"/>
        <w:numPr>
          <w:ilvl w:val="0"/>
          <w:numId w:val="10"/>
        </w:numPr>
        <w:spacing w:line="276" w:lineRule="auto"/>
        <w:ind w:left="426" w:hanging="295"/>
        <w:jc w:val="both"/>
        <w:rPr>
          <w:rFonts w:ascii="Tw Cen MT" w:hAnsi="Tw Cen MT"/>
          <w:bCs/>
          <w:iCs/>
          <w:sz w:val="26"/>
          <w:szCs w:val="26"/>
        </w:rPr>
      </w:pPr>
      <w:r w:rsidRPr="003F36D5">
        <w:rPr>
          <w:rFonts w:ascii="Tw Cen MT" w:hAnsi="Tw Cen MT"/>
          <w:bCs/>
          <w:iCs/>
          <w:sz w:val="26"/>
          <w:szCs w:val="26"/>
        </w:rPr>
        <w:t>l</w:t>
      </w:r>
      <w:r w:rsidR="00BE0E5D" w:rsidRPr="003F36D5">
        <w:rPr>
          <w:rFonts w:ascii="Tw Cen MT" w:hAnsi="Tw Cen MT"/>
          <w:bCs/>
          <w:iCs/>
          <w:sz w:val="26"/>
          <w:szCs w:val="26"/>
        </w:rPr>
        <w:t xml:space="preserve">a </w:t>
      </w:r>
      <w:r w:rsidR="003F36D5" w:rsidRPr="003F36D5">
        <w:rPr>
          <w:rFonts w:ascii="Tw Cen MT" w:hAnsi="Tw Cen MT"/>
          <w:bCs/>
          <w:iCs/>
          <w:sz w:val="26"/>
          <w:szCs w:val="26"/>
        </w:rPr>
        <w:t>préparation du rapport de cadrage</w:t>
      </w:r>
      <w:r w:rsidR="00BE0E5D" w:rsidRPr="003F36D5">
        <w:rPr>
          <w:rFonts w:ascii="Tw Cen MT" w:hAnsi="Tw Cen MT"/>
          <w:bCs/>
          <w:iCs/>
          <w:sz w:val="26"/>
          <w:szCs w:val="26"/>
        </w:rPr>
        <w:t>.</w:t>
      </w:r>
    </w:p>
    <w:p w14:paraId="12E2D1F7" w14:textId="27EE8847" w:rsidR="007D776C" w:rsidRPr="0087586F" w:rsidRDefault="003F36D5" w:rsidP="0048041A">
      <w:pPr>
        <w:pStyle w:val="Paragraphedeliste"/>
        <w:numPr>
          <w:ilvl w:val="1"/>
          <w:numId w:val="9"/>
        </w:numPr>
        <w:spacing w:before="240" w:after="240"/>
        <w:ind w:left="1797"/>
        <w:contextualSpacing w:val="0"/>
        <w:outlineLvl w:val="1"/>
        <w:rPr>
          <w:rFonts w:ascii="Tw Cen MT" w:hAnsi="Tw Cen MT"/>
          <w:b/>
          <w:iCs/>
          <w:sz w:val="26"/>
          <w:szCs w:val="26"/>
        </w:rPr>
      </w:pPr>
      <w:bookmarkStart w:id="11" w:name="_Toc90999710"/>
      <w:r>
        <w:rPr>
          <w:rFonts w:ascii="Tw Cen MT" w:hAnsi="Tw Cen MT"/>
          <w:b/>
          <w:iCs/>
          <w:sz w:val="26"/>
          <w:szCs w:val="26"/>
        </w:rPr>
        <w:t>Méthodologie de collecte et d’analyse des données</w:t>
      </w:r>
      <w:bookmarkEnd w:id="11"/>
      <w:r>
        <w:rPr>
          <w:rFonts w:ascii="Tw Cen MT" w:hAnsi="Tw Cen MT"/>
          <w:b/>
          <w:iCs/>
          <w:sz w:val="26"/>
          <w:szCs w:val="26"/>
        </w:rPr>
        <w:t xml:space="preserve"> </w:t>
      </w:r>
    </w:p>
    <w:p w14:paraId="509F412E" w14:textId="73203D2F" w:rsidR="00AF66E8" w:rsidRDefault="003F36D5" w:rsidP="007D776C">
      <w:pPr>
        <w:spacing w:after="160" w:line="276" w:lineRule="auto"/>
        <w:jc w:val="both"/>
        <w:rPr>
          <w:rFonts w:ascii="Tw Cen MT" w:hAnsi="Tw Cen MT"/>
          <w:bCs/>
          <w:iCs/>
          <w:sz w:val="26"/>
          <w:szCs w:val="26"/>
        </w:rPr>
      </w:pPr>
      <w:r>
        <w:rPr>
          <w:rFonts w:ascii="Tw Cen MT" w:hAnsi="Tw Cen MT"/>
          <w:bCs/>
          <w:iCs/>
          <w:sz w:val="26"/>
          <w:szCs w:val="26"/>
        </w:rPr>
        <w:t xml:space="preserve">Les travaux de l’étude de cadrage sont effectués sur la base des données recueillies et analysées selon la méthodologie suivante : </w:t>
      </w:r>
    </w:p>
    <w:p w14:paraId="2796A8A7" w14:textId="0745A808" w:rsidR="003F36D5" w:rsidRPr="0087586F" w:rsidRDefault="003F36D5" w:rsidP="0048041A">
      <w:pPr>
        <w:pStyle w:val="Paragraphedeliste"/>
        <w:numPr>
          <w:ilvl w:val="2"/>
          <w:numId w:val="11"/>
        </w:numPr>
        <w:spacing w:before="240" w:after="240"/>
        <w:ind w:left="1418"/>
        <w:contextualSpacing w:val="0"/>
        <w:outlineLvl w:val="1"/>
        <w:rPr>
          <w:rFonts w:ascii="Tw Cen MT" w:hAnsi="Tw Cen MT"/>
          <w:b/>
          <w:iCs/>
          <w:sz w:val="26"/>
          <w:szCs w:val="26"/>
        </w:rPr>
      </w:pPr>
      <w:bookmarkStart w:id="12" w:name="_Toc90999711"/>
      <w:r>
        <w:rPr>
          <w:rFonts w:ascii="Tw Cen MT" w:hAnsi="Tw Cen MT"/>
          <w:b/>
          <w:iCs/>
          <w:sz w:val="26"/>
          <w:szCs w:val="26"/>
        </w:rPr>
        <w:t>Collecte des données brutes sur le secteur minier et pétrolier</w:t>
      </w:r>
      <w:bookmarkEnd w:id="12"/>
      <w:r>
        <w:rPr>
          <w:rFonts w:ascii="Tw Cen MT" w:hAnsi="Tw Cen MT"/>
          <w:b/>
          <w:iCs/>
          <w:sz w:val="26"/>
          <w:szCs w:val="26"/>
        </w:rPr>
        <w:t xml:space="preserve"> </w:t>
      </w:r>
    </w:p>
    <w:p w14:paraId="54F1FDCF" w14:textId="1FC7FB90" w:rsidR="003F36D5" w:rsidRDefault="003F36D5" w:rsidP="007D776C">
      <w:pPr>
        <w:spacing w:after="160" w:line="276" w:lineRule="auto"/>
        <w:jc w:val="both"/>
        <w:rPr>
          <w:rFonts w:ascii="Tw Cen MT" w:hAnsi="Tw Cen MT"/>
          <w:bCs/>
          <w:iCs/>
          <w:sz w:val="26"/>
          <w:szCs w:val="26"/>
        </w:rPr>
      </w:pPr>
      <w:r>
        <w:rPr>
          <w:rFonts w:ascii="Tw Cen MT" w:hAnsi="Tw Cen MT"/>
          <w:bCs/>
          <w:iCs/>
          <w:sz w:val="26"/>
          <w:szCs w:val="26"/>
        </w:rPr>
        <w:t xml:space="preserve">Nous avons analysé les textes législatifs et règlementaires régissant le secteur des industries extractives ainsi que les dispositions fiscales, sociales et douanières applicables aux entreprises opérant dans le secteur des industries extractives afin d’identifier l’ensemble des flux financiers du secteur et les organismes publics collecteurs pour le compte de l’État. Cette analyse a été complétée par l’exploitation des informations contenues dans le rapport de l’Administrateur Indépendant au titre de l’exercice 2018. </w:t>
      </w:r>
    </w:p>
    <w:p w14:paraId="55A81EAA" w14:textId="22861BD9" w:rsidR="003F36D5" w:rsidRDefault="003F36D5" w:rsidP="007D776C">
      <w:pPr>
        <w:spacing w:after="160" w:line="276" w:lineRule="auto"/>
        <w:jc w:val="both"/>
        <w:rPr>
          <w:rFonts w:ascii="Tw Cen MT" w:hAnsi="Tw Cen MT"/>
          <w:bCs/>
          <w:iCs/>
          <w:sz w:val="26"/>
          <w:szCs w:val="26"/>
        </w:rPr>
      </w:pPr>
      <w:r>
        <w:rPr>
          <w:rFonts w:ascii="Tw Cen MT" w:hAnsi="Tw Cen MT"/>
          <w:bCs/>
          <w:iCs/>
          <w:sz w:val="26"/>
          <w:szCs w:val="26"/>
        </w:rPr>
        <w:t xml:space="preserve">Les données brutes objet de la présente étude préliminaire ont été collectées par le Secretariat Permanent de l’ITIE et mise à notre disposition pour les besoins d’analyse. </w:t>
      </w:r>
      <w:r w:rsidR="00FC4630">
        <w:rPr>
          <w:rFonts w:ascii="Tw Cen MT" w:hAnsi="Tw Cen MT"/>
          <w:bCs/>
          <w:iCs/>
          <w:sz w:val="26"/>
          <w:szCs w:val="26"/>
        </w:rPr>
        <w:t>Les structures et documents concernés sont les suivants :</w:t>
      </w:r>
    </w:p>
    <w:p w14:paraId="0DE71240" w14:textId="5AA44A08" w:rsidR="00A255CD" w:rsidRPr="00A255CD" w:rsidRDefault="00A255CD" w:rsidP="00A255CD">
      <w:pPr>
        <w:pStyle w:val="Lgende"/>
        <w:rPr>
          <w:rFonts w:ascii="Tw Cen MT" w:hAnsi="Tw Cen MT"/>
          <w:b/>
          <w:bCs/>
          <w:i w:val="0"/>
          <w:iCs w:val="0"/>
          <w:color w:val="auto"/>
          <w:sz w:val="24"/>
          <w:szCs w:val="24"/>
        </w:rPr>
      </w:pPr>
      <w:bookmarkStart w:id="13" w:name="_Toc90995623"/>
      <w:r w:rsidRPr="00A255CD">
        <w:rPr>
          <w:rFonts w:ascii="Tw Cen MT" w:hAnsi="Tw Cen MT"/>
          <w:b/>
          <w:bCs/>
          <w:i w:val="0"/>
          <w:iCs w:val="0"/>
          <w:color w:val="auto"/>
          <w:sz w:val="24"/>
          <w:szCs w:val="24"/>
        </w:rPr>
        <w:t xml:space="preserve">Tableau </w:t>
      </w:r>
      <w:r w:rsidRPr="00A255CD">
        <w:rPr>
          <w:rFonts w:ascii="Tw Cen MT" w:hAnsi="Tw Cen MT"/>
          <w:b/>
          <w:bCs/>
          <w:i w:val="0"/>
          <w:iCs w:val="0"/>
          <w:color w:val="auto"/>
          <w:sz w:val="24"/>
          <w:szCs w:val="24"/>
        </w:rPr>
        <w:fldChar w:fldCharType="begin"/>
      </w:r>
      <w:r w:rsidRPr="00A255CD">
        <w:rPr>
          <w:rFonts w:ascii="Tw Cen MT" w:hAnsi="Tw Cen MT"/>
          <w:b/>
          <w:bCs/>
          <w:i w:val="0"/>
          <w:iCs w:val="0"/>
          <w:color w:val="auto"/>
          <w:sz w:val="24"/>
          <w:szCs w:val="24"/>
        </w:rPr>
        <w:instrText xml:space="preserve"> SEQ Tableau \* ARABIC </w:instrText>
      </w:r>
      <w:r w:rsidRPr="00A255CD">
        <w:rPr>
          <w:rFonts w:ascii="Tw Cen MT" w:hAnsi="Tw Cen MT"/>
          <w:b/>
          <w:bCs/>
          <w:i w:val="0"/>
          <w:iCs w:val="0"/>
          <w:color w:val="auto"/>
          <w:sz w:val="24"/>
          <w:szCs w:val="24"/>
        </w:rPr>
        <w:fldChar w:fldCharType="separate"/>
      </w:r>
      <w:r w:rsidR="00A54243">
        <w:rPr>
          <w:rFonts w:ascii="Tw Cen MT" w:hAnsi="Tw Cen MT"/>
          <w:b/>
          <w:bCs/>
          <w:i w:val="0"/>
          <w:iCs w:val="0"/>
          <w:noProof/>
          <w:color w:val="auto"/>
          <w:sz w:val="24"/>
          <w:szCs w:val="24"/>
        </w:rPr>
        <w:t>1</w:t>
      </w:r>
      <w:r w:rsidRPr="00A255CD">
        <w:rPr>
          <w:rFonts w:ascii="Tw Cen MT" w:hAnsi="Tw Cen MT"/>
          <w:b/>
          <w:bCs/>
          <w:i w:val="0"/>
          <w:iCs w:val="0"/>
          <w:color w:val="auto"/>
          <w:sz w:val="24"/>
          <w:szCs w:val="24"/>
        </w:rPr>
        <w:fldChar w:fldCharType="end"/>
      </w:r>
      <w:r w:rsidRPr="00A255CD">
        <w:rPr>
          <w:rFonts w:ascii="Tw Cen MT" w:hAnsi="Tw Cen MT"/>
          <w:b/>
          <w:bCs/>
          <w:i w:val="0"/>
          <w:iCs w:val="0"/>
          <w:color w:val="auto"/>
          <w:sz w:val="24"/>
          <w:szCs w:val="24"/>
        </w:rPr>
        <w:t> : Situation de la communication des données brutes</w:t>
      </w:r>
      <w:bookmarkEnd w:id="13"/>
    </w:p>
    <w:tbl>
      <w:tblPr>
        <w:tblStyle w:val="Grilledutableau"/>
        <w:tblW w:w="9209" w:type="dxa"/>
        <w:tblLook w:val="04A0" w:firstRow="1" w:lastRow="0" w:firstColumn="1" w:lastColumn="0" w:noHBand="0" w:noVBand="1"/>
      </w:tblPr>
      <w:tblGrid>
        <w:gridCol w:w="3068"/>
        <w:gridCol w:w="4015"/>
        <w:gridCol w:w="2126"/>
      </w:tblGrid>
      <w:tr w:rsidR="00FC4630" w:rsidRPr="00FC4630" w14:paraId="41B669CA" w14:textId="77777777" w:rsidTr="00434319">
        <w:trPr>
          <w:tblHeader/>
        </w:trPr>
        <w:tc>
          <w:tcPr>
            <w:tcW w:w="3068" w:type="dxa"/>
            <w:shd w:val="clear" w:color="auto" w:fill="00B0F0"/>
          </w:tcPr>
          <w:p w14:paraId="59C4F074" w14:textId="080FF36C" w:rsidR="00FC4630" w:rsidRPr="00FC4630" w:rsidRDefault="00FC4630" w:rsidP="00FC4630">
            <w:pPr>
              <w:spacing w:line="276" w:lineRule="auto"/>
              <w:jc w:val="center"/>
              <w:rPr>
                <w:rFonts w:ascii="Tw Cen MT" w:hAnsi="Tw Cen MT"/>
                <w:b/>
                <w:iCs/>
                <w:color w:val="FFFFFF" w:themeColor="background1"/>
              </w:rPr>
            </w:pPr>
            <w:r w:rsidRPr="00FC4630">
              <w:rPr>
                <w:rFonts w:ascii="Tw Cen MT" w:hAnsi="Tw Cen MT"/>
                <w:b/>
                <w:iCs/>
                <w:color w:val="FFFFFF" w:themeColor="background1"/>
              </w:rPr>
              <w:t>Structures publics</w:t>
            </w:r>
          </w:p>
        </w:tc>
        <w:tc>
          <w:tcPr>
            <w:tcW w:w="4015" w:type="dxa"/>
            <w:shd w:val="clear" w:color="auto" w:fill="00B0F0"/>
          </w:tcPr>
          <w:p w14:paraId="7349653C" w14:textId="659FDC6F" w:rsidR="00FC4630" w:rsidRPr="00FC4630" w:rsidRDefault="00FC4630" w:rsidP="00FC4630">
            <w:pPr>
              <w:spacing w:line="276" w:lineRule="auto"/>
              <w:jc w:val="center"/>
              <w:rPr>
                <w:rFonts w:ascii="Tw Cen MT" w:hAnsi="Tw Cen MT"/>
                <w:b/>
                <w:iCs/>
                <w:color w:val="FFFFFF" w:themeColor="background1"/>
              </w:rPr>
            </w:pPr>
            <w:r w:rsidRPr="00FC4630">
              <w:rPr>
                <w:rFonts w:ascii="Tw Cen MT" w:hAnsi="Tw Cen MT"/>
                <w:b/>
                <w:iCs/>
                <w:color w:val="FFFFFF" w:themeColor="background1"/>
              </w:rPr>
              <w:t>Type</w:t>
            </w:r>
            <w:r>
              <w:rPr>
                <w:rFonts w:ascii="Tw Cen MT" w:hAnsi="Tw Cen MT"/>
                <w:b/>
                <w:iCs/>
                <w:color w:val="FFFFFF" w:themeColor="background1"/>
              </w:rPr>
              <w:t>s</w:t>
            </w:r>
            <w:r w:rsidRPr="00FC4630">
              <w:rPr>
                <w:rFonts w:ascii="Tw Cen MT" w:hAnsi="Tw Cen MT"/>
                <w:b/>
                <w:iCs/>
                <w:color w:val="FFFFFF" w:themeColor="background1"/>
              </w:rPr>
              <w:t xml:space="preserve"> de données</w:t>
            </w:r>
          </w:p>
        </w:tc>
        <w:tc>
          <w:tcPr>
            <w:tcW w:w="2126" w:type="dxa"/>
            <w:shd w:val="clear" w:color="auto" w:fill="00B0F0"/>
          </w:tcPr>
          <w:p w14:paraId="61BD997E" w14:textId="7DC667AC" w:rsidR="00FC4630" w:rsidRPr="00FC4630" w:rsidRDefault="00FC4630" w:rsidP="00FC4630">
            <w:pPr>
              <w:spacing w:line="276" w:lineRule="auto"/>
              <w:jc w:val="center"/>
              <w:rPr>
                <w:rFonts w:ascii="Tw Cen MT" w:hAnsi="Tw Cen MT"/>
                <w:b/>
                <w:iCs/>
                <w:color w:val="FFFFFF" w:themeColor="background1"/>
              </w:rPr>
            </w:pPr>
            <w:r w:rsidRPr="00FC4630">
              <w:rPr>
                <w:rFonts w:ascii="Tw Cen MT" w:hAnsi="Tw Cen MT"/>
                <w:b/>
                <w:iCs/>
                <w:color w:val="FFFFFF" w:themeColor="background1"/>
              </w:rPr>
              <w:t>Observations</w:t>
            </w:r>
          </w:p>
        </w:tc>
      </w:tr>
      <w:tr w:rsidR="00FC4630" w:rsidRPr="00FC4630" w14:paraId="6DD5F5DB" w14:textId="77777777" w:rsidTr="00FC4630">
        <w:tc>
          <w:tcPr>
            <w:tcW w:w="3068" w:type="dxa"/>
          </w:tcPr>
          <w:p w14:paraId="0E053D42" w14:textId="5F16AA16" w:rsidR="00FC4630" w:rsidRPr="00FC4630" w:rsidRDefault="00FC4630" w:rsidP="00FC4630">
            <w:pPr>
              <w:spacing w:line="276" w:lineRule="auto"/>
              <w:jc w:val="both"/>
              <w:rPr>
                <w:rFonts w:ascii="Tw Cen MT" w:hAnsi="Tw Cen MT"/>
                <w:bCs/>
                <w:iCs/>
              </w:rPr>
            </w:pPr>
            <w:r w:rsidRPr="00FC4630">
              <w:rPr>
                <w:rFonts w:ascii="Tw Cen MT" w:hAnsi="Tw Cen MT"/>
                <w:bCs/>
                <w:iCs/>
              </w:rPr>
              <w:t>Direction des Grandes Entreprises</w:t>
            </w:r>
          </w:p>
        </w:tc>
        <w:tc>
          <w:tcPr>
            <w:tcW w:w="4015" w:type="dxa"/>
          </w:tcPr>
          <w:p w14:paraId="7A0BBC67" w14:textId="2DE0A7EE" w:rsidR="00FC4630" w:rsidRPr="00FC4630" w:rsidRDefault="00FC4630" w:rsidP="0048041A">
            <w:pPr>
              <w:pStyle w:val="Paragraphedeliste"/>
              <w:numPr>
                <w:ilvl w:val="0"/>
                <w:numId w:val="12"/>
              </w:numPr>
              <w:spacing w:line="276" w:lineRule="auto"/>
              <w:ind w:left="365"/>
              <w:jc w:val="both"/>
              <w:rPr>
                <w:rFonts w:ascii="Tw Cen MT" w:hAnsi="Tw Cen MT"/>
                <w:bCs/>
                <w:iCs/>
              </w:rPr>
            </w:pPr>
            <w:r>
              <w:rPr>
                <w:rFonts w:ascii="Tw Cen MT" w:hAnsi="Tw Cen MT"/>
                <w:bCs/>
                <w:iCs/>
              </w:rPr>
              <w:t>Déclaration unilatérale des impôts et taxes</w:t>
            </w:r>
          </w:p>
        </w:tc>
        <w:tc>
          <w:tcPr>
            <w:tcW w:w="2126" w:type="dxa"/>
          </w:tcPr>
          <w:p w14:paraId="2F47BACC" w14:textId="77777777" w:rsidR="00FC4630" w:rsidRPr="00FC4630" w:rsidRDefault="00FC4630" w:rsidP="00FC4630">
            <w:pPr>
              <w:spacing w:line="276" w:lineRule="auto"/>
              <w:jc w:val="both"/>
              <w:rPr>
                <w:rFonts w:ascii="Tw Cen MT" w:hAnsi="Tw Cen MT"/>
                <w:bCs/>
                <w:iCs/>
              </w:rPr>
            </w:pPr>
          </w:p>
        </w:tc>
      </w:tr>
      <w:tr w:rsidR="00FC4630" w:rsidRPr="00FC4630" w14:paraId="75C75F03" w14:textId="77777777" w:rsidTr="00FC4630">
        <w:tc>
          <w:tcPr>
            <w:tcW w:w="3068" w:type="dxa"/>
          </w:tcPr>
          <w:p w14:paraId="4445B2EB" w14:textId="7E81E012" w:rsidR="00FC4630" w:rsidRPr="00FC4630" w:rsidRDefault="00FC4630" w:rsidP="00FC4630">
            <w:pPr>
              <w:spacing w:line="276" w:lineRule="auto"/>
              <w:jc w:val="both"/>
              <w:rPr>
                <w:rFonts w:ascii="Tw Cen MT" w:hAnsi="Tw Cen MT"/>
                <w:bCs/>
                <w:iCs/>
              </w:rPr>
            </w:pPr>
            <w:r w:rsidRPr="00FC4630">
              <w:rPr>
                <w:rFonts w:ascii="Tw Cen MT" w:hAnsi="Tw Cen MT"/>
                <w:bCs/>
                <w:iCs/>
              </w:rPr>
              <w:t>Direction Nationale des Domaines</w:t>
            </w:r>
          </w:p>
        </w:tc>
        <w:tc>
          <w:tcPr>
            <w:tcW w:w="4015" w:type="dxa"/>
          </w:tcPr>
          <w:p w14:paraId="748F3B84" w14:textId="77777777" w:rsidR="00FC4630" w:rsidRDefault="00FC4630" w:rsidP="0048041A">
            <w:pPr>
              <w:pStyle w:val="Paragraphedeliste"/>
              <w:numPr>
                <w:ilvl w:val="0"/>
                <w:numId w:val="12"/>
              </w:numPr>
              <w:spacing w:line="276" w:lineRule="auto"/>
              <w:ind w:left="365"/>
              <w:jc w:val="both"/>
              <w:rPr>
                <w:rFonts w:ascii="Tw Cen MT" w:hAnsi="Tw Cen MT"/>
                <w:bCs/>
                <w:iCs/>
              </w:rPr>
            </w:pPr>
            <w:r>
              <w:rPr>
                <w:rFonts w:ascii="Tw Cen MT" w:hAnsi="Tw Cen MT"/>
                <w:bCs/>
                <w:iCs/>
              </w:rPr>
              <w:t>Déclaration unilatérale des impôts et taxes</w:t>
            </w:r>
          </w:p>
          <w:p w14:paraId="40EDABA0" w14:textId="771ABB7F" w:rsidR="00FC4630" w:rsidRPr="00FC4630" w:rsidRDefault="00FC4630" w:rsidP="0048041A">
            <w:pPr>
              <w:pStyle w:val="Paragraphedeliste"/>
              <w:numPr>
                <w:ilvl w:val="0"/>
                <w:numId w:val="12"/>
              </w:numPr>
              <w:spacing w:line="276" w:lineRule="auto"/>
              <w:ind w:left="365"/>
              <w:jc w:val="both"/>
              <w:rPr>
                <w:rFonts w:ascii="Tw Cen MT" w:hAnsi="Tw Cen MT"/>
                <w:bCs/>
                <w:iCs/>
              </w:rPr>
            </w:pPr>
            <w:r>
              <w:rPr>
                <w:rFonts w:ascii="Tw Cen MT" w:hAnsi="Tw Cen MT"/>
                <w:bCs/>
                <w:iCs/>
              </w:rPr>
              <w:t>Déclaration unilatérale des revenus des participations de l’État</w:t>
            </w:r>
          </w:p>
        </w:tc>
        <w:tc>
          <w:tcPr>
            <w:tcW w:w="2126" w:type="dxa"/>
          </w:tcPr>
          <w:p w14:paraId="78DDF330" w14:textId="77777777" w:rsidR="00FC4630" w:rsidRPr="00FC4630" w:rsidRDefault="00FC4630" w:rsidP="00FC4630">
            <w:pPr>
              <w:spacing w:line="276" w:lineRule="auto"/>
              <w:jc w:val="both"/>
              <w:rPr>
                <w:rFonts w:ascii="Tw Cen MT" w:hAnsi="Tw Cen MT"/>
                <w:bCs/>
                <w:iCs/>
              </w:rPr>
            </w:pPr>
          </w:p>
        </w:tc>
      </w:tr>
      <w:tr w:rsidR="00FC4630" w:rsidRPr="00FC4630" w14:paraId="14CC7BED" w14:textId="77777777" w:rsidTr="00FC4630">
        <w:tc>
          <w:tcPr>
            <w:tcW w:w="3068" w:type="dxa"/>
          </w:tcPr>
          <w:p w14:paraId="08009C79" w14:textId="62400B5A" w:rsidR="00FC4630" w:rsidRPr="00FC4630" w:rsidRDefault="00FC4630" w:rsidP="00FC4630">
            <w:pPr>
              <w:spacing w:line="276" w:lineRule="auto"/>
              <w:jc w:val="both"/>
              <w:rPr>
                <w:rFonts w:ascii="Tw Cen MT" w:hAnsi="Tw Cen MT"/>
                <w:bCs/>
                <w:iCs/>
              </w:rPr>
            </w:pPr>
            <w:r w:rsidRPr="00FC4630">
              <w:rPr>
                <w:rFonts w:ascii="Tw Cen MT" w:hAnsi="Tw Cen MT"/>
                <w:bCs/>
                <w:iCs/>
              </w:rPr>
              <w:t>Office Nationale de Recherche Pétrolière</w:t>
            </w:r>
          </w:p>
        </w:tc>
        <w:tc>
          <w:tcPr>
            <w:tcW w:w="4015" w:type="dxa"/>
          </w:tcPr>
          <w:p w14:paraId="4107078B" w14:textId="77777777" w:rsidR="00FC4630" w:rsidRDefault="00FC4630" w:rsidP="0048041A">
            <w:pPr>
              <w:pStyle w:val="Paragraphedeliste"/>
              <w:numPr>
                <w:ilvl w:val="0"/>
                <w:numId w:val="12"/>
              </w:numPr>
              <w:spacing w:line="276" w:lineRule="auto"/>
              <w:ind w:left="365"/>
              <w:jc w:val="both"/>
              <w:rPr>
                <w:rFonts w:ascii="Tw Cen MT" w:hAnsi="Tw Cen MT"/>
                <w:bCs/>
                <w:iCs/>
              </w:rPr>
            </w:pPr>
            <w:r>
              <w:rPr>
                <w:rFonts w:ascii="Tw Cen MT" w:hAnsi="Tw Cen MT"/>
                <w:bCs/>
                <w:iCs/>
              </w:rPr>
              <w:t>Déclaration unilatérale des recettes</w:t>
            </w:r>
          </w:p>
          <w:p w14:paraId="1A7F8B1A" w14:textId="6884F85A" w:rsidR="00FC4630" w:rsidRPr="00FC4630" w:rsidRDefault="00FC4630" w:rsidP="0048041A">
            <w:pPr>
              <w:pStyle w:val="Paragraphedeliste"/>
              <w:numPr>
                <w:ilvl w:val="0"/>
                <w:numId w:val="12"/>
              </w:numPr>
              <w:spacing w:line="276" w:lineRule="auto"/>
              <w:ind w:left="365"/>
              <w:jc w:val="both"/>
              <w:rPr>
                <w:rFonts w:ascii="Tw Cen MT" w:hAnsi="Tw Cen MT"/>
                <w:bCs/>
                <w:iCs/>
              </w:rPr>
            </w:pPr>
            <w:r>
              <w:rPr>
                <w:rFonts w:ascii="Tw Cen MT" w:hAnsi="Tw Cen MT"/>
                <w:bCs/>
                <w:iCs/>
              </w:rPr>
              <w:t>Carte actualisée des blocs pétroliers</w:t>
            </w:r>
          </w:p>
        </w:tc>
        <w:tc>
          <w:tcPr>
            <w:tcW w:w="2126" w:type="dxa"/>
          </w:tcPr>
          <w:p w14:paraId="2A082051" w14:textId="77777777" w:rsidR="00FC4630" w:rsidRPr="00FC4630" w:rsidRDefault="00FC4630" w:rsidP="00FC4630">
            <w:pPr>
              <w:spacing w:line="276" w:lineRule="auto"/>
              <w:jc w:val="both"/>
              <w:rPr>
                <w:rFonts w:ascii="Tw Cen MT" w:hAnsi="Tw Cen MT"/>
                <w:bCs/>
                <w:iCs/>
              </w:rPr>
            </w:pPr>
          </w:p>
        </w:tc>
      </w:tr>
      <w:tr w:rsidR="00FC4630" w:rsidRPr="00FC4630" w14:paraId="3F017934" w14:textId="77777777" w:rsidTr="00FC4630">
        <w:tc>
          <w:tcPr>
            <w:tcW w:w="3068" w:type="dxa"/>
          </w:tcPr>
          <w:p w14:paraId="1390B003" w14:textId="64FCF4BD" w:rsidR="00FC4630" w:rsidRPr="00FC4630" w:rsidRDefault="00FC4630" w:rsidP="00FC4630">
            <w:pPr>
              <w:spacing w:line="276" w:lineRule="auto"/>
              <w:jc w:val="both"/>
              <w:rPr>
                <w:rFonts w:ascii="Tw Cen MT" w:hAnsi="Tw Cen MT"/>
                <w:bCs/>
                <w:iCs/>
              </w:rPr>
            </w:pPr>
            <w:r w:rsidRPr="00FC4630">
              <w:rPr>
                <w:rFonts w:ascii="Tw Cen MT" w:hAnsi="Tw Cen MT"/>
                <w:bCs/>
                <w:iCs/>
              </w:rPr>
              <w:t>Direction Nationale de la Géologie et des Mines</w:t>
            </w:r>
          </w:p>
        </w:tc>
        <w:tc>
          <w:tcPr>
            <w:tcW w:w="4015" w:type="dxa"/>
          </w:tcPr>
          <w:p w14:paraId="01153B5F" w14:textId="77777777" w:rsidR="00FC4630" w:rsidRDefault="00FC4630" w:rsidP="0048041A">
            <w:pPr>
              <w:pStyle w:val="Paragraphedeliste"/>
              <w:numPr>
                <w:ilvl w:val="0"/>
                <w:numId w:val="12"/>
              </w:numPr>
              <w:spacing w:line="276" w:lineRule="auto"/>
              <w:ind w:left="365"/>
              <w:jc w:val="both"/>
              <w:rPr>
                <w:rFonts w:ascii="Tw Cen MT" w:hAnsi="Tw Cen MT"/>
                <w:bCs/>
                <w:iCs/>
              </w:rPr>
            </w:pPr>
            <w:r>
              <w:rPr>
                <w:rFonts w:ascii="Tw Cen MT" w:hAnsi="Tw Cen MT"/>
                <w:bCs/>
                <w:iCs/>
              </w:rPr>
              <w:t>Déclaration unilatérale des recettes</w:t>
            </w:r>
          </w:p>
          <w:p w14:paraId="47271A97" w14:textId="53A58F38" w:rsidR="00FC4630" w:rsidRDefault="00FC4630" w:rsidP="0048041A">
            <w:pPr>
              <w:pStyle w:val="Paragraphedeliste"/>
              <w:numPr>
                <w:ilvl w:val="0"/>
                <w:numId w:val="12"/>
              </w:numPr>
              <w:spacing w:line="276" w:lineRule="auto"/>
              <w:ind w:left="365"/>
              <w:jc w:val="both"/>
              <w:rPr>
                <w:rFonts w:ascii="Tw Cen MT" w:hAnsi="Tw Cen MT"/>
                <w:bCs/>
                <w:iCs/>
              </w:rPr>
            </w:pPr>
            <w:r w:rsidRPr="00FC4630">
              <w:rPr>
                <w:rFonts w:ascii="Tw Cen MT" w:hAnsi="Tw Cen MT"/>
                <w:bCs/>
                <w:iCs/>
              </w:rPr>
              <w:t>Registre des licences minières</w:t>
            </w:r>
            <w:r>
              <w:rPr>
                <w:rFonts w:ascii="Tw Cen MT" w:hAnsi="Tw Cen MT"/>
                <w:bCs/>
                <w:iCs/>
              </w:rPr>
              <w:t xml:space="preserve"> </w:t>
            </w:r>
          </w:p>
          <w:p w14:paraId="30BD2F98" w14:textId="7F422745" w:rsidR="00FC4630" w:rsidRPr="00FC4630" w:rsidRDefault="00FC4630" w:rsidP="0048041A">
            <w:pPr>
              <w:pStyle w:val="Paragraphedeliste"/>
              <w:numPr>
                <w:ilvl w:val="0"/>
                <w:numId w:val="12"/>
              </w:numPr>
              <w:spacing w:line="276" w:lineRule="auto"/>
              <w:ind w:left="365"/>
              <w:jc w:val="both"/>
              <w:rPr>
                <w:rFonts w:ascii="Tw Cen MT" w:hAnsi="Tw Cen MT"/>
                <w:bCs/>
                <w:iCs/>
              </w:rPr>
            </w:pPr>
            <w:r w:rsidRPr="00FC4630">
              <w:rPr>
                <w:rFonts w:ascii="Tw Cen MT" w:hAnsi="Tw Cen MT"/>
                <w:bCs/>
                <w:iCs/>
              </w:rPr>
              <w:t>Cadastre Minier</w:t>
            </w:r>
          </w:p>
        </w:tc>
        <w:tc>
          <w:tcPr>
            <w:tcW w:w="2126" w:type="dxa"/>
          </w:tcPr>
          <w:p w14:paraId="0492C8F0" w14:textId="77777777" w:rsidR="00FC4630" w:rsidRDefault="00FC4630" w:rsidP="00FC4630">
            <w:pPr>
              <w:spacing w:line="276" w:lineRule="auto"/>
              <w:jc w:val="both"/>
              <w:rPr>
                <w:rFonts w:ascii="Tw Cen MT" w:hAnsi="Tw Cen MT"/>
                <w:bCs/>
                <w:iCs/>
              </w:rPr>
            </w:pPr>
            <w:r>
              <w:rPr>
                <w:rFonts w:ascii="Tw Cen MT" w:hAnsi="Tw Cen MT"/>
                <w:bCs/>
                <w:iCs/>
              </w:rPr>
              <w:t>Registre des licences non actualisé</w:t>
            </w:r>
          </w:p>
          <w:p w14:paraId="64D79F27" w14:textId="598E2B10" w:rsidR="00C4535A" w:rsidRPr="00FC4630" w:rsidRDefault="00C4535A" w:rsidP="00FC4630">
            <w:pPr>
              <w:spacing w:line="276" w:lineRule="auto"/>
              <w:jc w:val="both"/>
              <w:rPr>
                <w:rFonts w:ascii="Tw Cen MT" w:hAnsi="Tw Cen MT"/>
                <w:bCs/>
                <w:iCs/>
              </w:rPr>
            </w:pPr>
          </w:p>
        </w:tc>
      </w:tr>
      <w:tr w:rsidR="00FC4630" w:rsidRPr="00FC4630" w14:paraId="2CE49A73" w14:textId="77777777" w:rsidTr="00FC4630">
        <w:tc>
          <w:tcPr>
            <w:tcW w:w="3068" w:type="dxa"/>
          </w:tcPr>
          <w:p w14:paraId="63BA7E36" w14:textId="0FD419D7" w:rsidR="00FC4630" w:rsidRPr="00FC4630" w:rsidRDefault="00FC4630" w:rsidP="00FC4630">
            <w:pPr>
              <w:spacing w:line="276" w:lineRule="auto"/>
              <w:jc w:val="both"/>
              <w:rPr>
                <w:rFonts w:ascii="Tw Cen MT" w:hAnsi="Tw Cen MT"/>
                <w:bCs/>
                <w:iCs/>
              </w:rPr>
            </w:pPr>
            <w:r>
              <w:rPr>
                <w:rFonts w:ascii="Tw Cen MT" w:hAnsi="Tw Cen MT"/>
                <w:bCs/>
                <w:iCs/>
              </w:rPr>
              <w:t>Institut National des Prévoyances Sociales</w:t>
            </w:r>
          </w:p>
        </w:tc>
        <w:tc>
          <w:tcPr>
            <w:tcW w:w="4015" w:type="dxa"/>
          </w:tcPr>
          <w:p w14:paraId="0488C2A0" w14:textId="01DFFD83" w:rsidR="00FC4630" w:rsidRPr="00FC4630" w:rsidRDefault="00FC4630" w:rsidP="0048041A">
            <w:pPr>
              <w:pStyle w:val="Paragraphedeliste"/>
              <w:numPr>
                <w:ilvl w:val="0"/>
                <w:numId w:val="12"/>
              </w:numPr>
              <w:spacing w:line="276" w:lineRule="auto"/>
              <w:ind w:left="365"/>
              <w:jc w:val="both"/>
              <w:rPr>
                <w:rFonts w:ascii="Tw Cen MT" w:hAnsi="Tw Cen MT"/>
                <w:bCs/>
                <w:iCs/>
              </w:rPr>
            </w:pPr>
            <w:r>
              <w:rPr>
                <w:rFonts w:ascii="Tw Cen MT" w:hAnsi="Tw Cen MT"/>
                <w:bCs/>
                <w:iCs/>
              </w:rPr>
              <w:t>Déclaration unilatérale des recettes</w:t>
            </w:r>
          </w:p>
        </w:tc>
        <w:tc>
          <w:tcPr>
            <w:tcW w:w="2126" w:type="dxa"/>
          </w:tcPr>
          <w:p w14:paraId="0D9F21E9" w14:textId="297AA80C" w:rsidR="00FC4630" w:rsidRPr="00FC4630" w:rsidRDefault="00FC4630" w:rsidP="00FC4630">
            <w:pPr>
              <w:spacing w:line="276" w:lineRule="auto"/>
              <w:jc w:val="both"/>
              <w:rPr>
                <w:rFonts w:ascii="Tw Cen MT" w:hAnsi="Tw Cen MT"/>
                <w:bCs/>
                <w:iCs/>
              </w:rPr>
            </w:pPr>
            <w:r>
              <w:rPr>
                <w:rFonts w:ascii="Tw Cen MT" w:hAnsi="Tw Cen MT"/>
                <w:bCs/>
                <w:iCs/>
              </w:rPr>
              <w:t>Non fournies</w:t>
            </w:r>
          </w:p>
        </w:tc>
      </w:tr>
      <w:tr w:rsidR="00C4535A" w:rsidRPr="00FC4630" w14:paraId="29332317" w14:textId="77777777" w:rsidTr="00FC4630">
        <w:tc>
          <w:tcPr>
            <w:tcW w:w="3068" w:type="dxa"/>
          </w:tcPr>
          <w:p w14:paraId="30F921A5" w14:textId="326EEB4D" w:rsidR="00C4535A" w:rsidRDefault="00C4535A" w:rsidP="00C4535A">
            <w:pPr>
              <w:spacing w:line="276" w:lineRule="auto"/>
              <w:jc w:val="both"/>
              <w:rPr>
                <w:rFonts w:ascii="Tw Cen MT" w:hAnsi="Tw Cen MT"/>
                <w:bCs/>
                <w:iCs/>
              </w:rPr>
            </w:pPr>
            <w:r>
              <w:rPr>
                <w:rFonts w:ascii="Tw Cen MT" w:hAnsi="Tw Cen MT"/>
                <w:bCs/>
                <w:iCs/>
              </w:rPr>
              <w:t>Direction Générale des Douanes</w:t>
            </w:r>
          </w:p>
        </w:tc>
        <w:tc>
          <w:tcPr>
            <w:tcW w:w="4015" w:type="dxa"/>
          </w:tcPr>
          <w:p w14:paraId="6594B4B2" w14:textId="77777777" w:rsidR="00C4535A" w:rsidRDefault="00C4535A" w:rsidP="0048041A">
            <w:pPr>
              <w:pStyle w:val="Paragraphedeliste"/>
              <w:numPr>
                <w:ilvl w:val="0"/>
                <w:numId w:val="12"/>
              </w:numPr>
              <w:spacing w:line="276" w:lineRule="auto"/>
              <w:ind w:left="365"/>
              <w:jc w:val="both"/>
              <w:rPr>
                <w:rFonts w:ascii="Tw Cen MT" w:hAnsi="Tw Cen MT"/>
                <w:bCs/>
                <w:iCs/>
              </w:rPr>
            </w:pPr>
            <w:r>
              <w:rPr>
                <w:rFonts w:ascii="Tw Cen MT" w:hAnsi="Tw Cen MT"/>
                <w:bCs/>
                <w:iCs/>
              </w:rPr>
              <w:t>Déclaration unilatérale des recettes</w:t>
            </w:r>
          </w:p>
          <w:p w14:paraId="608C8A7C" w14:textId="1E3D1F25" w:rsidR="00C4535A" w:rsidRPr="00FC4630" w:rsidRDefault="00C4535A" w:rsidP="0048041A">
            <w:pPr>
              <w:pStyle w:val="Paragraphedeliste"/>
              <w:numPr>
                <w:ilvl w:val="0"/>
                <w:numId w:val="12"/>
              </w:numPr>
              <w:spacing w:line="276" w:lineRule="auto"/>
              <w:ind w:left="365"/>
              <w:jc w:val="both"/>
              <w:rPr>
                <w:rFonts w:ascii="Tw Cen MT" w:hAnsi="Tw Cen MT"/>
                <w:bCs/>
                <w:iCs/>
              </w:rPr>
            </w:pPr>
            <w:r>
              <w:rPr>
                <w:rFonts w:ascii="Tw Cen MT" w:hAnsi="Tw Cen MT"/>
                <w:bCs/>
                <w:iCs/>
              </w:rPr>
              <w:t>Déclaration des exportations</w:t>
            </w:r>
          </w:p>
        </w:tc>
        <w:tc>
          <w:tcPr>
            <w:tcW w:w="2126" w:type="dxa"/>
          </w:tcPr>
          <w:p w14:paraId="0AA9A532" w14:textId="0E881CEC" w:rsidR="00C4535A" w:rsidRPr="00FC4630" w:rsidRDefault="00434319" w:rsidP="00C4535A">
            <w:pPr>
              <w:spacing w:line="276" w:lineRule="auto"/>
              <w:jc w:val="both"/>
              <w:rPr>
                <w:rFonts w:ascii="Tw Cen MT" w:hAnsi="Tw Cen MT"/>
                <w:bCs/>
                <w:iCs/>
              </w:rPr>
            </w:pPr>
            <w:r>
              <w:rPr>
                <w:rFonts w:ascii="Tw Cen MT" w:hAnsi="Tw Cen MT"/>
                <w:bCs/>
                <w:iCs/>
              </w:rPr>
              <w:t>Non fournies</w:t>
            </w:r>
          </w:p>
        </w:tc>
      </w:tr>
      <w:tr w:rsidR="00434319" w:rsidRPr="00FC4630" w14:paraId="4CB9F57A" w14:textId="77777777" w:rsidTr="00FC4630">
        <w:tc>
          <w:tcPr>
            <w:tcW w:w="3068" w:type="dxa"/>
          </w:tcPr>
          <w:p w14:paraId="4CB26842" w14:textId="44C2AAB3" w:rsidR="00434319" w:rsidRDefault="00434319" w:rsidP="00434319">
            <w:pPr>
              <w:spacing w:line="276" w:lineRule="auto"/>
              <w:jc w:val="both"/>
              <w:rPr>
                <w:rFonts w:ascii="Tw Cen MT" w:hAnsi="Tw Cen MT"/>
                <w:bCs/>
                <w:iCs/>
              </w:rPr>
            </w:pPr>
            <w:r>
              <w:rPr>
                <w:rFonts w:ascii="Tw Cen MT" w:hAnsi="Tw Cen MT"/>
                <w:bCs/>
                <w:iCs/>
              </w:rPr>
              <w:t>Direction Nationale du Trésor et de la comptabilité Publique</w:t>
            </w:r>
          </w:p>
        </w:tc>
        <w:tc>
          <w:tcPr>
            <w:tcW w:w="4015" w:type="dxa"/>
          </w:tcPr>
          <w:p w14:paraId="35F34928" w14:textId="77777777" w:rsidR="00434319" w:rsidRDefault="00434319" w:rsidP="0048041A">
            <w:pPr>
              <w:pStyle w:val="Paragraphedeliste"/>
              <w:numPr>
                <w:ilvl w:val="0"/>
                <w:numId w:val="12"/>
              </w:numPr>
              <w:spacing w:line="276" w:lineRule="auto"/>
              <w:ind w:left="365"/>
              <w:jc w:val="both"/>
              <w:rPr>
                <w:rFonts w:ascii="Tw Cen MT" w:hAnsi="Tw Cen MT"/>
                <w:bCs/>
                <w:iCs/>
              </w:rPr>
            </w:pPr>
            <w:r>
              <w:rPr>
                <w:rFonts w:ascii="Tw Cen MT" w:hAnsi="Tw Cen MT"/>
                <w:bCs/>
                <w:iCs/>
              </w:rPr>
              <w:t>Déclaration unilatérale des transferts Infranationaux</w:t>
            </w:r>
          </w:p>
          <w:p w14:paraId="7356933A" w14:textId="613A0666" w:rsidR="00434319" w:rsidRDefault="00434319" w:rsidP="0048041A">
            <w:pPr>
              <w:pStyle w:val="Paragraphedeliste"/>
              <w:numPr>
                <w:ilvl w:val="0"/>
                <w:numId w:val="12"/>
              </w:numPr>
              <w:spacing w:line="276" w:lineRule="auto"/>
              <w:ind w:left="365"/>
              <w:jc w:val="both"/>
              <w:rPr>
                <w:rFonts w:ascii="Tw Cen MT" w:hAnsi="Tw Cen MT"/>
                <w:bCs/>
                <w:iCs/>
              </w:rPr>
            </w:pPr>
            <w:r>
              <w:rPr>
                <w:rFonts w:ascii="Tw Cen MT" w:hAnsi="Tw Cen MT"/>
                <w:bCs/>
                <w:iCs/>
              </w:rPr>
              <w:lastRenderedPageBreak/>
              <w:t>TOFE</w:t>
            </w:r>
          </w:p>
        </w:tc>
        <w:tc>
          <w:tcPr>
            <w:tcW w:w="2126" w:type="dxa"/>
          </w:tcPr>
          <w:p w14:paraId="5B5AFD72" w14:textId="424C4FD5" w:rsidR="00434319" w:rsidRDefault="00434319" w:rsidP="00434319">
            <w:pPr>
              <w:spacing w:line="276" w:lineRule="auto"/>
              <w:jc w:val="both"/>
              <w:rPr>
                <w:rFonts w:ascii="Tw Cen MT" w:hAnsi="Tw Cen MT"/>
                <w:bCs/>
                <w:iCs/>
              </w:rPr>
            </w:pPr>
            <w:r>
              <w:rPr>
                <w:rFonts w:ascii="Tw Cen MT" w:hAnsi="Tw Cen MT"/>
                <w:bCs/>
                <w:iCs/>
              </w:rPr>
              <w:lastRenderedPageBreak/>
              <w:t>Non fournies</w:t>
            </w:r>
          </w:p>
        </w:tc>
      </w:tr>
      <w:tr w:rsidR="00434319" w:rsidRPr="00FC4630" w14:paraId="4A3A1F9C" w14:textId="77777777" w:rsidTr="00FC4630">
        <w:tc>
          <w:tcPr>
            <w:tcW w:w="3068" w:type="dxa"/>
          </w:tcPr>
          <w:p w14:paraId="0679F954" w14:textId="07F55B3F" w:rsidR="00434319" w:rsidRDefault="00434319" w:rsidP="00434319">
            <w:pPr>
              <w:spacing w:line="276" w:lineRule="auto"/>
              <w:jc w:val="both"/>
              <w:rPr>
                <w:rFonts w:ascii="Tw Cen MT" w:hAnsi="Tw Cen MT"/>
                <w:bCs/>
                <w:iCs/>
              </w:rPr>
            </w:pPr>
            <w:r>
              <w:rPr>
                <w:rFonts w:ascii="Tw Cen MT" w:hAnsi="Tw Cen MT"/>
                <w:bCs/>
                <w:iCs/>
              </w:rPr>
              <w:lastRenderedPageBreak/>
              <w:t>Cellule de Planification et des Statistiques du secteur des Mines de l’Energie</w:t>
            </w:r>
          </w:p>
        </w:tc>
        <w:tc>
          <w:tcPr>
            <w:tcW w:w="4015" w:type="dxa"/>
          </w:tcPr>
          <w:p w14:paraId="105EB481" w14:textId="213E2D32" w:rsidR="00434319" w:rsidRDefault="00434319" w:rsidP="0048041A">
            <w:pPr>
              <w:pStyle w:val="Paragraphedeliste"/>
              <w:numPr>
                <w:ilvl w:val="0"/>
                <w:numId w:val="12"/>
              </w:numPr>
              <w:spacing w:line="276" w:lineRule="auto"/>
              <w:ind w:left="365"/>
              <w:jc w:val="both"/>
              <w:rPr>
                <w:rFonts w:ascii="Tw Cen MT" w:hAnsi="Tw Cen MT"/>
                <w:bCs/>
                <w:iCs/>
              </w:rPr>
            </w:pPr>
            <w:r>
              <w:rPr>
                <w:rFonts w:ascii="Tw Cen MT" w:hAnsi="Tw Cen MT"/>
                <w:bCs/>
                <w:iCs/>
              </w:rPr>
              <w:t>Annuaire statistique</w:t>
            </w:r>
            <w:r w:rsidR="00AF0E0F">
              <w:rPr>
                <w:rFonts w:ascii="Tw Cen MT" w:hAnsi="Tw Cen MT"/>
                <w:bCs/>
                <w:iCs/>
              </w:rPr>
              <w:t xml:space="preserve"> 2019</w:t>
            </w:r>
          </w:p>
        </w:tc>
        <w:tc>
          <w:tcPr>
            <w:tcW w:w="2126" w:type="dxa"/>
          </w:tcPr>
          <w:p w14:paraId="1C3F7A0E" w14:textId="491CC8A2" w:rsidR="00434319" w:rsidRDefault="00434319" w:rsidP="00434319">
            <w:pPr>
              <w:spacing w:line="276" w:lineRule="auto"/>
              <w:jc w:val="both"/>
              <w:rPr>
                <w:rFonts w:ascii="Tw Cen MT" w:hAnsi="Tw Cen MT"/>
                <w:bCs/>
                <w:iCs/>
              </w:rPr>
            </w:pPr>
            <w:r>
              <w:rPr>
                <w:rFonts w:ascii="Tw Cen MT" w:hAnsi="Tw Cen MT"/>
                <w:bCs/>
                <w:iCs/>
              </w:rPr>
              <w:t>Non fourni</w:t>
            </w:r>
          </w:p>
        </w:tc>
      </w:tr>
      <w:tr w:rsidR="00FC0BEF" w:rsidRPr="00FC4630" w14:paraId="13F0EA57" w14:textId="77777777" w:rsidTr="00FC4630">
        <w:tc>
          <w:tcPr>
            <w:tcW w:w="3068" w:type="dxa"/>
          </w:tcPr>
          <w:p w14:paraId="20F1D6AA" w14:textId="077D16A1" w:rsidR="00FC0BEF" w:rsidRDefault="00FC0BEF" w:rsidP="00FC0BEF">
            <w:pPr>
              <w:spacing w:line="276" w:lineRule="auto"/>
              <w:jc w:val="both"/>
              <w:rPr>
                <w:rFonts w:ascii="Tw Cen MT" w:hAnsi="Tw Cen MT"/>
                <w:bCs/>
                <w:iCs/>
              </w:rPr>
            </w:pPr>
            <w:r w:rsidRPr="00FC0BEF">
              <w:rPr>
                <w:rFonts w:ascii="Tw Cen MT" w:hAnsi="Tw Cen MT"/>
                <w:bCs/>
                <w:iCs/>
              </w:rPr>
              <w:t>Observatoire National de l’Emploi et de la Formation</w:t>
            </w:r>
          </w:p>
        </w:tc>
        <w:tc>
          <w:tcPr>
            <w:tcW w:w="4015" w:type="dxa"/>
          </w:tcPr>
          <w:p w14:paraId="78C4FEDD" w14:textId="4CDFEC0C" w:rsidR="00FC0BEF" w:rsidRDefault="00FC0BEF" w:rsidP="00FC0BEF">
            <w:pPr>
              <w:pStyle w:val="Paragraphedeliste"/>
              <w:numPr>
                <w:ilvl w:val="0"/>
                <w:numId w:val="12"/>
              </w:numPr>
              <w:spacing w:line="276" w:lineRule="auto"/>
              <w:ind w:left="365"/>
              <w:jc w:val="both"/>
              <w:rPr>
                <w:rFonts w:ascii="Tw Cen MT" w:hAnsi="Tw Cen MT"/>
                <w:bCs/>
                <w:iCs/>
              </w:rPr>
            </w:pPr>
            <w:r>
              <w:rPr>
                <w:rFonts w:ascii="Tw Cen MT" w:hAnsi="Tw Cen MT"/>
                <w:bCs/>
                <w:iCs/>
              </w:rPr>
              <w:t>Statistiques sur les emplois du secteur extractif</w:t>
            </w:r>
          </w:p>
        </w:tc>
        <w:tc>
          <w:tcPr>
            <w:tcW w:w="2126" w:type="dxa"/>
          </w:tcPr>
          <w:p w14:paraId="38724C96" w14:textId="7E13922F" w:rsidR="00FC0BEF" w:rsidRDefault="00FC0BEF" w:rsidP="00FC0BEF">
            <w:pPr>
              <w:spacing w:line="276" w:lineRule="auto"/>
              <w:jc w:val="both"/>
              <w:rPr>
                <w:rFonts w:ascii="Tw Cen MT" w:hAnsi="Tw Cen MT"/>
                <w:bCs/>
                <w:iCs/>
              </w:rPr>
            </w:pPr>
            <w:r>
              <w:rPr>
                <w:rFonts w:ascii="Tw Cen MT" w:hAnsi="Tw Cen MT"/>
                <w:bCs/>
                <w:iCs/>
              </w:rPr>
              <w:t>Non fournies</w:t>
            </w:r>
          </w:p>
        </w:tc>
      </w:tr>
    </w:tbl>
    <w:p w14:paraId="1EB6B9AE" w14:textId="7E3918E8" w:rsidR="00C4535A" w:rsidRPr="00C4535A" w:rsidRDefault="00C4535A" w:rsidP="0048041A">
      <w:pPr>
        <w:pStyle w:val="Paragraphedeliste"/>
        <w:numPr>
          <w:ilvl w:val="2"/>
          <w:numId w:val="11"/>
        </w:numPr>
        <w:spacing w:before="240" w:after="240"/>
        <w:ind w:left="1418"/>
        <w:contextualSpacing w:val="0"/>
        <w:outlineLvl w:val="1"/>
        <w:rPr>
          <w:rFonts w:ascii="Tw Cen MT" w:hAnsi="Tw Cen MT"/>
          <w:b/>
          <w:iCs/>
          <w:sz w:val="26"/>
          <w:szCs w:val="26"/>
        </w:rPr>
      </w:pPr>
      <w:bookmarkStart w:id="14" w:name="_Toc36744050"/>
      <w:bookmarkStart w:id="15" w:name="_Toc90999712"/>
      <w:r w:rsidRPr="00C4535A">
        <w:rPr>
          <w:rFonts w:ascii="Tw Cen MT" w:hAnsi="Tw Cen MT"/>
          <w:b/>
          <w:iCs/>
          <w:sz w:val="26"/>
          <w:szCs w:val="26"/>
        </w:rPr>
        <w:t xml:space="preserve">Analyse </w:t>
      </w:r>
      <w:bookmarkEnd w:id="14"/>
      <w:r>
        <w:rPr>
          <w:rFonts w:ascii="Tw Cen MT" w:hAnsi="Tw Cen MT"/>
          <w:b/>
          <w:iCs/>
          <w:sz w:val="26"/>
          <w:szCs w:val="26"/>
        </w:rPr>
        <w:t>des données brutes collectées</w:t>
      </w:r>
      <w:bookmarkEnd w:id="15"/>
      <w:r w:rsidRPr="00C4535A">
        <w:rPr>
          <w:rFonts w:ascii="Tw Cen MT" w:hAnsi="Tw Cen MT"/>
          <w:b/>
          <w:iCs/>
          <w:sz w:val="26"/>
          <w:szCs w:val="26"/>
        </w:rPr>
        <w:t xml:space="preserve"> </w:t>
      </w:r>
    </w:p>
    <w:p w14:paraId="48A13316" w14:textId="2CCDA529" w:rsidR="00C4535A" w:rsidRPr="00C4535A" w:rsidRDefault="00C4535A" w:rsidP="00C4535A">
      <w:pPr>
        <w:spacing w:after="240" w:line="276" w:lineRule="auto"/>
        <w:jc w:val="both"/>
        <w:rPr>
          <w:rFonts w:ascii="Tw Cen MT" w:hAnsi="Tw Cen MT"/>
          <w:bCs/>
          <w:iCs/>
          <w:sz w:val="26"/>
          <w:szCs w:val="26"/>
        </w:rPr>
      </w:pPr>
      <w:r w:rsidRPr="00C4535A">
        <w:rPr>
          <w:rFonts w:ascii="Tw Cen MT" w:hAnsi="Tw Cen MT"/>
          <w:bCs/>
          <w:iCs/>
          <w:sz w:val="26"/>
          <w:szCs w:val="26"/>
        </w:rPr>
        <w:t>Nou</w:t>
      </w:r>
      <w:r>
        <w:rPr>
          <w:rFonts w:ascii="Tw Cen MT" w:hAnsi="Tw Cen MT"/>
          <w:bCs/>
          <w:iCs/>
          <w:sz w:val="26"/>
          <w:szCs w:val="26"/>
        </w:rPr>
        <w:t>s</w:t>
      </w:r>
      <w:r w:rsidRPr="00C4535A">
        <w:rPr>
          <w:rFonts w:ascii="Tw Cen MT" w:hAnsi="Tw Cen MT"/>
          <w:bCs/>
          <w:iCs/>
          <w:sz w:val="26"/>
          <w:szCs w:val="26"/>
        </w:rPr>
        <w:t xml:space="preserve"> avons utilisé les critère</w:t>
      </w:r>
      <w:r>
        <w:rPr>
          <w:rFonts w:ascii="Tw Cen MT" w:hAnsi="Tw Cen MT"/>
          <w:bCs/>
          <w:iCs/>
          <w:sz w:val="26"/>
          <w:szCs w:val="26"/>
        </w:rPr>
        <w:t>s</w:t>
      </w:r>
      <w:r w:rsidRPr="00C4535A">
        <w:rPr>
          <w:rFonts w:ascii="Tw Cen MT" w:hAnsi="Tw Cen MT"/>
          <w:bCs/>
          <w:iCs/>
          <w:sz w:val="26"/>
          <w:szCs w:val="26"/>
        </w:rPr>
        <w:t xml:space="preserve"> ci-dessous pour l’analyse des données brutes pour la définition des seuils de matérialité et le périmètre </w:t>
      </w:r>
      <w:r w:rsidR="00434319">
        <w:rPr>
          <w:rFonts w:ascii="Tw Cen MT" w:hAnsi="Tw Cen MT"/>
          <w:bCs/>
          <w:iCs/>
          <w:sz w:val="26"/>
          <w:szCs w:val="26"/>
        </w:rPr>
        <w:t xml:space="preserve">de réconciliation </w:t>
      </w:r>
      <w:r w:rsidRPr="00C4535A">
        <w:rPr>
          <w:rFonts w:ascii="Tw Cen MT" w:hAnsi="Tw Cen MT"/>
          <w:bCs/>
          <w:iCs/>
          <w:sz w:val="26"/>
          <w:szCs w:val="26"/>
        </w:rPr>
        <w:t>:</w:t>
      </w:r>
    </w:p>
    <w:p w14:paraId="4E6B93D5" w14:textId="50658F3A" w:rsidR="00C4535A" w:rsidRDefault="00C4535A" w:rsidP="0048041A">
      <w:pPr>
        <w:pStyle w:val="Paragraphedeliste"/>
        <w:numPr>
          <w:ilvl w:val="0"/>
          <w:numId w:val="14"/>
        </w:numPr>
        <w:spacing w:line="276" w:lineRule="auto"/>
        <w:ind w:left="284" w:hanging="284"/>
        <w:contextualSpacing w:val="0"/>
        <w:jc w:val="both"/>
        <w:rPr>
          <w:rFonts w:ascii="Tw Cen MT" w:hAnsi="Tw Cen MT"/>
          <w:bCs/>
          <w:iCs/>
          <w:sz w:val="26"/>
          <w:szCs w:val="26"/>
        </w:rPr>
      </w:pPr>
      <w:r>
        <w:rPr>
          <w:rFonts w:ascii="Tw Cen MT" w:hAnsi="Tw Cen MT"/>
          <w:bCs/>
          <w:iCs/>
          <w:sz w:val="26"/>
          <w:szCs w:val="26"/>
        </w:rPr>
        <w:t>l’analyse de la significativité des flux déclarés par les régies financières ;</w:t>
      </w:r>
    </w:p>
    <w:p w14:paraId="7B044EAC" w14:textId="484CB8BE" w:rsidR="00C4535A" w:rsidRDefault="00C4535A" w:rsidP="0048041A">
      <w:pPr>
        <w:pStyle w:val="Paragraphedeliste"/>
        <w:numPr>
          <w:ilvl w:val="0"/>
          <w:numId w:val="14"/>
        </w:numPr>
        <w:spacing w:line="276" w:lineRule="auto"/>
        <w:ind w:left="284" w:hanging="284"/>
        <w:contextualSpacing w:val="0"/>
        <w:jc w:val="both"/>
        <w:rPr>
          <w:rFonts w:ascii="Tw Cen MT" w:hAnsi="Tw Cen MT"/>
          <w:bCs/>
          <w:iCs/>
          <w:sz w:val="26"/>
          <w:szCs w:val="26"/>
        </w:rPr>
      </w:pPr>
      <w:r>
        <w:rPr>
          <w:rFonts w:ascii="Tw Cen MT" w:hAnsi="Tw Cen MT"/>
          <w:bCs/>
          <w:iCs/>
          <w:sz w:val="26"/>
          <w:szCs w:val="26"/>
        </w:rPr>
        <w:t>la prise en compte des nouveaux impôts et taxes déclarés par les organismes collecteurs ;</w:t>
      </w:r>
    </w:p>
    <w:p w14:paraId="14DC0217" w14:textId="7113B46E" w:rsidR="00C4535A" w:rsidRPr="00C4535A" w:rsidRDefault="00C4535A" w:rsidP="0048041A">
      <w:pPr>
        <w:pStyle w:val="Paragraphedeliste"/>
        <w:numPr>
          <w:ilvl w:val="0"/>
          <w:numId w:val="14"/>
        </w:numPr>
        <w:spacing w:line="276" w:lineRule="auto"/>
        <w:ind w:left="284" w:hanging="284"/>
        <w:contextualSpacing w:val="0"/>
        <w:jc w:val="both"/>
        <w:rPr>
          <w:rFonts w:ascii="Tw Cen MT" w:hAnsi="Tw Cen MT"/>
          <w:bCs/>
          <w:iCs/>
          <w:sz w:val="26"/>
          <w:szCs w:val="26"/>
        </w:rPr>
      </w:pPr>
      <w:r w:rsidRPr="00C4535A">
        <w:rPr>
          <w:rFonts w:ascii="Tw Cen MT" w:hAnsi="Tw Cen MT"/>
          <w:bCs/>
          <w:iCs/>
          <w:sz w:val="26"/>
          <w:szCs w:val="26"/>
        </w:rPr>
        <w:t xml:space="preserve">l’analyse de la contribution de chaque société par rapport </w:t>
      </w:r>
      <w:r>
        <w:rPr>
          <w:rFonts w:ascii="Tw Cen MT" w:hAnsi="Tw Cen MT"/>
          <w:bCs/>
          <w:iCs/>
          <w:sz w:val="26"/>
          <w:szCs w:val="26"/>
        </w:rPr>
        <w:t xml:space="preserve">à seuil </w:t>
      </w:r>
      <w:r w:rsidR="00A255CD">
        <w:rPr>
          <w:rFonts w:ascii="Tw Cen MT" w:hAnsi="Tw Cen MT"/>
          <w:bCs/>
          <w:iCs/>
          <w:sz w:val="26"/>
          <w:szCs w:val="26"/>
        </w:rPr>
        <w:t xml:space="preserve">de matérialité </w:t>
      </w:r>
      <w:r>
        <w:rPr>
          <w:rFonts w:ascii="Tw Cen MT" w:hAnsi="Tw Cen MT"/>
          <w:bCs/>
          <w:iCs/>
          <w:sz w:val="26"/>
          <w:szCs w:val="26"/>
        </w:rPr>
        <w:t xml:space="preserve">jugé pertinent par le comité de pilotage ITIE </w:t>
      </w:r>
      <w:r w:rsidRPr="00C4535A">
        <w:rPr>
          <w:rFonts w:ascii="Tw Cen MT" w:hAnsi="Tw Cen MT"/>
          <w:bCs/>
          <w:iCs/>
          <w:sz w:val="26"/>
          <w:szCs w:val="26"/>
        </w:rPr>
        <w:t>;</w:t>
      </w:r>
    </w:p>
    <w:p w14:paraId="6CC2ED69" w14:textId="1BFDCD0F" w:rsidR="00C4535A" w:rsidRPr="00C4535A" w:rsidRDefault="00C4535A" w:rsidP="0048041A">
      <w:pPr>
        <w:pStyle w:val="Paragraphedeliste"/>
        <w:numPr>
          <w:ilvl w:val="0"/>
          <w:numId w:val="14"/>
        </w:numPr>
        <w:spacing w:line="276" w:lineRule="auto"/>
        <w:ind w:left="284" w:hanging="284"/>
        <w:contextualSpacing w:val="0"/>
        <w:jc w:val="both"/>
        <w:rPr>
          <w:rFonts w:ascii="Tw Cen MT" w:hAnsi="Tw Cen MT"/>
          <w:bCs/>
          <w:iCs/>
          <w:sz w:val="26"/>
          <w:szCs w:val="26"/>
        </w:rPr>
      </w:pPr>
      <w:r w:rsidRPr="00C4535A">
        <w:rPr>
          <w:rFonts w:ascii="Tw Cen MT" w:hAnsi="Tw Cen MT"/>
          <w:bCs/>
          <w:iCs/>
          <w:sz w:val="26"/>
          <w:szCs w:val="26"/>
        </w:rPr>
        <w:t>la proposition du seuil de matérialité pour les travaux de conciliation en fonction du taux de couverture jugé acceptable</w:t>
      </w:r>
      <w:r w:rsidR="00A255CD">
        <w:rPr>
          <w:rFonts w:ascii="Tw Cen MT" w:hAnsi="Tw Cen MT"/>
          <w:bCs/>
          <w:iCs/>
          <w:sz w:val="26"/>
          <w:szCs w:val="26"/>
        </w:rPr>
        <w:t xml:space="preserve"> </w:t>
      </w:r>
      <w:r w:rsidRPr="00C4535A">
        <w:rPr>
          <w:rFonts w:ascii="Tw Cen MT" w:hAnsi="Tw Cen MT"/>
          <w:bCs/>
          <w:iCs/>
          <w:sz w:val="26"/>
          <w:szCs w:val="26"/>
        </w:rPr>
        <w:t>;</w:t>
      </w:r>
    </w:p>
    <w:p w14:paraId="0D1ABB46" w14:textId="7EE84A95" w:rsidR="00C4535A" w:rsidRPr="00C4535A" w:rsidRDefault="00C4535A" w:rsidP="0048041A">
      <w:pPr>
        <w:pStyle w:val="Paragraphedeliste"/>
        <w:numPr>
          <w:ilvl w:val="0"/>
          <w:numId w:val="14"/>
        </w:numPr>
        <w:spacing w:line="276" w:lineRule="auto"/>
        <w:ind w:left="284" w:hanging="284"/>
        <w:contextualSpacing w:val="0"/>
        <w:jc w:val="both"/>
        <w:rPr>
          <w:rFonts w:ascii="Tw Cen MT" w:hAnsi="Tw Cen MT"/>
          <w:bCs/>
          <w:iCs/>
          <w:sz w:val="26"/>
          <w:szCs w:val="26"/>
        </w:rPr>
      </w:pPr>
      <w:r w:rsidRPr="00C4535A">
        <w:rPr>
          <w:rFonts w:ascii="Tw Cen MT" w:hAnsi="Tw Cen MT"/>
          <w:bCs/>
          <w:iCs/>
          <w:sz w:val="26"/>
          <w:szCs w:val="26"/>
        </w:rPr>
        <w:t>la proposition des flux à retenir en se basant sur les dispositions de l’Exigence ITIE 4.1;</w:t>
      </w:r>
    </w:p>
    <w:p w14:paraId="558F3615" w14:textId="4610E313" w:rsidR="00C4535A" w:rsidRPr="00C4535A" w:rsidRDefault="00C4535A" w:rsidP="0048041A">
      <w:pPr>
        <w:pStyle w:val="Paragraphedeliste"/>
        <w:numPr>
          <w:ilvl w:val="0"/>
          <w:numId w:val="14"/>
        </w:numPr>
        <w:spacing w:line="276" w:lineRule="auto"/>
        <w:ind w:left="284" w:hanging="284"/>
        <w:contextualSpacing w:val="0"/>
        <w:jc w:val="both"/>
        <w:rPr>
          <w:rFonts w:ascii="Tw Cen MT" w:hAnsi="Tw Cen MT"/>
          <w:bCs/>
          <w:iCs/>
          <w:sz w:val="26"/>
          <w:szCs w:val="26"/>
        </w:rPr>
      </w:pPr>
      <w:r w:rsidRPr="00C4535A">
        <w:rPr>
          <w:rFonts w:ascii="Tw Cen MT" w:hAnsi="Tw Cen MT"/>
          <w:bCs/>
          <w:iCs/>
          <w:sz w:val="26"/>
          <w:szCs w:val="26"/>
        </w:rPr>
        <w:t xml:space="preserve">la proposition des entreprises devant faire une déclaration en se basant sur les dispositions de l’Exigence ITIE 4.1 et sur le seuil de matérialité proposé dans la présente étude ; </w:t>
      </w:r>
    </w:p>
    <w:p w14:paraId="721AB2AB" w14:textId="4A8F5063" w:rsidR="00C4535A" w:rsidRDefault="00C4535A" w:rsidP="0048041A">
      <w:pPr>
        <w:pStyle w:val="Paragraphedeliste"/>
        <w:numPr>
          <w:ilvl w:val="0"/>
          <w:numId w:val="14"/>
        </w:numPr>
        <w:spacing w:line="276" w:lineRule="auto"/>
        <w:ind w:left="284" w:hanging="284"/>
        <w:contextualSpacing w:val="0"/>
        <w:jc w:val="both"/>
        <w:rPr>
          <w:rFonts w:ascii="Tw Cen MT" w:hAnsi="Tw Cen MT"/>
          <w:bCs/>
          <w:iCs/>
          <w:sz w:val="26"/>
          <w:szCs w:val="26"/>
        </w:rPr>
      </w:pPr>
      <w:r w:rsidRPr="00C4535A">
        <w:rPr>
          <w:rFonts w:ascii="Tw Cen MT" w:hAnsi="Tw Cen MT"/>
          <w:bCs/>
          <w:iCs/>
          <w:sz w:val="26"/>
          <w:szCs w:val="26"/>
        </w:rPr>
        <w:t>la détermination des entités de l’État devant faire une déclaration en se basant sur le périmètre proposé des entreprises extractives et des flux de paiement.</w:t>
      </w:r>
    </w:p>
    <w:p w14:paraId="6F30017D" w14:textId="1E73010E" w:rsidR="00320355" w:rsidRDefault="00320355" w:rsidP="0048041A">
      <w:pPr>
        <w:pStyle w:val="Paragraphedeliste"/>
        <w:numPr>
          <w:ilvl w:val="1"/>
          <w:numId w:val="9"/>
        </w:numPr>
        <w:spacing w:before="240" w:after="240"/>
        <w:ind w:left="1797"/>
        <w:contextualSpacing w:val="0"/>
        <w:outlineLvl w:val="1"/>
        <w:rPr>
          <w:rFonts w:ascii="Tw Cen MT" w:hAnsi="Tw Cen MT"/>
          <w:b/>
          <w:iCs/>
          <w:sz w:val="26"/>
          <w:szCs w:val="26"/>
        </w:rPr>
      </w:pPr>
      <w:bookmarkStart w:id="16" w:name="_Toc90999713"/>
      <w:r>
        <w:rPr>
          <w:rFonts w:ascii="Tw Cen MT" w:hAnsi="Tw Cen MT"/>
          <w:b/>
          <w:iCs/>
          <w:sz w:val="26"/>
          <w:szCs w:val="26"/>
        </w:rPr>
        <w:t>Description des informations contextuelles du secteur extractif</w:t>
      </w:r>
      <w:bookmarkEnd w:id="16"/>
    </w:p>
    <w:p w14:paraId="11B8876C" w14:textId="7E2C8E2D" w:rsidR="00320355" w:rsidRDefault="00320355" w:rsidP="00320355">
      <w:pPr>
        <w:spacing w:after="240" w:line="276" w:lineRule="auto"/>
        <w:jc w:val="both"/>
        <w:rPr>
          <w:rFonts w:ascii="Tw Cen MT" w:hAnsi="Tw Cen MT"/>
          <w:bCs/>
          <w:iCs/>
          <w:sz w:val="26"/>
          <w:szCs w:val="26"/>
        </w:rPr>
      </w:pPr>
      <w:r>
        <w:rPr>
          <w:rFonts w:ascii="Tw Cen MT" w:hAnsi="Tw Cen MT"/>
          <w:bCs/>
          <w:iCs/>
          <w:sz w:val="26"/>
          <w:szCs w:val="26"/>
        </w:rPr>
        <w:t xml:space="preserve">Conformément aux exigences 2 de la norme ITIE 2019, nous proposons de retenir pour les besoins de l’analyse contextuelles </w:t>
      </w:r>
      <w:r w:rsidRPr="00320355">
        <w:rPr>
          <w:rFonts w:ascii="Tw Cen MT" w:hAnsi="Tw Cen MT"/>
          <w:bCs/>
          <w:iCs/>
          <w:sz w:val="26"/>
          <w:szCs w:val="26"/>
        </w:rPr>
        <w:t>des informations sur la gestion du secteur</w:t>
      </w:r>
      <w:r>
        <w:rPr>
          <w:rFonts w:ascii="Tw Cen MT" w:hAnsi="Tw Cen MT"/>
          <w:bCs/>
          <w:iCs/>
          <w:sz w:val="26"/>
          <w:szCs w:val="26"/>
        </w:rPr>
        <w:t xml:space="preserve"> </w:t>
      </w:r>
      <w:r w:rsidRPr="00320355">
        <w:rPr>
          <w:rFonts w:ascii="Tw Cen MT" w:hAnsi="Tw Cen MT"/>
          <w:bCs/>
          <w:iCs/>
          <w:sz w:val="26"/>
          <w:szCs w:val="26"/>
        </w:rPr>
        <w:t xml:space="preserve">extractif </w:t>
      </w:r>
      <w:r>
        <w:rPr>
          <w:rFonts w:ascii="Tw Cen MT" w:hAnsi="Tw Cen MT"/>
          <w:bCs/>
          <w:iCs/>
          <w:sz w:val="26"/>
          <w:szCs w:val="26"/>
        </w:rPr>
        <w:t xml:space="preserve">qui permettent </w:t>
      </w:r>
      <w:r w:rsidRPr="00320355">
        <w:rPr>
          <w:rFonts w:ascii="Tw Cen MT" w:hAnsi="Tw Cen MT"/>
          <w:bCs/>
          <w:iCs/>
          <w:sz w:val="26"/>
          <w:szCs w:val="26"/>
        </w:rPr>
        <w:t>de comprendre les lois et procédures relatives à</w:t>
      </w:r>
      <w:r>
        <w:rPr>
          <w:rFonts w:ascii="Tw Cen MT" w:hAnsi="Tw Cen MT"/>
          <w:bCs/>
          <w:iCs/>
          <w:sz w:val="26"/>
          <w:szCs w:val="26"/>
        </w:rPr>
        <w:t xml:space="preserve"> </w:t>
      </w:r>
      <w:r w:rsidRPr="00320355">
        <w:rPr>
          <w:rFonts w:ascii="Tw Cen MT" w:hAnsi="Tw Cen MT"/>
          <w:bCs/>
          <w:iCs/>
          <w:sz w:val="26"/>
          <w:szCs w:val="26"/>
        </w:rPr>
        <w:t>l’octroi de droits d’exploration et de production, le cadre juridique, réglementaire et contractuel</w:t>
      </w:r>
      <w:r>
        <w:rPr>
          <w:rFonts w:ascii="Tw Cen MT" w:hAnsi="Tw Cen MT"/>
          <w:bCs/>
          <w:iCs/>
          <w:sz w:val="26"/>
          <w:szCs w:val="26"/>
        </w:rPr>
        <w:t xml:space="preserve"> </w:t>
      </w:r>
      <w:r w:rsidRPr="00320355">
        <w:rPr>
          <w:rFonts w:ascii="Tw Cen MT" w:hAnsi="Tw Cen MT"/>
          <w:bCs/>
          <w:iCs/>
          <w:sz w:val="26"/>
          <w:szCs w:val="26"/>
        </w:rPr>
        <w:t>s’appliquant au secteur extractif et les responsabilités institutionnelles de l’État dans la gestion</w:t>
      </w:r>
      <w:r>
        <w:rPr>
          <w:rFonts w:ascii="Tw Cen MT" w:hAnsi="Tw Cen MT"/>
          <w:bCs/>
          <w:iCs/>
          <w:sz w:val="26"/>
          <w:szCs w:val="26"/>
        </w:rPr>
        <w:t xml:space="preserve"> </w:t>
      </w:r>
      <w:r w:rsidRPr="00320355">
        <w:rPr>
          <w:rFonts w:ascii="Tw Cen MT" w:hAnsi="Tw Cen MT"/>
          <w:bCs/>
          <w:iCs/>
          <w:sz w:val="26"/>
          <w:szCs w:val="26"/>
        </w:rPr>
        <w:t>du secteur.</w:t>
      </w:r>
      <w:r>
        <w:rPr>
          <w:rFonts w:ascii="Tw Cen MT" w:hAnsi="Tw Cen MT"/>
          <w:bCs/>
          <w:iCs/>
          <w:sz w:val="26"/>
          <w:szCs w:val="26"/>
        </w:rPr>
        <w:t xml:space="preserve"> Il s’agit notamment des points ci-dessous :</w:t>
      </w:r>
    </w:p>
    <w:p w14:paraId="0E5750A8" w14:textId="11CFCF38" w:rsidR="00320355" w:rsidRDefault="00AF0E0F" w:rsidP="0048041A">
      <w:pPr>
        <w:pStyle w:val="Paragraphedeliste"/>
        <w:numPr>
          <w:ilvl w:val="0"/>
          <w:numId w:val="12"/>
        </w:numPr>
        <w:spacing w:after="240" w:line="276" w:lineRule="auto"/>
        <w:jc w:val="both"/>
        <w:rPr>
          <w:rFonts w:ascii="Tw Cen MT" w:hAnsi="Tw Cen MT"/>
          <w:bCs/>
          <w:iCs/>
          <w:sz w:val="26"/>
          <w:szCs w:val="26"/>
        </w:rPr>
      </w:pPr>
      <w:r>
        <w:rPr>
          <w:rFonts w:ascii="Tw Cen MT" w:hAnsi="Tw Cen MT"/>
          <w:bCs/>
          <w:iCs/>
          <w:sz w:val="26"/>
          <w:szCs w:val="26"/>
        </w:rPr>
        <w:t xml:space="preserve">le </w:t>
      </w:r>
      <w:r w:rsidR="00320355">
        <w:rPr>
          <w:rFonts w:ascii="Tw Cen MT" w:hAnsi="Tw Cen MT"/>
          <w:bCs/>
          <w:iCs/>
          <w:sz w:val="26"/>
          <w:szCs w:val="26"/>
        </w:rPr>
        <w:t>contexte général du secteur pétrolier et minier du Mali ;</w:t>
      </w:r>
    </w:p>
    <w:p w14:paraId="02E947B5" w14:textId="6C242351" w:rsidR="00320355" w:rsidRDefault="00AF0E0F" w:rsidP="0048041A">
      <w:pPr>
        <w:pStyle w:val="Paragraphedeliste"/>
        <w:numPr>
          <w:ilvl w:val="0"/>
          <w:numId w:val="12"/>
        </w:numPr>
        <w:spacing w:after="240" w:line="276" w:lineRule="auto"/>
        <w:jc w:val="both"/>
        <w:rPr>
          <w:rFonts w:ascii="Tw Cen MT" w:hAnsi="Tw Cen MT"/>
          <w:bCs/>
          <w:iCs/>
          <w:sz w:val="26"/>
          <w:szCs w:val="26"/>
        </w:rPr>
      </w:pPr>
      <w:r>
        <w:rPr>
          <w:rFonts w:ascii="Tw Cen MT" w:hAnsi="Tw Cen MT"/>
          <w:bCs/>
          <w:iCs/>
          <w:sz w:val="26"/>
          <w:szCs w:val="26"/>
        </w:rPr>
        <w:t xml:space="preserve">la </w:t>
      </w:r>
      <w:r w:rsidR="00320355">
        <w:rPr>
          <w:rFonts w:ascii="Tw Cen MT" w:hAnsi="Tw Cen MT"/>
          <w:bCs/>
          <w:iCs/>
          <w:sz w:val="26"/>
          <w:szCs w:val="26"/>
        </w:rPr>
        <w:t xml:space="preserve">description du cadre institutionnel de gestion du secteur ; </w:t>
      </w:r>
    </w:p>
    <w:p w14:paraId="6045C4FB" w14:textId="72B07DE8" w:rsidR="00320355" w:rsidRDefault="00AF0E0F" w:rsidP="0048041A">
      <w:pPr>
        <w:pStyle w:val="Paragraphedeliste"/>
        <w:numPr>
          <w:ilvl w:val="0"/>
          <w:numId w:val="12"/>
        </w:numPr>
        <w:spacing w:after="240" w:line="276" w:lineRule="auto"/>
        <w:jc w:val="both"/>
        <w:rPr>
          <w:rFonts w:ascii="Tw Cen MT" w:hAnsi="Tw Cen MT"/>
          <w:bCs/>
          <w:iCs/>
          <w:sz w:val="26"/>
          <w:szCs w:val="26"/>
        </w:rPr>
      </w:pPr>
      <w:r>
        <w:rPr>
          <w:rFonts w:ascii="Tw Cen MT" w:hAnsi="Tw Cen MT"/>
          <w:bCs/>
          <w:iCs/>
          <w:sz w:val="26"/>
          <w:szCs w:val="26"/>
        </w:rPr>
        <w:t xml:space="preserve">la </w:t>
      </w:r>
      <w:r w:rsidR="00320355">
        <w:rPr>
          <w:rFonts w:ascii="Tw Cen MT" w:hAnsi="Tw Cen MT"/>
          <w:bCs/>
          <w:iCs/>
          <w:sz w:val="26"/>
          <w:szCs w:val="26"/>
        </w:rPr>
        <w:t>politique de publication des titres miniers et pétroliers ainsi que les registres des licences tenus pour les administrations publiques ;</w:t>
      </w:r>
    </w:p>
    <w:p w14:paraId="649C5C2D" w14:textId="16B327E9" w:rsidR="00320355" w:rsidRDefault="00AF0E0F" w:rsidP="0048041A">
      <w:pPr>
        <w:pStyle w:val="Paragraphedeliste"/>
        <w:numPr>
          <w:ilvl w:val="0"/>
          <w:numId w:val="12"/>
        </w:numPr>
        <w:spacing w:after="240" w:line="276" w:lineRule="auto"/>
        <w:jc w:val="both"/>
        <w:rPr>
          <w:rFonts w:ascii="Tw Cen MT" w:hAnsi="Tw Cen MT"/>
          <w:bCs/>
          <w:iCs/>
          <w:sz w:val="26"/>
          <w:szCs w:val="26"/>
        </w:rPr>
      </w:pPr>
      <w:r>
        <w:rPr>
          <w:rFonts w:ascii="Tw Cen MT" w:hAnsi="Tw Cen MT"/>
          <w:bCs/>
          <w:iCs/>
          <w:sz w:val="26"/>
          <w:szCs w:val="26"/>
        </w:rPr>
        <w:t xml:space="preserve">le </w:t>
      </w:r>
      <w:r w:rsidR="00320355">
        <w:rPr>
          <w:rFonts w:ascii="Tw Cen MT" w:hAnsi="Tw Cen MT"/>
          <w:bCs/>
          <w:iCs/>
          <w:sz w:val="26"/>
          <w:szCs w:val="26"/>
        </w:rPr>
        <w:t>cadre juridique encadrant le secteur </w:t>
      </w:r>
      <w:r>
        <w:rPr>
          <w:rFonts w:ascii="Tw Cen MT" w:hAnsi="Tw Cen MT"/>
          <w:bCs/>
          <w:iCs/>
          <w:sz w:val="26"/>
          <w:szCs w:val="26"/>
        </w:rPr>
        <w:t xml:space="preserve">extractif </w:t>
      </w:r>
      <w:r w:rsidR="00320355">
        <w:rPr>
          <w:rFonts w:ascii="Tw Cen MT" w:hAnsi="Tw Cen MT"/>
          <w:bCs/>
          <w:iCs/>
          <w:sz w:val="26"/>
          <w:szCs w:val="26"/>
        </w:rPr>
        <w:t>;</w:t>
      </w:r>
    </w:p>
    <w:p w14:paraId="0826AA3B" w14:textId="14C89FEC" w:rsidR="00320355" w:rsidRDefault="00AF0E0F" w:rsidP="0048041A">
      <w:pPr>
        <w:pStyle w:val="Paragraphedeliste"/>
        <w:numPr>
          <w:ilvl w:val="0"/>
          <w:numId w:val="12"/>
        </w:numPr>
        <w:spacing w:after="240" w:line="276" w:lineRule="auto"/>
        <w:jc w:val="both"/>
        <w:rPr>
          <w:rFonts w:ascii="Tw Cen MT" w:hAnsi="Tw Cen MT"/>
          <w:bCs/>
          <w:iCs/>
          <w:sz w:val="26"/>
          <w:szCs w:val="26"/>
        </w:rPr>
      </w:pPr>
      <w:r>
        <w:rPr>
          <w:rFonts w:ascii="Tw Cen MT" w:hAnsi="Tw Cen MT"/>
          <w:bCs/>
          <w:iCs/>
          <w:sz w:val="26"/>
          <w:szCs w:val="26"/>
        </w:rPr>
        <w:t xml:space="preserve">la </w:t>
      </w:r>
      <w:r w:rsidR="00320355">
        <w:rPr>
          <w:rFonts w:ascii="Tw Cen MT" w:hAnsi="Tw Cen MT"/>
          <w:bCs/>
          <w:iCs/>
          <w:sz w:val="26"/>
          <w:szCs w:val="26"/>
        </w:rPr>
        <w:t>fiscalité applica</w:t>
      </w:r>
      <w:r>
        <w:rPr>
          <w:rFonts w:ascii="Tw Cen MT" w:hAnsi="Tw Cen MT"/>
          <w:bCs/>
          <w:iCs/>
          <w:sz w:val="26"/>
          <w:szCs w:val="26"/>
        </w:rPr>
        <w:t>ble</w:t>
      </w:r>
      <w:r w:rsidR="00320355">
        <w:rPr>
          <w:rFonts w:ascii="Tw Cen MT" w:hAnsi="Tw Cen MT"/>
          <w:bCs/>
          <w:iCs/>
          <w:sz w:val="26"/>
          <w:szCs w:val="26"/>
        </w:rPr>
        <w:t xml:space="preserve"> au secteur extractif notamment les évolutions récentes de la règlementation ;</w:t>
      </w:r>
    </w:p>
    <w:p w14:paraId="446BAB38" w14:textId="28B011EB" w:rsidR="00320355" w:rsidRDefault="00AF0E0F" w:rsidP="00B11D3B">
      <w:pPr>
        <w:pStyle w:val="Paragraphedeliste"/>
        <w:numPr>
          <w:ilvl w:val="0"/>
          <w:numId w:val="12"/>
        </w:numPr>
        <w:spacing w:after="240" w:line="276" w:lineRule="auto"/>
        <w:ind w:right="-142"/>
        <w:jc w:val="both"/>
        <w:rPr>
          <w:rFonts w:ascii="Tw Cen MT" w:hAnsi="Tw Cen MT"/>
          <w:bCs/>
          <w:iCs/>
          <w:sz w:val="26"/>
          <w:szCs w:val="26"/>
        </w:rPr>
      </w:pPr>
      <w:r>
        <w:rPr>
          <w:rFonts w:ascii="Tw Cen MT" w:hAnsi="Tw Cen MT"/>
          <w:bCs/>
          <w:iCs/>
          <w:sz w:val="26"/>
          <w:szCs w:val="26"/>
        </w:rPr>
        <w:t xml:space="preserve">la </w:t>
      </w:r>
      <w:r w:rsidR="00320355">
        <w:rPr>
          <w:rFonts w:ascii="Tw Cen MT" w:hAnsi="Tw Cen MT"/>
          <w:bCs/>
          <w:iCs/>
          <w:sz w:val="26"/>
          <w:szCs w:val="26"/>
        </w:rPr>
        <w:t>description des procédures d’octroi et de gestion des titres miniers et pétroliers ;</w:t>
      </w:r>
    </w:p>
    <w:p w14:paraId="0A489739" w14:textId="1C2456DF" w:rsidR="00320355" w:rsidRDefault="00AF0E0F" w:rsidP="0048041A">
      <w:pPr>
        <w:pStyle w:val="Paragraphedeliste"/>
        <w:numPr>
          <w:ilvl w:val="0"/>
          <w:numId w:val="12"/>
        </w:numPr>
        <w:spacing w:after="240" w:line="276" w:lineRule="auto"/>
        <w:jc w:val="both"/>
        <w:rPr>
          <w:rFonts w:ascii="Tw Cen MT" w:hAnsi="Tw Cen MT"/>
          <w:bCs/>
          <w:iCs/>
          <w:sz w:val="26"/>
          <w:szCs w:val="26"/>
        </w:rPr>
      </w:pPr>
      <w:r>
        <w:rPr>
          <w:rFonts w:ascii="Tw Cen MT" w:hAnsi="Tw Cen MT"/>
          <w:bCs/>
          <w:iCs/>
          <w:sz w:val="26"/>
          <w:szCs w:val="26"/>
        </w:rPr>
        <w:t xml:space="preserve">la </w:t>
      </w:r>
      <w:r w:rsidR="00320355">
        <w:rPr>
          <w:rFonts w:ascii="Tw Cen MT" w:hAnsi="Tw Cen MT"/>
          <w:bCs/>
          <w:iCs/>
          <w:sz w:val="26"/>
          <w:szCs w:val="26"/>
        </w:rPr>
        <w:t>participation de l’État dans les entités extractives ;</w:t>
      </w:r>
    </w:p>
    <w:p w14:paraId="2F7D2040" w14:textId="4E627D05" w:rsidR="00320355" w:rsidRDefault="00320355" w:rsidP="0048041A">
      <w:pPr>
        <w:pStyle w:val="Paragraphedeliste"/>
        <w:numPr>
          <w:ilvl w:val="0"/>
          <w:numId w:val="12"/>
        </w:numPr>
        <w:spacing w:after="240" w:line="276" w:lineRule="auto"/>
        <w:jc w:val="both"/>
        <w:rPr>
          <w:rFonts w:ascii="Tw Cen MT" w:hAnsi="Tw Cen MT"/>
          <w:bCs/>
          <w:iCs/>
          <w:sz w:val="26"/>
          <w:szCs w:val="26"/>
        </w:rPr>
      </w:pPr>
      <w:r>
        <w:rPr>
          <w:rFonts w:ascii="Tw Cen MT" w:hAnsi="Tw Cen MT"/>
          <w:bCs/>
          <w:iCs/>
          <w:sz w:val="26"/>
          <w:szCs w:val="26"/>
        </w:rPr>
        <w:lastRenderedPageBreak/>
        <w:t xml:space="preserve">la </w:t>
      </w:r>
      <w:r w:rsidR="00A255CD">
        <w:rPr>
          <w:rFonts w:ascii="Tw Cen MT" w:hAnsi="Tw Cen MT"/>
          <w:bCs/>
          <w:iCs/>
          <w:sz w:val="26"/>
          <w:szCs w:val="26"/>
        </w:rPr>
        <w:t xml:space="preserve">divulgation de la </w:t>
      </w:r>
      <w:r>
        <w:rPr>
          <w:rFonts w:ascii="Tw Cen MT" w:hAnsi="Tw Cen MT"/>
          <w:bCs/>
          <w:iCs/>
          <w:sz w:val="26"/>
          <w:szCs w:val="26"/>
        </w:rPr>
        <w:t>propriété effective des entités extractives.</w:t>
      </w:r>
    </w:p>
    <w:p w14:paraId="5535E211" w14:textId="38E588BC" w:rsidR="00320355" w:rsidRPr="00320355" w:rsidRDefault="00320355" w:rsidP="00320355">
      <w:pPr>
        <w:spacing w:after="240" w:line="276" w:lineRule="auto"/>
        <w:jc w:val="both"/>
        <w:rPr>
          <w:rFonts w:ascii="Tw Cen MT" w:hAnsi="Tw Cen MT"/>
          <w:bCs/>
          <w:iCs/>
          <w:sz w:val="26"/>
          <w:szCs w:val="26"/>
        </w:rPr>
      </w:pPr>
      <w:r>
        <w:rPr>
          <w:rFonts w:ascii="Tw Cen MT" w:hAnsi="Tw Cen MT"/>
          <w:bCs/>
          <w:iCs/>
          <w:sz w:val="26"/>
          <w:szCs w:val="26"/>
        </w:rPr>
        <w:t xml:space="preserve">Nous </w:t>
      </w:r>
      <w:r w:rsidR="00CD71C5">
        <w:rPr>
          <w:rFonts w:ascii="Tw Cen MT" w:hAnsi="Tw Cen MT"/>
          <w:bCs/>
          <w:iCs/>
          <w:sz w:val="26"/>
          <w:szCs w:val="26"/>
        </w:rPr>
        <w:t>allons</w:t>
      </w:r>
      <w:r>
        <w:rPr>
          <w:rFonts w:ascii="Tw Cen MT" w:hAnsi="Tw Cen MT"/>
          <w:bCs/>
          <w:iCs/>
          <w:sz w:val="26"/>
          <w:szCs w:val="26"/>
        </w:rPr>
        <w:t xml:space="preserve"> mettre un accent </w:t>
      </w:r>
      <w:r w:rsidR="00CD71C5">
        <w:rPr>
          <w:rFonts w:ascii="Tw Cen MT" w:hAnsi="Tw Cen MT"/>
          <w:bCs/>
          <w:iCs/>
          <w:sz w:val="26"/>
          <w:szCs w:val="26"/>
        </w:rPr>
        <w:t xml:space="preserve">particulier </w:t>
      </w:r>
      <w:r>
        <w:rPr>
          <w:rFonts w:ascii="Tw Cen MT" w:hAnsi="Tw Cen MT"/>
          <w:bCs/>
          <w:iCs/>
          <w:sz w:val="26"/>
          <w:szCs w:val="26"/>
        </w:rPr>
        <w:t>sur les évolutions du secteur au cours de l’exercice 2019 objet la présente étude.</w:t>
      </w:r>
    </w:p>
    <w:p w14:paraId="4DD705AC" w14:textId="0FE73FA3" w:rsidR="00C4535A" w:rsidRDefault="00C4535A" w:rsidP="0048041A">
      <w:pPr>
        <w:pStyle w:val="Paragraphedeliste"/>
        <w:numPr>
          <w:ilvl w:val="1"/>
          <w:numId w:val="9"/>
        </w:numPr>
        <w:spacing w:before="240" w:after="240"/>
        <w:ind w:left="1797"/>
        <w:contextualSpacing w:val="0"/>
        <w:outlineLvl w:val="1"/>
        <w:rPr>
          <w:rFonts w:ascii="Tw Cen MT" w:hAnsi="Tw Cen MT"/>
          <w:b/>
          <w:iCs/>
          <w:sz w:val="26"/>
          <w:szCs w:val="26"/>
        </w:rPr>
      </w:pPr>
      <w:bookmarkStart w:id="17" w:name="_Toc90999714"/>
      <w:r>
        <w:rPr>
          <w:rFonts w:ascii="Tw Cen MT" w:hAnsi="Tw Cen MT"/>
          <w:b/>
          <w:iCs/>
          <w:sz w:val="26"/>
          <w:szCs w:val="26"/>
        </w:rPr>
        <w:t>Méthodologie de définition du périmètre de conciliation</w:t>
      </w:r>
      <w:bookmarkEnd w:id="17"/>
    </w:p>
    <w:p w14:paraId="1268CD26" w14:textId="78CFC425" w:rsidR="00C4535A" w:rsidRDefault="00C4535A" w:rsidP="00C4535A">
      <w:pPr>
        <w:spacing w:after="240" w:line="276" w:lineRule="auto"/>
        <w:jc w:val="both"/>
        <w:rPr>
          <w:rFonts w:ascii="Tw Cen MT" w:hAnsi="Tw Cen MT"/>
          <w:bCs/>
          <w:iCs/>
          <w:sz w:val="26"/>
          <w:szCs w:val="26"/>
        </w:rPr>
      </w:pPr>
      <w:r w:rsidRPr="00C4535A">
        <w:rPr>
          <w:rFonts w:ascii="Tw Cen MT" w:hAnsi="Tw Cen MT"/>
          <w:bCs/>
          <w:iCs/>
          <w:sz w:val="26"/>
          <w:szCs w:val="26"/>
        </w:rPr>
        <w:t xml:space="preserve">Nous </w:t>
      </w:r>
      <w:r>
        <w:rPr>
          <w:rFonts w:ascii="Tw Cen MT" w:hAnsi="Tw Cen MT"/>
          <w:bCs/>
          <w:iCs/>
          <w:sz w:val="26"/>
          <w:szCs w:val="26"/>
        </w:rPr>
        <w:t xml:space="preserve">proposons </w:t>
      </w:r>
      <w:r w:rsidR="00AF0E0F">
        <w:rPr>
          <w:rFonts w:ascii="Tw Cen MT" w:hAnsi="Tw Cen MT"/>
          <w:bCs/>
          <w:iCs/>
          <w:sz w:val="26"/>
          <w:szCs w:val="26"/>
        </w:rPr>
        <w:t xml:space="preserve">au Comité de </w:t>
      </w:r>
      <w:r w:rsidR="00A255CD">
        <w:rPr>
          <w:rFonts w:ascii="Tw Cen MT" w:hAnsi="Tw Cen MT"/>
          <w:bCs/>
          <w:iCs/>
          <w:sz w:val="26"/>
          <w:szCs w:val="26"/>
        </w:rPr>
        <w:t>P</w:t>
      </w:r>
      <w:r w:rsidR="00AF0E0F">
        <w:rPr>
          <w:rFonts w:ascii="Tw Cen MT" w:hAnsi="Tw Cen MT"/>
          <w:bCs/>
          <w:iCs/>
          <w:sz w:val="26"/>
          <w:szCs w:val="26"/>
        </w:rPr>
        <w:t>ilotage l’application d</w:t>
      </w:r>
      <w:r>
        <w:rPr>
          <w:rFonts w:ascii="Tw Cen MT" w:hAnsi="Tw Cen MT"/>
          <w:bCs/>
          <w:iCs/>
          <w:sz w:val="26"/>
          <w:szCs w:val="26"/>
        </w:rPr>
        <w:t xml:space="preserve">es critères ci-dessous pour la définition du périmètre de conciliation et </w:t>
      </w:r>
      <w:r w:rsidR="00AF0E0F">
        <w:rPr>
          <w:rFonts w:ascii="Tw Cen MT" w:hAnsi="Tw Cen MT"/>
          <w:bCs/>
          <w:iCs/>
          <w:sz w:val="26"/>
          <w:szCs w:val="26"/>
        </w:rPr>
        <w:t xml:space="preserve">cellui </w:t>
      </w:r>
      <w:r>
        <w:rPr>
          <w:rFonts w:ascii="Tw Cen MT" w:hAnsi="Tw Cen MT"/>
          <w:bCs/>
          <w:iCs/>
          <w:sz w:val="26"/>
          <w:szCs w:val="26"/>
        </w:rPr>
        <w:t>des déclarations unilatérales.</w:t>
      </w:r>
    </w:p>
    <w:p w14:paraId="78A4F164" w14:textId="67C06B3E" w:rsidR="00C4535A" w:rsidRDefault="00C4535A" w:rsidP="0048041A">
      <w:pPr>
        <w:pStyle w:val="Paragraphedeliste"/>
        <w:numPr>
          <w:ilvl w:val="2"/>
          <w:numId w:val="9"/>
        </w:numPr>
        <w:spacing w:before="240" w:after="240"/>
        <w:contextualSpacing w:val="0"/>
        <w:outlineLvl w:val="1"/>
        <w:rPr>
          <w:rFonts w:ascii="Tw Cen MT" w:hAnsi="Tw Cen MT"/>
          <w:b/>
          <w:iCs/>
          <w:sz w:val="26"/>
          <w:szCs w:val="26"/>
        </w:rPr>
      </w:pPr>
      <w:bookmarkStart w:id="18" w:name="_Toc90999715"/>
      <w:r>
        <w:rPr>
          <w:rFonts w:ascii="Tw Cen MT" w:hAnsi="Tw Cen MT"/>
          <w:b/>
          <w:iCs/>
          <w:sz w:val="26"/>
          <w:szCs w:val="26"/>
        </w:rPr>
        <w:t>Taux de couverture</w:t>
      </w:r>
      <w:bookmarkEnd w:id="18"/>
    </w:p>
    <w:p w14:paraId="5BDF20F5" w14:textId="2DDFDD1A" w:rsidR="00C4535A" w:rsidRDefault="00C4535A" w:rsidP="00C4535A">
      <w:pPr>
        <w:spacing w:after="240" w:line="276" w:lineRule="auto"/>
        <w:jc w:val="both"/>
        <w:rPr>
          <w:rFonts w:ascii="Tw Cen MT" w:hAnsi="Tw Cen MT"/>
          <w:bCs/>
          <w:iCs/>
          <w:sz w:val="26"/>
          <w:szCs w:val="26"/>
        </w:rPr>
      </w:pPr>
      <w:r>
        <w:rPr>
          <w:rFonts w:ascii="Tw Cen MT" w:hAnsi="Tw Cen MT"/>
          <w:bCs/>
          <w:iCs/>
          <w:sz w:val="26"/>
          <w:szCs w:val="26"/>
        </w:rPr>
        <w:t xml:space="preserve">Pour la définition du périmètre de conciliation, </w:t>
      </w:r>
      <w:r w:rsidR="00AF0E0F">
        <w:rPr>
          <w:rFonts w:ascii="Tw Cen MT" w:hAnsi="Tw Cen MT"/>
          <w:bCs/>
          <w:iCs/>
          <w:sz w:val="26"/>
          <w:szCs w:val="26"/>
        </w:rPr>
        <w:t xml:space="preserve">nous proposons de retenir </w:t>
      </w:r>
      <w:r>
        <w:rPr>
          <w:rFonts w:ascii="Tw Cen MT" w:hAnsi="Tw Cen MT"/>
          <w:bCs/>
          <w:iCs/>
          <w:sz w:val="26"/>
          <w:szCs w:val="26"/>
        </w:rPr>
        <w:t xml:space="preserve">dans le périmètre de conciliation, les entités extractives représentant au moins 99% des revenus déclarés par les </w:t>
      </w:r>
      <w:r w:rsidR="00AF0E0F">
        <w:rPr>
          <w:rFonts w:ascii="Tw Cen MT" w:hAnsi="Tw Cen MT"/>
          <w:bCs/>
          <w:iCs/>
          <w:sz w:val="26"/>
          <w:szCs w:val="26"/>
        </w:rPr>
        <w:t xml:space="preserve">organismes collecteurs </w:t>
      </w:r>
      <w:r>
        <w:rPr>
          <w:rFonts w:ascii="Tw Cen MT" w:hAnsi="Tw Cen MT"/>
          <w:bCs/>
          <w:iCs/>
          <w:sz w:val="26"/>
          <w:szCs w:val="26"/>
        </w:rPr>
        <w:t>de l’État.</w:t>
      </w:r>
    </w:p>
    <w:p w14:paraId="1386F0E7" w14:textId="4047B684" w:rsidR="00C4535A" w:rsidRDefault="00C4535A" w:rsidP="0048041A">
      <w:pPr>
        <w:pStyle w:val="Paragraphedeliste"/>
        <w:numPr>
          <w:ilvl w:val="2"/>
          <w:numId w:val="9"/>
        </w:numPr>
        <w:spacing w:before="240" w:after="240"/>
        <w:contextualSpacing w:val="0"/>
        <w:outlineLvl w:val="1"/>
        <w:rPr>
          <w:rFonts w:ascii="Tw Cen MT" w:hAnsi="Tw Cen MT"/>
          <w:b/>
          <w:iCs/>
          <w:sz w:val="26"/>
          <w:szCs w:val="26"/>
        </w:rPr>
      </w:pPr>
      <w:bookmarkStart w:id="19" w:name="_Toc90999716"/>
      <w:r>
        <w:rPr>
          <w:rFonts w:ascii="Tw Cen MT" w:hAnsi="Tw Cen MT"/>
          <w:b/>
          <w:iCs/>
          <w:sz w:val="26"/>
          <w:szCs w:val="26"/>
        </w:rPr>
        <w:t>Flux de paiement</w:t>
      </w:r>
      <w:bookmarkEnd w:id="19"/>
    </w:p>
    <w:p w14:paraId="1A31B5AE" w14:textId="12EC3A62" w:rsidR="00C4535A" w:rsidRPr="00320355" w:rsidRDefault="00C4535A" w:rsidP="00320355">
      <w:pPr>
        <w:spacing w:after="240"/>
        <w:rPr>
          <w:rFonts w:ascii="Tw Cen MT" w:hAnsi="Tw Cen MT"/>
          <w:sz w:val="26"/>
          <w:szCs w:val="26"/>
        </w:rPr>
      </w:pPr>
      <w:r w:rsidRPr="00320355">
        <w:rPr>
          <w:rFonts w:ascii="Tw Cen MT" w:hAnsi="Tw Cen MT"/>
          <w:sz w:val="26"/>
          <w:szCs w:val="26"/>
        </w:rPr>
        <w:t xml:space="preserve">Nous proposons les critères </w:t>
      </w:r>
      <w:r w:rsidR="004E4C70">
        <w:rPr>
          <w:rFonts w:ascii="Tw Cen MT" w:hAnsi="Tw Cen MT"/>
          <w:sz w:val="26"/>
          <w:szCs w:val="26"/>
        </w:rPr>
        <w:t xml:space="preserve">de sélection </w:t>
      </w:r>
      <w:r w:rsidRPr="00320355">
        <w:rPr>
          <w:rFonts w:ascii="Tw Cen MT" w:hAnsi="Tw Cen MT"/>
          <w:sz w:val="26"/>
          <w:szCs w:val="26"/>
        </w:rPr>
        <w:t>ci-dessous :</w:t>
      </w:r>
    </w:p>
    <w:p w14:paraId="43592473" w14:textId="0031F76E" w:rsidR="00C4535A" w:rsidRPr="00C4535A" w:rsidRDefault="00C4535A" w:rsidP="0048041A">
      <w:pPr>
        <w:pStyle w:val="Paragraphedeliste"/>
        <w:numPr>
          <w:ilvl w:val="0"/>
          <w:numId w:val="12"/>
        </w:numPr>
        <w:spacing w:after="240" w:line="276" w:lineRule="auto"/>
        <w:jc w:val="both"/>
        <w:rPr>
          <w:rFonts w:ascii="Tw Cen MT" w:hAnsi="Tw Cen MT"/>
          <w:bCs/>
          <w:iCs/>
          <w:sz w:val="26"/>
          <w:szCs w:val="26"/>
        </w:rPr>
      </w:pPr>
      <w:r>
        <w:rPr>
          <w:rFonts w:ascii="Tw Cen MT" w:hAnsi="Tw Cen MT"/>
          <w:bCs/>
          <w:iCs/>
          <w:sz w:val="26"/>
          <w:szCs w:val="26"/>
        </w:rPr>
        <w:t>r</w:t>
      </w:r>
      <w:r w:rsidRPr="00C4535A">
        <w:rPr>
          <w:rFonts w:ascii="Tw Cen MT" w:hAnsi="Tw Cen MT"/>
          <w:bCs/>
          <w:iCs/>
          <w:sz w:val="26"/>
          <w:szCs w:val="26"/>
        </w:rPr>
        <w:t xml:space="preserve">etenir les flux de paiement en appliquant le principe de continuité </w:t>
      </w:r>
      <w:r>
        <w:rPr>
          <w:rFonts w:ascii="Tw Cen MT" w:hAnsi="Tw Cen MT"/>
          <w:bCs/>
          <w:iCs/>
          <w:sz w:val="26"/>
          <w:szCs w:val="26"/>
        </w:rPr>
        <w:t>en lien avec le r</w:t>
      </w:r>
      <w:r w:rsidRPr="00C4535A">
        <w:rPr>
          <w:rFonts w:ascii="Tw Cen MT" w:hAnsi="Tw Cen MT"/>
          <w:bCs/>
          <w:iCs/>
          <w:sz w:val="26"/>
          <w:szCs w:val="26"/>
        </w:rPr>
        <w:t>apport ITIE 201</w:t>
      </w:r>
      <w:r>
        <w:rPr>
          <w:rFonts w:ascii="Tw Cen MT" w:hAnsi="Tw Cen MT"/>
          <w:bCs/>
          <w:iCs/>
          <w:sz w:val="26"/>
          <w:szCs w:val="26"/>
        </w:rPr>
        <w:t>8</w:t>
      </w:r>
      <w:r w:rsidR="00A255CD">
        <w:rPr>
          <w:rFonts w:ascii="Tw Cen MT" w:hAnsi="Tw Cen MT"/>
          <w:bCs/>
          <w:iCs/>
          <w:sz w:val="26"/>
          <w:szCs w:val="26"/>
        </w:rPr>
        <w:t xml:space="preserve"> </w:t>
      </w:r>
      <w:r>
        <w:rPr>
          <w:rFonts w:ascii="Tw Cen MT" w:hAnsi="Tw Cen MT"/>
          <w:bCs/>
          <w:iCs/>
          <w:sz w:val="26"/>
          <w:szCs w:val="26"/>
        </w:rPr>
        <w:t>;</w:t>
      </w:r>
    </w:p>
    <w:p w14:paraId="3F5FD205" w14:textId="6255B173" w:rsidR="00C4535A" w:rsidRPr="00C4535A" w:rsidRDefault="00C4535A" w:rsidP="0048041A">
      <w:pPr>
        <w:pStyle w:val="Paragraphedeliste"/>
        <w:numPr>
          <w:ilvl w:val="0"/>
          <w:numId w:val="12"/>
        </w:numPr>
        <w:spacing w:after="240" w:line="276" w:lineRule="auto"/>
        <w:jc w:val="both"/>
        <w:rPr>
          <w:rFonts w:ascii="Tw Cen MT" w:hAnsi="Tw Cen MT"/>
          <w:bCs/>
          <w:iCs/>
          <w:sz w:val="26"/>
          <w:szCs w:val="26"/>
        </w:rPr>
      </w:pPr>
      <w:r>
        <w:rPr>
          <w:rFonts w:ascii="Tw Cen MT" w:hAnsi="Tw Cen MT"/>
          <w:bCs/>
          <w:iCs/>
          <w:sz w:val="26"/>
          <w:szCs w:val="26"/>
        </w:rPr>
        <w:t>retenir l’ensemble des flux déclarés par les organismes collecteurs sans tenir compte d’un seuil de matérialité;</w:t>
      </w:r>
    </w:p>
    <w:p w14:paraId="439BF298" w14:textId="1CCEE1CC" w:rsidR="00C4535A" w:rsidRDefault="00A255CD" w:rsidP="0048041A">
      <w:pPr>
        <w:pStyle w:val="Paragraphedeliste"/>
        <w:numPr>
          <w:ilvl w:val="0"/>
          <w:numId w:val="12"/>
        </w:numPr>
        <w:spacing w:line="276" w:lineRule="auto"/>
        <w:ind w:left="714" w:hanging="357"/>
        <w:contextualSpacing w:val="0"/>
        <w:jc w:val="both"/>
        <w:rPr>
          <w:rFonts w:ascii="Tw Cen MT" w:hAnsi="Tw Cen MT"/>
          <w:bCs/>
          <w:iCs/>
          <w:sz w:val="26"/>
          <w:szCs w:val="26"/>
        </w:rPr>
      </w:pPr>
      <w:r>
        <w:rPr>
          <w:rFonts w:ascii="Tw Cen MT" w:hAnsi="Tw Cen MT"/>
          <w:bCs/>
          <w:iCs/>
          <w:sz w:val="26"/>
          <w:szCs w:val="26"/>
        </w:rPr>
        <w:t>r</w:t>
      </w:r>
      <w:r w:rsidR="00C4535A">
        <w:rPr>
          <w:rFonts w:ascii="Tw Cen MT" w:hAnsi="Tw Cen MT"/>
          <w:bCs/>
          <w:iCs/>
          <w:sz w:val="26"/>
          <w:szCs w:val="26"/>
        </w:rPr>
        <w:t xml:space="preserve">etenir les </w:t>
      </w:r>
      <w:r w:rsidR="00C4535A" w:rsidRPr="00C4535A">
        <w:rPr>
          <w:rFonts w:ascii="Tw Cen MT" w:hAnsi="Tw Cen MT"/>
          <w:bCs/>
          <w:iCs/>
          <w:sz w:val="26"/>
          <w:szCs w:val="26"/>
        </w:rPr>
        <w:t xml:space="preserve">transferts infranationaux et les paiements </w:t>
      </w:r>
      <w:r w:rsidR="00C4535A">
        <w:rPr>
          <w:rFonts w:ascii="Tw Cen MT" w:hAnsi="Tw Cen MT"/>
          <w:bCs/>
          <w:iCs/>
          <w:sz w:val="26"/>
          <w:szCs w:val="26"/>
        </w:rPr>
        <w:t xml:space="preserve">environnementaux </w:t>
      </w:r>
      <w:r w:rsidR="00434319">
        <w:rPr>
          <w:rFonts w:ascii="Tw Cen MT" w:hAnsi="Tw Cen MT"/>
          <w:bCs/>
          <w:iCs/>
          <w:sz w:val="26"/>
          <w:szCs w:val="26"/>
        </w:rPr>
        <w:t xml:space="preserve">et </w:t>
      </w:r>
      <w:r w:rsidR="00C4535A" w:rsidRPr="00C4535A">
        <w:rPr>
          <w:rFonts w:ascii="Tw Cen MT" w:hAnsi="Tw Cen MT"/>
          <w:bCs/>
          <w:iCs/>
          <w:sz w:val="26"/>
          <w:szCs w:val="26"/>
        </w:rPr>
        <w:t>sociaux sans application du seuil de matérialité (seuil zéro)</w:t>
      </w:r>
      <w:r w:rsidR="00434319">
        <w:rPr>
          <w:rFonts w:ascii="Tw Cen MT" w:hAnsi="Tw Cen MT"/>
          <w:bCs/>
          <w:iCs/>
          <w:sz w:val="26"/>
          <w:szCs w:val="26"/>
        </w:rPr>
        <w:t> ;</w:t>
      </w:r>
    </w:p>
    <w:p w14:paraId="0CF6BD49" w14:textId="1EEC567F" w:rsidR="00434319" w:rsidRDefault="00A255CD" w:rsidP="0048041A">
      <w:pPr>
        <w:pStyle w:val="Paragraphedeliste"/>
        <w:numPr>
          <w:ilvl w:val="0"/>
          <w:numId w:val="12"/>
        </w:numPr>
        <w:spacing w:after="240" w:line="276" w:lineRule="auto"/>
        <w:ind w:left="714" w:hanging="357"/>
        <w:contextualSpacing w:val="0"/>
        <w:jc w:val="both"/>
        <w:rPr>
          <w:rFonts w:ascii="Tw Cen MT" w:hAnsi="Tw Cen MT"/>
          <w:bCs/>
          <w:iCs/>
          <w:sz w:val="26"/>
          <w:szCs w:val="26"/>
        </w:rPr>
      </w:pPr>
      <w:r>
        <w:rPr>
          <w:rFonts w:ascii="Tw Cen MT" w:hAnsi="Tw Cen MT"/>
          <w:bCs/>
          <w:iCs/>
          <w:sz w:val="26"/>
          <w:szCs w:val="26"/>
        </w:rPr>
        <w:t>r</w:t>
      </w:r>
      <w:r w:rsidR="00434319">
        <w:rPr>
          <w:rFonts w:ascii="Tw Cen MT" w:hAnsi="Tw Cen MT"/>
          <w:bCs/>
          <w:iCs/>
          <w:sz w:val="26"/>
          <w:szCs w:val="26"/>
        </w:rPr>
        <w:t>etenir un seuil de FCFA 25 millions pour les paiements effectués pour le compte des fournisseurs locaux et étrangers.</w:t>
      </w:r>
    </w:p>
    <w:p w14:paraId="471232A0" w14:textId="73B94E36" w:rsidR="00C4535A" w:rsidRDefault="00C4535A" w:rsidP="0048041A">
      <w:pPr>
        <w:pStyle w:val="Paragraphedeliste"/>
        <w:numPr>
          <w:ilvl w:val="2"/>
          <w:numId w:val="9"/>
        </w:numPr>
        <w:spacing w:before="240" w:after="240"/>
        <w:contextualSpacing w:val="0"/>
        <w:outlineLvl w:val="1"/>
        <w:rPr>
          <w:rFonts w:ascii="Tw Cen MT" w:hAnsi="Tw Cen MT"/>
          <w:b/>
          <w:iCs/>
          <w:sz w:val="26"/>
          <w:szCs w:val="26"/>
        </w:rPr>
      </w:pPr>
      <w:bookmarkStart w:id="20" w:name="_Toc90999717"/>
      <w:r>
        <w:rPr>
          <w:rFonts w:ascii="Tw Cen MT" w:hAnsi="Tw Cen MT"/>
          <w:b/>
          <w:iCs/>
          <w:sz w:val="26"/>
          <w:szCs w:val="26"/>
        </w:rPr>
        <w:t>Entreprises extractives</w:t>
      </w:r>
      <w:bookmarkEnd w:id="20"/>
    </w:p>
    <w:p w14:paraId="7E31C05B" w14:textId="2ABF8D65" w:rsidR="00C4535A" w:rsidRPr="007A44AD" w:rsidRDefault="00C4535A" w:rsidP="007A44AD">
      <w:pPr>
        <w:spacing w:after="240"/>
        <w:rPr>
          <w:rFonts w:ascii="Tw Cen MT" w:hAnsi="Tw Cen MT"/>
          <w:sz w:val="26"/>
          <w:szCs w:val="26"/>
        </w:rPr>
      </w:pPr>
      <w:r w:rsidRPr="007A44AD">
        <w:rPr>
          <w:rFonts w:ascii="Tw Cen MT" w:hAnsi="Tw Cen MT"/>
          <w:sz w:val="26"/>
          <w:szCs w:val="26"/>
        </w:rPr>
        <w:t xml:space="preserve">Nous proposons les critères </w:t>
      </w:r>
      <w:r w:rsidR="004E4C70">
        <w:rPr>
          <w:rFonts w:ascii="Tw Cen MT" w:hAnsi="Tw Cen MT"/>
          <w:sz w:val="26"/>
          <w:szCs w:val="26"/>
        </w:rPr>
        <w:t xml:space="preserve">de sélection </w:t>
      </w:r>
      <w:r w:rsidRPr="007A44AD">
        <w:rPr>
          <w:rFonts w:ascii="Tw Cen MT" w:hAnsi="Tw Cen MT"/>
          <w:sz w:val="26"/>
          <w:szCs w:val="26"/>
        </w:rPr>
        <w:t>ci-dessous :</w:t>
      </w:r>
    </w:p>
    <w:p w14:paraId="75E584E4" w14:textId="32383263" w:rsidR="00C4535A" w:rsidRPr="00C4535A" w:rsidRDefault="00C4535A" w:rsidP="0048041A">
      <w:pPr>
        <w:pStyle w:val="Paragraphedeliste"/>
        <w:numPr>
          <w:ilvl w:val="0"/>
          <w:numId w:val="15"/>
        </w:numPr>
        <w:spacing w:before="240" w:after="240"/>
        <w:ind w:left="426" w:hanging="357"/>
        <w:contextualSpacing w:val="0"/>
        <w:outlineLvl w:val="1"/>
        <w:rPr>
          <w:rFonts w:ascii="Tw Cen MT" w:hAnsi="Tw Cen MT"/>
          <w:b/>
          <w:iCs/>
          <w:sz w:val="26"/>
          <w:szCs w:val="26"/>
        </w:rPr>
      </w:pPr>
      <w:bookmarkStart w:id="21" w:name="_Toc89810988"/>
      <w:bookmarkStart w:id="22" w:name="_Toc89811106"/>
      <w:bookmarkStart w:id="23" w:name="_Toc89811380"/>
      <w:bookmarkStart w:id="24" w:name="_Toc90999718"/>
      <w:r w:rsidRPr="00C4535A">
        <w:rPr>
          <w:rFonts w:ascii="Tw Cen MT" w:hAnsi="Tw Cen MT"/>
          <w:b/>
          <w:iCs/>
          <w:sz w:val="26"/>
          <w:szCs w:val="26"/>
        </w:rPr>
        <w:t>Pour la conciliation :</w:t>
      </w:r>
      <w:bookmarkEnd w:id="21"/>
      <w:bookmarkEnd w:id="22"/>
      <w:bookmarkEnd w:id="23"/>
      <w:bookmarkEnd w:id="24"/>
    </w:p>
    <w:p w14:paraId="55AD52C7" w14:textId="31AF0601" w:rsidR="00C4535A" w:rsidRDefault="00C4535A" w:rsidP="0048041A">
      <w:pPr>
        <w:pStyle w:val="Paragraphedeliste"/>
        <w:numPr>
          <w:ilvl w:val="0"/>
          <w:numId w:val="12"/>
        </w:numPr>
        <w:spacing w:line="276" w:lineRule="auto"/>
        <w:ind w:left="714" w:hanging="357"/>
        <w:jc w:val="both"/>
        <w:rPr>
          <w:rFonts w:ascii="Tw Cen MT" w:hAnsi="Tw Cen MT"/>
          <w:bCs/>
          <w:iCs/>
          <w:sz w:val="26"/>
          <w:szCs w:val="26"/>
        </w:rPr>
      </w:pPr>
      <w:r>
        <w:rPr>
          <w:rFonts w:ascii="Tw Cen MT" w:hAnsi="Tw Cen MT"/>
          <w:bCs/>
          <w:iCs/>
          <w:sz w:val="26"/>
          <w:szCs w:val="26"/>
        </w:rPr>
        <w:t>r</w:t>
      </w:r>
      <w:r w:rsidRPr="00C4535A">
        <w:rPr>
          <w:rFonts w:ascii="Tw Cen MT" w:hAnsi="Tw Cen MT"/>
          <w:bCs/>
          <w:iCs/>
          <w:sz w:val="26"/>
          <w:szCs w:val="26"/>
        </w:rPr>
        <w:t xml:space="preserve">etenir </w:t>
      </w:r>
      <w:r>
        <w:rPr>
          <w:rFonts w:ascii="Tw Cen MT" w:hAnsi="Tw Cen MT"/>
          <w:bCs/>
          <w:iCs/>
          <w:sz w:val="26"/>
          <w:szCs w:val="26"/>
        </w:rPr>
        <w:t xml:space="preserve">les entreprises extractives </w:t>
      </w:r>
      <w:r w:rsidR="00A255CD">
        <w:rPr>
          <w:rFonts w:ascii="Tw Cen MT" w:hAnsi="Tw Cen MT"/>
          <w:bCs/>
          <w:iCs/>
          <w:sz w:val="26"/>
          <w:szCs w:val="26"/>
        </w:rPr>
        <w:t>figurant</w:t>
      </w:r>
      <w:r>
        <w:rPr>
          <w:rFonts w:ascii="Tw Cen MT" w:hAnsi="Tw Cen MT"/>
          <w:bCs/>
          <w:iCs/>
          <w:sz w:val="26"/>
          <w:szCs w:val="26"/>
        </w:rPr>
        <w:t xml:space="preserve"> dans le rapport ITIE 2018 en application du principe de continuité ;</w:t>
      </w:r>
    </w:p>
    <w:p w14:paraId="0A82730B" w14:textId="24087B82" w:rsidR="00C4535A" w:rsidRPr="00C4535A" w:rsidRDefault="00C4535A" w:rsidP="0048041A">
      <w:pPr>
        <w:pStyle w:val="Paragraphedeliste"/>
        <w:numPr>
          <w:ilvl w:val="0"/>
          <w:numId w:val="12"/>
        </w:numPr>
        <w:spacing w:line="276" w:lineRule="auto"/>
        <w:ind w:left="714" w:hanging="357"/>
        <w:jc w:val="both"/>
        <w:rPr>
          <w:rFonts w:ascii="Tw Cen MT" w:hAnsi="Tw Cen MT"/>
          <w:bCs/>
          <w:iCs/>
          <w:sz w:val="26"/>
          <w:szCs w:val="26"/>
        </w:rPr>
      </w:pPr>
      <w:r>
        <w:rPr>
          <w:rFonts w:ascii="Tw Cen MT" w:hAnsi="Tw Cen MT"/>
          <w:bCs/>
          <w:iCs/>
          <w:sz w:val="26"/>
          <w:szCs w:val="26"/>
        </w:rPr>
        <w:t>retenir u</w:t>
      </w:r>
      <w:r w:rsidRPr="00C4535A">
        <w:rPr>
          <w:rFonts w:ascii="Tw Cen MT" w:hAnsi="Tw Cen MT"/>
          <w:bCs/>
          <w:iCs/>
          <w:sz w:val="26"/>
          <w:szCs w:val="26"/>
        </w:rPr>
        <w:t xml:space="preserve">n seuil de matérialité </w:t>
      </w:r>
      <w:r w:rsidR="00AF0E0F">
        <w:rPr>
          <w:rFonts w:ascii="Tw Cen MT" w:hAnsi="Tw Cen MT"/>
          <w:bCs/>
          <w:iCs/>
          <w:sz w:val="26"/>
          <w:szCs w:val="26"/>
        </w:rPr>
        <w:t>de FCFA 100 000 000</w:t>
      </w:r>
      <w:r w:rsidRPr="00C4535A">
        <w:rPr>
          <w:rFonts w:ascii="Tw Cen MT" w:hAnsi="Tw Cen MT"/>
          <w:bCs/>
          <w:iCs/>
          <w:sz w:val="26"/>
          <w:szCs w:val="26"/>
        </w:rPr>
        <w:t xml:space="preserve"> pour la sélection des entités</w:t>
      </w:r>
      <w:r w:rsidR="00AF0E0F">
        <w:rPr>
          <w:rFonts w:ascii="Tw Cen MT" w:hAnsi="Tw Cen MT"/>
          <w:bCs/>
          <w:iCs/>
          <w:sz w:val="26"/>
          <w:szCs w:val="26"/>
        </w:rPr>
        <w:t xml:space="preserve"> extractives</w:t>
      </w:r>
      <w:r w:rsidRPr="00C4535A">
        <w:rPr>
          <w:rFonts w:ascii="Tw Cen MT" w:hAnsi="Tw Cen MT"/>
          <w:bCs/>
          <w:iCs/>
          <w:sz w:val="26"/>
          <w:szCs w:val="26"/>
        </w:rPr>
        <w:t xml:space="preserve"> ayant l’obligation de soumettre une déclaration</w:t>
      </w:r>
      <w:r w:rsidR="00434319">
        <w:rPr>
          <w:rFonts w:ascii="Tw Cen MT" w:hAnsi="Tw Cen MT"/>
          <w:bCs/>
          <w:iCs/>
          <w:sz w:val="26"/>
          <w:szCs w:val="26"/>
        </w:rPr>
        <w:t>.</w:t>
      </w:r>
    </w:p>
    <w:p w14:paraId="4C7E96CF" w14:textId="71E6B04E" w:rsidR="00C4535A" w:rsidRPr="00C4535A" w:rsidRDefault="00C4535A" w:rsidP="0048041A">
      <w:pPr>
        <w:pStyle w:val="Paragraphedeliste"/>
        <w:numPr>
          <w:ilvl w:val="0"/>
          <w:numId w:val="15"/>
        </w:numPr>
        <w:spacing w:before="240" w:after="240"/>
        <w:ind w:left="426" w:hanging="357"/>
        <w:contextualSpacing w:val="0"/>
        <w:outlineLvl w:val="1"/>
        <w:rPr>
          <w:rFonts w:ascii="Tw Cen MT" w:hAnsi="Tw Cen MT"/>
          <w:b/>
          <w:iCs/>
          <w:sz w:val="26"/>
          <w:szCs w:val="26"/>
        </w:rPr>
      </w:pPr>
      <w:bookmarkStart w:id="25" w:name="_Toc89810989"/>
      <w:bookmarkStart w:id="26" w:name="_Toc89811107"/>
      <w:bookmarkStart w:id="27" w:name="_Toc89811381"/>
      <w:bookmarkStart w:id="28" w:name="_Toc90999719"/>
      <w:r w:rsidRPr="00C4535A">
        <w:rPr>
          <w:rFonts w:ascii="Tw Cen MT" w:hAnsi="Tw Cen MT"/>
          <w:b/>
          <w:iCs/>
          <w:sz w:val="26"/>
          <w:szCs w:val="26"/>
        </w:rPr>
        <w:t xml:space="preserve">Pour la </w:t>
      </w:r>
      <w:r>
        <w:rPr>
          <w:rFonts w:ascii="Tw Cen MT" w:hAnsi="Tw Cen MT"/>
          <w:b/>
          <w:iCs/>
          <w:sz w:val="26"/>
          <w:szCs w:val="26"/>
        </w:rPr>
        <w:t>déclaration unilatérale</w:t>
      </w:r>
      <w:r w:rsidRPr="00C4535A">
        <w:rPr>
          <w:rFonts w:ascii="Tw Cen MT" w:hAnsi="Tw Cen MT"/>
          <w:b/>
          <w:iCs/>
          <w:sz w:val="26"/>
          <w:szCs w:val="26"/>
        </w:rPr>
        <w:t> :</w:t>
      </w:r>
      <w:bookmarkEnd w:id="25"/>
      <w:bookmarkEnd w:id="26"/>
      <w:bookmarkEnd w:id="27"/>
      <w:bookmarkEnd w:id="28"/>
    </w:p>
    <w:p w14:paraId="754D6F89" w14:textId="709B5A9B" w:rsidR="00C4535A" w:rsidRDefault="00C4535A" w:rsidP="0048041A">
      <w:pPr>
        <w:pStyle w:val="Paragraphedeliste"/>
        <w:numPr>
          <w:ilvl w:val="0"/>
          <w:numId w:val="12"/>
        </w:numPr>
        <w:spacing w:after="240" w:line="276" w:lineRule="auto"/>
        <w:jc w:val="both"/>
        <w:rPr>
          <w:rFonts w:ascii="Tw Cen MT" w:hAnsi="Tw Cen MT"/>
          <w:bCs/>
          <w:iCs/>
          <w:sz w:val="26"/>
          <w:szCs w:val="26"/>
        </w:rPr>
      </w:pPr>
      <w:r>
        <w:rPr>
          <w:rFonts w:ascii="Tw Cen MT" w:hAnsi="Tw Cen MT"/>
          <w:bCs/>
          <w:iCs/>
          <w:sz w:val="26"/>
          <w:szCs w:val="26"/>
        </w:rPr>
        <w:t xml:space="preserve">retenir l’ensemble </w:t>
      </w:r>
      <w:r w:rsidR="00434319">
        <w:rPr>
          <w:rFonts w:ascii="Tw Cen MT" w:hAnsi="Tw Cen MT"/>
          <w:bCs/>
          <w:iCs/>
          <w:sz w:val="26"/>
          <w:szCs w:val="26"/>
        </w:rPr>
        <w:t xml:space="preserve">des </w:t>
      </w:r>
      <w:r>
        <w:rPr>
          <w:rFonts w:ascii="Tw Cen MT" w:hAnsi="Tw Cen MT"/>
          <w:bCs/>
          <w:iCs/>
          <w:sz w:val="26"/>
          <w:szCs w:val="26"/>
        </w:rPr>
        <w:t>revenus provenant</w:t>
      </w:r>
      <w:r w:rsidRPr="00C4535A">
        <w:rPr>
          <w:rFonts w:ascii="Tw Cen MT" w:hAnsi="Tw Cen MT"/>
          <w:bCs/>
          <w:iCs/>
          <w:sz w:val="26"/>
          <w:szCs w:val="26"/>
        </w:rPr>
        <w:t xml:space="preserve"> des sous-traitants, des comptoirs d’achat et des sociétés répertoriées dans le cadastre minier et le répertoire pétrolier</w:t>
      </w:r>
      <w:r>
        <w:rPr>
          <w:rFonts w:ascii="Tw Cen MT" w:hAnsi="Tw Cen MT"/>
          <w:bCs/>
          <w:iCs/>
          <w:sz w:val="26"/>
          <w:szCs w:val="26"/>
        </w:rPr>
        <w:t xml:space="preserve"> dont les paiements sont en dessous du seuil retenu ;</w:t>
      </w:r>
    </w:p>
    <w:p w14:paraId="25FDE702" w14:textId="7476E81D" w:rsidR="00C4535A" w:rsidRDefault="00C4535A" w:rsidP="0048041A">
      <w:pPr>
        <w:pStyle w:val="Paragraphedeliste"/>
        <w:numPr>
          <w:ilvl w:val="0"/>
          <w:numId w:val="12"/>
        </w:numPr>
        <w:spacing w:after="240" w:line="276" w:lineRule="auto"/>
        <w:jc w:val="both"/>
        <w:rPr>
          <w:rFonts w:ascii="Tw Cen MT" w:hAnsi="Tw Cen MT"/>
          <w:bCs/>
          <w:iCs/>
          <w:sz w:val="26"/>
          <w:szCs w:val="26"/>
        </w:rPr>
      </w:pPr>
      <w:r>
        <w:rPr>
          <w:rFonts w:ascii="Tw Cen MT" w:hAnsi="Tw Cen MT"/>
          <w:bCs/>
          <w:iCs/>
          <w:sz w:val="26"/>
          <w:szCs w:val="26"/>
        </w:rPr>
        <w:t xml:space="preserve">retenir la déclaration des propriétés réelles de toutes les </w:t>
      </w:r>
      <w:r w:rsidR="00AF0E0F">
        <w:rPr>
          <w:rFonts w:ascii="Tw Cen MT" w:hAnsi="Tw Cen MT"/>
          <w:bCs/>
          <w:iCs/>
          <w:sz w:val="26"/>
          <w:szCs w:val="26"/>
        </w:rPr>
        <w:t xml:space="preserve">entités extractives </w:t>
      </w:r>
      <w:r>
        <w:rPr>
          <w:rFonts w:ascii="Tw Cen MT" w:hAnsi="Tw Cen MT"/>
          <w:bCs/>
          <w:iCs/>
          <w:sz w:val="26"/>
          <w:szCs w:val="26"/>
        </w:rPr>
        <w:t>retenues dans le périmètre de la conciliation</w:t>
      </w:r>
      <w:r w:rsidR="00434319">
        <w:rPr>
          <w:rFonts w:ascii="Tw Cen MT" w:hAnsi="Tw Cen MT"/>
          <w:bCs/>
          <w:iCs/>
          <w:sz w:val="26"/>
          <w:szCs w:val="26"/>
        </w:rPr>
        <w:t> ;</w:t>
      </w:r>
    </w:p>
    <w:p w14:paraId="15D50618" w14:textId="5A353DB6" w:rsidR="00C4535A" w:rsidRDefault="00C4535A" w:rsidP="0048041A">
      <w:pPr>
        <w:pStyle w:val="Paragraphedeliste"/>
        <w:numPr>
          <w:ilvl w:val="0"/>
          <w:numId w:val="12"/>
        </w:numPr>
        <w:spacing w:line="276" w:lineRule="auto"/>
        <w:ind w:left="714" w:hanging="357"/>
        <w:contextualSpacing w:val="0"/>
        <w:jc w:val="both"/>
        <w:rPr>
          <w:rFonts w:ascii="Tw Cen MT" w:hAnsi="Tw Cen MT"/>
          <w:bCs/>
          <w:iCs/>
          <w:sz w:val="26"/>
          <w:szCs w:val="26"/>
        </w:rPr>
      </w:pPr>
      <w:r>
        <w:rPr>
          <w:rFonts w:ascii="Tw Cen MT" w:hAnsi="Tw Cen MT"/>
          <w:bCs/>
          <w:iCs/>
          <w:sz w:val="26"/>
          <w:szCs w:val="26"/>
        </w:rPr>
        <w:lastRenderedPageBreak/>
        <w:t>retenir la déclaration de l’ensemble des paiements sociaux et environnementaux</w:t>
      </w:r>
      <w:r w:rsidR="00434319">
        <w:rPr>
          <w:rFonts w:ascii="Tw Cen MT" w:hAnsi="Tw Cen MT"/>
          <w:bCs/>
          <w:iCs/>
          <w:sz w:val="26"/>
          <w:szCs w:val="26"/>
        </w:rPr>
        <w:t> </w:t>
      </w:r>
      <w:r w:rsidR="00AF0E0F">
        <w:rPr>
          <w:rFonts w:ascii="Tw Cen MT" w:hAnsi="Tw Cen MT"/>
          <w:bCs/>
          <w:iCs/>
          <w:sz w:val="26"/>
          <w:szCs w:val="26"/>
        </w:rPr>
        <w:t xml:space="preserve">(s’il existe) </w:t>
      </w:r>
      <w:r w:rsidR="00434319">
        <w:rPr>
          <w:rFonts w:ascii="Tw Cen MT" w:hAnsi="Tw Cen MT"/>
          <w:bCs/>
          <w:iCs/>
          <w:sz w:val="26"/>
          <w:szCs w:val="26"/>
        </w:rPr>
        <w:t>;</w:t>
      </w:r>
    </w:p>
    <w:p w14:paraId="15C4DB70" w14:textId="10B3A217" w:rsidR="00434319" w:rsidRDefault="00434319" w:rsidP="0048041A">
      <w:pPr>
        <w:pStyle w:val="Paragraphedeliste"/>
        <w:numPr>
          <w:ilvl w:val="0"/>
          <w:numId w:val="12"/>
        </w:numPr>
        <w:spacing w:after="240" w:line="276" w:lineRule="auto"/>
        <w:ind w:left="714" w:hanging="357"/>
        <w:contextualSpacing w:val="0"/>
        <w:jc w:val="both"/>
        <w:rPr>
          <w:rFonts w:ascii="Tw Cen MT" w:hAnsi="Tw Cen MT"/>
          <w:bCs/>
          <w:iCs/>
          <w:sz w:val="26"/>
          <w:szCs w:val="26"/>
        </w:rPr>
      </w:pPr>
      <w:r>
        <w:rPr>
          <w:rFonts w:ascii="Tw Cen MT" w:hAnsi="Tw Cen MT"/>
          <w:bCs/>
          <w:iCs/>
          <w:sz w:val="26"/>
          <w:szCs w:val="26"/>
        </w:rPr>
        <w:t xml:space="preserve">retenir </w:t>
      </w:r>
      <w:r w:rsidR="00AF0E0F">
        <w:rPr>
          <w:rFonts w:ascii="Tw Cen MT" w:hAnsi="Tw Cen MT"/>
          <w:bCs/>
          <w:iCs/>
          <w:sz w:val="26"/>
          <w:szCs w:val="26"/>
        </w:rPr>
        <w:t>la déclaration d</w:t>
      </w:r>
      <w:r>
        <w:rPr>
          <w:rFonts w:ascii="Tw Cen MT" w:hAnsi="Tw Cen MT"/>
          <w:bCs/>
          <w:iCs/>
          <w:sz w:val="26"/>
          <w:szCs w:val="26"/>
        </w:rPr>
        <w:t>es paiements aux fournisseurs ayant atteint le seuil de FCFA 25 millions.</w:t>
      </w:r>
    </w:p>
    <w:p w14:paraId="2C53C67A" w14:textId="4A05D833" w:rsidR="00C4535A" w:rsidRDefault="00C4535A" w:rsidP="0048041A">
      <w:pPr>
        <w:pStyle w:val="Paragraphedeliste"/>
        <w:numPr>
          <w:ilvl w:val="2"/>
          <w:numId w:val="9"/>
        </w:numPr>
        <w:spacing w:before="240" w:after="240"/>
        <w:contextualSpacing w:val="0"/>
        <w:outlineLvl w:val="1"/>
        <w:rPr>
          <w:rFonts w:ascii="Tw Cen MT" w:hAnsi="Tw Cen MT"/>
          <w:b/>
          <w:iCs/>
          <w:sz w:val="26"/>
          <w:szCs w:val="26"/>
        </w:rPr>
      </w:pPr>
      <w:bookmarkStart w:id="29" w:name="_Toc90999720"/>
      <w:r>
        <w:rPr>
          <w:rFonts w:ascii="Tw Cen MT" w:hAnsi="Tw Cen MT"/>
          <w:b/>
          <w:iCs/>
          <w:sz w:val="26"/>
          <w:szCs w:val="26"/>
        </w:rPr>
        <w:t>Organismes collecteurs de l’État</w:t>
      </w:r>
      <w:bookmarkEnd w:id="29"/>
    </w:p>
    <w:p w14:paraId="1D71C1E9" w14:textId="4FF3983A" w:rsidR="00C4535A" w:rsidRPr="004E4C70" w:rsidRDefault="00C4535A" w:rsidP="004E4C70">
      <w:pPr>
        <w:spacing w:after="240"/>
        <w:rPr>
          <w:rFonts w:ascii="Tw Cen MT" w:hAnsi="Tw Cen MT"/>
          <w:sz w:val="26"/>
          <w:szCs w:val="26"/>
        </w:rPr>
      </w:pPr>
      <w:bookmarkStart w:id="30" w:name="_Toc89810991"/>
      <w:bookmarkStart w:id="31" w:name="_Toc89811109"/>
      <w:bookmarkStart w:id="32" w:name="_Toc89811383"/>
      <w:r w:rsidRPr="004E4C70">
        <w:rPr>
          <w:rFonts w:ascii="Tw Cen MT" w:hAnsi="Tw Cen MT"/>
          <w:sz w:val="26"/>
          <w:szCs w:val="26"/>
        </w:rPr>
        <w:t xml:space="preserve">Nous proposons </w:t>
      </w:r>
      <w:r w:rsidR="00AF0E0F" w:rsidRPr="004E4C70">
        <w:rPr>
          <w:rFonts w:ascii="Tw Cen MT" w:hAnsi="Tw Cen MT"/>
          <w:sz w:val="26"/>
          <w:szCs w:val="26"/>
        </w:rPr>
        <w:t xml:space="preserve">l’application des </w:t>
      </w:r>
      <w:r w:rsidRPr="004E4C70">
        <w:rPr>
          <w:rFonts w:ascii="Tw Cen MT" w:hAnsi="Tw Cen MT"/>
          <w:sz w:val="26"/>
          <w:szCs w:val="26"/>
        </w:rPr>
        <w:t xml:space="preserve">critères </w:t>
      </w:r>
      <w:r w:rsidR="004E4C70">
        <w:rPr>
          <w:rFonts w:ascii="Tw Cen MT" w:hAnsi="Tw Cen MT"/>
          <w:sz w:val="26"/>
          <w:szCs w:val="26"/>
        </w:rPr>
        <w:t xml:space="preserve">de sélection </w:t>
      </w:r>
      <w:r w:rsidRPr="004E4C70">
        <w:rPr>
          <w:rFonts w:ascii="Tw Cen MT" w:hAnsi="Tw Cen MT"/>
          <w:sz w:val="26"/>
          <w:szCs w:val="26"/>
        </w:rPr>
        <w:t>ci-dessous :</w:t>
      </w:r>
      <w:bookmarkEnd w:id="30"/>
      <w:bookmarkEnd w:id="31"/>
      <w:bookmarkEnd w:id="32"/>
    </w:p>
    <w:p w14:paraId="3028B919" w14:textId="2B350C11" w:rsidR="00C4535A" w:rsidRDefault="00C4535A" w:rsidP="0048041A">
      <w:pPr>
        <w:pStyle w:val="Paragraphedeliste"/>
        <w:numPr>
          <w:ilvl w:val="0"/>
          <w:numId w:val="12"/>
        </w:numPr>
        <w:spacing w:after="240" w:line="276" w:lineRule="auto"/>
        <w:jc w:val="both"/>
        <w:rPr>
          <w:rFonts w:ascii="Tw Cen MT" w:hAnsi="Tw Cen MT"/>
          <w:bCs/>
          <w:iCs/>
          <w:sz w:val="26"/>
          <w:szCs w:val="26"/>
        </w:rPr>
      </w:pPr>
      <w:r>
        <w:rPr>
          <w:rFonts w:ascii="Tw Cen MT" w:hAnsi="Tw Cen MT"/>
          <w:bCs/>
          <w:iCs/>
          <w:sz w:val="26"/>
          <w:szCs w:val="26"/>
        </w:rPr>
        <w:t>r</w:t>
      </w:r>
      <w:r w:rsidRPr="00C4535A">
        <w:rPr>
          <w:rFonts w:ascii="Tw Cen MT" w:hAnsi="Tw Cen MT"/>
          <w:bCs/>
          <w:iCs/>
          <w:sz w:val="26"/>
          <w:szCs w:val="26"/>
        </w:rPr>
        <w:t xml:space="preserve">etenir </w:t>
      </w:r>
      <w:r>
        <w:rPr>
          <w:rFonts w:ascii="Tw Cen MT" w:hAnsi="Tw Cen MT"/>
          <w:bCs/>
          <w:iCs/>
          <w:sz w:val="26"/>
          <w:szCs w:val="26"/>
        </w:rPr>
        <w:t xml:space="preserve">les entités gouvernementales </w:t>
      </w:r>
      <w:r w:rsidR="00A255CD">
        <w:rPr>
          <w:rFonts w:ascii="Tw Cen MT" w:hAnsi="Tw Cen MT"/>
          <w:bCs/>
          <w:iCs/>
          <w:sz w:val="26"/>
          <w:szCs w:val="26"/>
        </w:rPr>
        <w:t>figurant</w:t>
      </w:r>
      <w:r>
        <w:rPr>
          <w:rFonts w:ascii="Tw Cen MT" w:hAnsi="Tw Cen MT"/>
          <w:bCs/>
          <w:iCs/>
          <w:sz w:val="26"/>
          <w:szCs w:val="26"/>
        </w:rPr>
        <w:t xml:space="preserve"> dans le périmètre</w:t>
      </w:r>
      <w:r w:rsidR="00A038AD">
        <w:rPr>
          <w:rFonts w:ascii="Tw Cen MT" w:hAnsi="Tw Cen MT"/>
          <w:bCs/>
          <w:iCs/>
          <w:sz w:val="26"/>
          <w:szCs w:val="26"/>
        </w:rPr>
        <w:t xml:space="preserve"> </w:t>
      </w:r>
      <w:r>
        <w:rPr>
          <w:rFonts w:ascii="Tw Cen MT" w:hAnsi="Tw Cen MT"/>
          <w:bCs/>
          <w:iCs/>
          <w:sz w:val="26"/>
          <w:szCs w:val="26"/>
        </w:rPr>
        <w:t>du rapport ITIE 2018 en application du principe de la continuité ;</w:t>
      </w:r>
    </w:p>
    <w:p w14:paraId="2551C96D" w14:textId="4F94D0CA" w:rsidR="00C4535A" w:rsidRPr="00C4535A" w:rsidRDefault="00C4535A" w:rsidP="0048041A">
      <w:pPr>
        <w:pStyle w:val="Paragraphedeliste"/>
        <w:numPr>
          <w:ilvl w:val="0"/>
          <w:numId w:val="12"/>
        </w:numPr>
        <w:spacing w:after="240" w:line="276" w:lineRule="auto"/>
        <w:ind w:left="714" w:hanging="357"/>
        <w:contextualSpacing w:val="0"/>
        <w:jc w:val="both"/>
        <w:rPr>
          <w:rFonts w:ascii="Tw Cen MT" w:hAnsi="Tw Cen MT"/>
          <w:bCs/>
          <w:iCs/>
          <w:sz w:val="26"/>
          <w:szCs w:val="26"/>
        </w:rPr>
      </w:pPr>
      <w:r>
        <w:rPr>
          <w:rFonts w:ascii="Tw Cen MT" w:hAnsi="Tw Cen MT"/>
          <w:bCs/>
          <w:iCs/>
          <w:sz w:val="26"/>
          <w:szCs w:val="26"/>
        </w:rPr>
        <w:t>retenir t</w:t>
      </w:r>
      <w:r w:rsidRPr="00C4535A">
        <w:rPr>
          <w:rFonts w:ascii="Tw Cen MT" w:hAnsi="Tw Cen MT"/>
          <w:bCs/>
          <w:iCs/>
          <w:sz w:val="26"/>
          <w:szCs w:val="26"/>
        </w:rPr>
        <w:t>outes les entités gouvernementales impliquées dans la collecte des revenus extractifs</w:t>
      </w:r>
      <w:r>
        <w:rPr>
          <w:rFonts w:ascii="Tw Cen MT" w:hAnsi="Tw Cen MT"/>
          <w:bCs/>
          <w:iCs/>
          <w:sz w:val="26"/>
          <w:szCs w:val="26"/>
        </w:rPr>
        <w:t xml:space="preserve"> au titre de l’année 2019.</w:t>
      </w:r>
    </w:p>
    <w:p w14:paraId="2CC1BC2A" w14:textId="2F33C55C" w:rsidR="00097647" w:rsidRDefault="00097647" w:rsidP="0048041A">
      <w:pPr>
        <w:pStyle w:val="Paragraphedeliste"/>
        <w:numPr>
          <w:ilvl w:val="1"/>
          <w:numId w:val="9"/>
        </w:numPr>
        <w:spacing w:before="240" w:after="240"/>
        <w:ind w:left="1797"/>
        <w:contextualSpacing w:val="0"/>
        <w:outlineLvl w:val="1"/>
        <w:rPr>
          <w:rFonts w:ascii="Tw Cen MT" w:hAnsi="Tw Cen MT"/>
          <w:b/>
          <w:iCs/>
          <w:sz w:val="26"/>
          <w:szCs w:val="26"/>
        </w:rPr>
      </w:pPr>
      <w:bookmarkStart w:id="33" w:name="_Toc90999721"/>
      <w:r>
        <w:rPr>
          <w:rFonts w:ascii="Tw Cen MT" w:hAnsi="Tw Cen MT"/>
          <w:b/>
          <w:iCs/>
          <w:sz w:val="26"/>
          <w:szCs w:val="26"/>
        </w:rPr>
        <w:t>Proposition de périmètre</w:t>
      </w:r>
      <w:bookmarkEnd w:id="33"/>
    </w:p>
    <w:p w14:paraId="70273036" w14:textId="1018ED6E" w:rsidR="00AF0E0F" w:rsidRPr="00B11D3B" w:rsidRDefault="00AF0E0F" w:rsidP="00A255CD">
      <w:pPr>
        <w:spacing w:after="240" w:line="276" w:lineRule="auto"/>
        <w:rPr>
          <w:rFonts w:ascii="Tw Cen MT" w:hAnsi="Tw Cen MT"/>
          <w:sz w:val="26"/>
          <w:szCs w:val="26"/>
        </w:rPr>
      </w:pPr>
      <w:r w:rsidRPr="00851ED2">
        <w:rPr>
          <w:rFonts w:ascii="Tw Cen MT" w:hAnsi="Tw Cen MT"/>
          <w:sz w:val="26"/>
          <w:szCs w:val="26"/>
        </w:rPr>
        <w:t xml:space="preserve">Notre proposition de périmètre repose sur l’application du </w:t>
      </w:r>
      <w:r w:rsidRPr="0046097C">
        <w:rPr>
          <w:rFonts w:ascii="Tw Cen MT" w:hAnsi="Tw Cen MT"/>
          <w:sz w:val="26"/>
          <w:szCs w:val="26"/>
        </w:rPr>
        <w:t>principe de continuité en référence à l’exercice</w:t>
      </w:r>
    </w:p>
    <w:p w14:paraId="6FBE7085" w14:textId="498E7977" w:rsidR="00097647" w:rsidRDefault="00097647" w:rsidP="0048041A">
      <w:pPr>
        <w:pStyle w:val="Paragraphedeliste"/>
        <w:numPr>
          <w:ilvl w:val="2"/>
          <w:numId w:val="9"/>
        </w:numPr>
        <w:spacing w:before="240" w:after="240"/>
        <w:contextualSpacing w:val="0"/>
        <w:outlineLvl w:val="1"/>
        <w:rPr>
          <w:rFonts w:ascii="Tw Cen MT" w:hAnsi="Tw Cen MT"/>
          <w:b/>
          <w:iCs/>
          <w:sz w:val="26"/>
          <w:szCs w:val="26"/>
        </w:rPr>
      </w:pPr>
      <w:bookmarkStart w:id="34" w:name="_Toc90999722"/>
      <w:r>
        <w:rPr>
          <w:rFonts w:ascii="Tw Cen MT" w:hAnsi="Tw Cen MT"/>
          <w:b/>
          <w:iCs/>
          <w:sz w:val="26"/>
          <w:szCs w:val="26"/>
        </w:rPr>
        <w:t>Périmètre des flux</w:t>
      </w:r>
      <w:bookmarkEnd w:id="34"/>
    </w:p>
    <w:p w14:paraId="0DC1FB4A" w14:textId="28F67209" w:rsidR="0046097C" w:rsidRDefault="003E0DE8" w:rsidP="00851ED2">
      <w:pPr>
        <w:spacing w:after="240"/>
        <w:rPr>
          <w:rFonts w:ascii="Tw Cen MT" w:hAnsi="Tw Cen MT"/>
          <w:sz w:val="26"/>
          <w:szCs w:val="26"/>
        </w:rPr>
      </w:pPr>
      <w:r w:rsidRPr="00851ED2">
        <w:rPr>
          <w:rFonts w:ascii="Tw Cen MT" w:hAnsi="Tw Cen MT"/>
          <w:sz w:val="26"/>
          <w:szCs w:val="26"/>
        </w:rPr>
        <w:t xml:space="preserve">En application des critères de </w:t>
      </w:r>
      <w:r w:rsidRPr="0046097C">
        <w:rPr>
          <w:rFonts w:ascii="Tw Cen MT" w:hAnsi="Tw Cen MT"/>
          <w:sz w:val="26"/>
          <w:szCs w:val="26"/>
        </w:rPr>
        <w:t>sélection</w:t>
      </w:r>
      <w:r w:rsidRPr="00851ED2">
        <w:rPr>
          <w:rFonts w:ascii="Tw Cen MT" w:hAnsi="Tw Cen MT"/>
          <w:sz w:val="26"/>
          <w:szCs w:val="26"/>
        </w:rPr>
        <w:t xml:space="preserve"> </w:t>
      </w:r>
      <w:r w:rsidRPr="0046097C">
        <w:rPr>
          <w:rFonts w:ascii="Tw Cen MT" w:hAnsi="Tw Cen MT"/>
          <w:sz w:val="26"/>
          <w:szCs w:val="26"/>
        </w:rPr>
        <w:t>énoncés</w:t>
      </w:r>
      <w:r w:rsidRPr="00851ED2">
        <w:rPr>
          <w:rFonts w:ascii="Tw Cen MT" w:hAnsi="Tw Cen MT"/>
          <w:sz w:val="26"/>
          <w:szCs w:val="26"/>
        </w:rPr>
        <w:t xml:space="preserve">, nous proposons </w:t>
      </w:r>
      <w:r w:rsidRPr="0046097C">
        <w:rPr>
          <w:rFonts w:ascii="Tw Cen MT" w:hAnsi="Tw Cen MT"/>
          <w:sz w:val="26"/>
          <w:szCs w:val="26"/>
        </w:rPr>
        <w:t xml:space="preserve">de retenir </w:t>
      </w:r>
      <w:r w:rsidRPr="00851ED2">
        <w:rPr>
          <w:rFonts w:ascii="Tw Cen MT" w:hAnsi="Tw Cen MT"/>
          <w:sz w:val="26"/>
          <w:szCs w:val="26"/>
        </w:rPr>
        <w:t>les flux de paiement ci-dessous dans le périmètre de l’</w:t>
      </w:r>
      <w:r w:rsidRPr="0046097C">
        <w:rPr>
          <w:rFonts w:ascii="Tw Cen MT" w:hAnsi="Tw Cen MT"/>
          <w:sz w:val="26"/>
          <w:szCs w:val="26"/>
        </w:rPr>
        <w:t>étude</w:t>
      </w:r>
      <w:r w:rsidRPr="00851ED2">
        <w:rPr>
          <w:rFonts w:ascii="Tw Cen MT" w:hAnsi="Tw Cen MT"/>
          <w:sz w:val="26"/>
          <w:szCs w:val="26"/>
        </w:rPr>
        <w:t xml:space="preserve"> : </w:t>
      </w:r>
    </w:p>
    <w:p w14:paraId="11817B78" w14:textId="74A33261" w:rsidR="00A255CD" w:rsidRPr="00A255CD" w:rsidRDefault="00A255CD" w:rsidP="00A255CD">
      <w:pPr>
        <w:pStyle w:val="Lgende"/>
        <w:rPr>
          <w:rFonts w:ascii="Tw Cen MT" w:hAnsi="Tw Cen MT"/>
          <w:b/>
          <w:bCs/>
          <w:i w:val="0"/>
          <w:iCs w:val="0"/>
          <w:color w:val="auto"/>
          <w:sz w:val="24"/>
          <w:szCs w:val="24"/>
        </w:rPr>
      </w:pPr>
      <w:bookmarkStart w:id="35" w:name="_Toc90995624"/>
      <w:r w:rsidRPr="00A255CD">
        <w:rPr>
          <w:rFonts w:ascii="Tw Cen MT" w:hAnsi="Tw Cen MT"/>
          <w:b/>
          <w:bCs/>
          <w:i w:val="0"/>
          <w:iCs w:val="0"/>
          <w:color w:val="auto"/>
          <w:sz w:val="24"/>
          <w:szCs w:val="24"/>
        </w:rPr>
        <w:t xml:space="preserve">Tableau </w:t>
      </w:r>
      <w:r w:rsidRPr="00A255CD">
        <w:rPr>
          <w:rFonts w:ascii="Tw Cen MT" w:hAnsi="Tw Cen MT"/>
          <w:b/>
          <w:bCs/>
          <w:i w:val="0"/>
          <w:iCs w:val="0"/>
          <w:color w:val="auto"/>
          <w:sz w:val="24"/>
          <w:szCs w:val="24"/>
        </w:rPr>
        <w:fldChar w:fldCharType="begin"/>
      </w:r>
      <w:r w:rsidRPr="00A255CD">
        <w:rPr>
          <w:rFonts w:ascii="Tw Cen MT" w:hAnsi="Tw Cen MT"/>
          <w:b/>
          <w:bCs/>
          <w:i w:val="0"/>
          <w:iCs w:val="0"/>
          <w:color w:val="auto"/>
          <w:sz w:val="24"/>
          <w:szCs w:val="24"/>
        </w:rPr>
        <w:instrText xml:space="preserve"> SEQ Tableau \* ARABIC </w:instrText>
      </w:r>
      <w:r w:rsidRPr="00A255CD">
        <w:rPr>
          <w:rFonts w:ascii="Tw Cen MT" w:hAnsi="Tw Cen MT"/>
          <w:b/>
          <w:bCs/>
          <w:i w:val="0"/>
          <w:iCs w:val="0"/>
          <w:color w:val="auto"/>
          <w:sz w:val="24"/>
          <w:szCs w:val="24"/>
        </w:rPr>
        <w:fldChar w:fldCharType="separate"/>
      </w:r>
      <w:r w:rsidR="00A54243">
        <w:rPr>
          <w:rFonts w:ascii="Tw Cen MT" w:hAnsi="Tw Cen MT"/>
          <w:b/>
          <w:bCs/>
          <w:i w:val="0"/>
          <w:iCs w:val="0"/>
          <w:noProof/>
          <w:color w:val="auto"/>
          <w:sz w:val="24"/>
          <w:szCs w:val="24"/>
        </w:rPr>
        <w:t>2</w:t>
      </w:r>
      <w:r w:rsidRPr="00A255CD">
        <w:rPr>
          <w:rFonts w:ascii="Tw Cen MT" w:hAnsi="Tw Cen MT"/>
          <w:b/>
          <w:bCs/>
          <w:i w:val="0"/>
          <w:iCs w:val="0"/>
          <w:color w:val="auto"/>
          <w:sz w:val="24"/>
          <w:szCs w:val="24"/>
        </w:rPr>
        <w:fldChar w:fldCharType="end"/>
      </w:r>
      <w:r w:rsidRPr="00A255CD">
        <w:rPr>
          <w:rFonts w:ascii="Tw Cen MT" w:hAnsi="Tw Cen MT"/>
          <w:b/>
          <w:bCs/>
          <w:i w:val="0"/>
          <w:iCs w:val="0"/>
          <w:color w:val="auto"/>
          <w:sz w:val="24"/>
          <w:szCs w:val="24"/>
        </w:rPr>
        <w:t> : Nomenclature des flux de paiement</w:t>
      </w:r>
      <w:bookmarkEnd w:id="35"/>
    </w:p>
    <w:tbl>
      <w:tblPr>
        <w:tblW w:w="92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248"/>
        <w:gridCol w:w="4961"/>
      </w:tblGrid>
      <w:tr w:rsidR="0046097C" w:rsidRPr="0046097C" w14:paraId="0A031D46" w14:textId="77777777" w:rsidTr="00851ED2">
        <w:trPr>
          <w:trHeight w:val="255"/>
          <w:tblHeader/>
        </w:trPr>
        <w:tc>
          <w:tcPr>
            <w:tcW w:w="4248" w:type="dxa"/>
            <w:tcBorders>
              <w:top w:val="single" w:sz="4" w:space="0" w:color="auto"/>
              <w:bottom w:val="single" w:sz="4" w:space="0" w:color="auto"/>
              <w:right w:val="single" w:sz="4" w:space="0" w:color="auto"/>
            </w:tcBorders>
            <w:shd w:val="clear" w:color="000000" w:fill="00B0F0"/>
            <w:noWrap/>
            <w:vAlign w:val="bottom"/>
            <w:hideMark/>
          </w:tcPr>
          <w:p w14:paraId="65D20679" w14:textId="77777777" w:rsidR="0046097C" w:rsidRPr="0046097C" w:rsidRDefault="0046097C" w:rsidP="0046097C">
            <w:pPr>
              <w:rPr>
                <w:rFonts w:ascii="Tw Cen MT" w:hAnsi="Tw Cen MT" w:cs="Calibri"/>
                <w:b/>
                <w:bCs/>
                <w:color w:val="FFFFFF"/>
                <w:lang w:eastAsia="fr-FR"/>
              </w:rPr>
            </w:pPr>
            <w:r w:rsidRPr="0046097C">
              <w:rPr>
                <w:rFonts w:ascii="Tw Cen MT" w:hAnsi="Tw Cen MT" w:cs="Calibri"/>
                <w:b/>
                <w:bCs/>
                <w:color w:val="FFFFFF"/>
                <w:lang w:eastAsia="fr-FR"/>
              </w:rPr>
              <w:t>Organismes Collecteurs</w:t>
            </w:r>
          </w:p>
        </w:tc>
        <w:tc>
          <w:tcPr>
            <w:tcW w:w="4961" w:type="dxa"/>
            <w:tcBorders>
              <w:top w:val="single" w:sz="4" w:space="0" w:color="auto"/>
              <w:left w:val="single" w:sz="4" w:space="0" w:color="auto"/>
              <w:bottom w:val="single" w:sz="4" w:space="0" w:color="auto"/>
            </w:tcBorders>
            <w:shd w:val="clear" w:color="000000" w:fill="00B0F0"/>
            <w:noWrap/>
            <w:vAlign w:val="bottom"/>
            <w:hideMark/>
          </w:tcPr>
          <w:p w14:paraId="454F3077" w14:textId="77777777" w:rsidR="0046097C" w:rsidRPr="0046097C" w:rsidRDefault="0046097C" w:rsidP="0046097C">
            <w:pPr>
              <w:rPr>
                <w:rFonts w:ascii="Tw Cen MT" w:hAnsi="Tw Cen MT" w:cs="Calibri"/>
                <w:b/>
                <w:bCs/>
                <w:color w:val="FFFFFF"/>
                <w:lang w:eastAsia="fr-FR"/>
              </w:rPr>
            </w:pPr>
            <w:r w:rsidRPr="0046097C">
              <w:rPr>
                <w:rFonts w:ascii="Tw Cen MT" w:hAnsi="Tw Cen MT" w:cs="Calibri"/>
                <w:b/>
                <w:bCs/>
                <w:color w:val="FFFFFF"/>
                <w:lang w:eastAsia="fr-FR"/>
              </w:rPr>
              <w:t>Nomenclature des flux</w:t>
            </w:r>
          </w:p>
        </w:tc>
      </w:tr>
      <w:tr w:rsidR="0046097C" w:rsidRPr="0046097C" w14:paraId="071EEF76" w14:textId="77777777" w:rsidTr="00851ED2">
        <w:trPr>
          <w:trHeight w:val="255"/>
        </w:trPr>
        <w:tc>
          <w:tcPr>
            <w:tcW w:w="4248" w:type="dxa"/>
            <w:tcBorders>
              <w:top w:val="single" w:sz="4" w:space="0" w:color="auto"/>
              <w:right w:val="single" w:sz="4" w:space="0" w:color="auto"/>
            </w:tcBorders>
            <w:shd w:val="clear" w:color="auto" w:fill="auto"/>
            <w:noWrap/>
            <w:vAlign w:val="bottom"/>
            <w:hideMark/>
          </w:tcPr>
          <w:p w14:paraId="3486CA51" w14:textId="4D9B911E" w:rsidR="0046097C" w:rsidRPr="0046097C" w:rsidRDefault="0046097C" w:rsidP="0046097C">
            <w:pPr>
              <w:rPr>
                <w:rFonts w:ascii="Tw Cen MT" w:hAnsi="Tw Cen MT" w:cs="Calibri"/>
                <w:b/>
                <w:bCs/>
                <w:color w:val="000000"/>
                <w:lang w:eastAsia="fr-FR"/>
              </w:rPr>
            </w:pPr>
            <w:r w:rsidRPr="0046097C">
              <w:rPr>
                <w:rFonts w:ascii="Tw Cen MT" w:hAnsi="Tw Cen MT" w:cs="Calibri"/>
                <w:b/>
                <w:bCs/>
                <w:color w:val="000000"/>
                <w:lang w:eastAsia="fr-FR"/>
              </w:rPr>
              <w:t>Direction Générale des Douanes (DGD)</w:t>
            </w:r>
          </w:p>
        </w:tc>
        <w:tc>
          <w:tcPr>
            <w:tcW w:w="4961" w:type="dxa"/>
            <w:tcBorders>
              <w:top w:val="single" w:sz="4" w:space="0" w:color="auto"/>
              <w:left w:val="single" w:sz="4" w:space="0" w:color="auto"/>
            </w:tcBorders>
            <w:shd w:val="clear" w:color="auto" w:fill="auto"/>
            <w:noWrap/>
            <w:vAlign w:val="bottom"/>
            <w:hideMark/>
          </w:tcPr>
          <w:p w14:paraId="320C4EA2" w14:textId="2B603713"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Droit</w:t>
            </w:r>
            <w:r>
              <w:rPr>
                <w:rFonts w:ascii="Tw Cen MT" w:hAnsi="Tw Cen MT" w:cs="Calibri"/>
                <w:color w:val="000000"/>
                <w:lang w:eastAsia="fr-FR"/>
              </w:rPr>
              <w:t>s</w:t>
            </w:r>
            <w:r w:rsidRPr="00851ED2">
              <w:rPr>
                <w:rFonts w:ascii="Tw Cen MT" w:hAnsi="Tw Cen MT" w:cs="Calibri"/>
                <w:color w:val="000000"/>
                <w:lang w:eastAsia="fr-FR"/>
              </w:rPr>
              <w:t xml:space="preserve"> de </w:t>
            </w:r>
            <w:r>
              <w:rPr>
                <w:rFonts w:ascii="Tw Cen MT" w:hAnsi="Tw Cen MT" w:cs="Calibri"/>
                <w:color w:val="000000"/>
                <w:lang w:eastAsia="fr-FR"/>
              </w:rPr>
              <w:t>D</w:t>
            </w:r>
            <w:r w:rsidRPr="00851ED2">
              <w:rPr>
                <w:rFonts w:ascii="Tw Cen MT" w:hAnsi="Tw Cen MT" w:cs="Calibri"/>
                <w:color w:val="000000"/>
                <w:lang w:eastAsia="fr-FR"/>
              </w:rPr>
              <w:t xml:space="preserve">ouane </w:t>
            </w:r>
          </w:p>
        </w:tc>
      </w:tr>
      <w:tr w:rsidR="0046097C" w:rsidRPr="0046097C" w14:paraId="21C7AD4C" w14:textId="77777777" w:rsidTr="00851ED2">
        <w:trPr>
          <w:trHeight w:val="255"/>
        </w:trPr>
        <w:tc>
          <w:tcPr>
            <w:tcW w:w="4248" w:type="dxa"/>
            <w:tcBorders>
              <w:bottom w:val="single" w:sz="4" w:space="0" w:color="auto"/>
              <w:right w:val="single" w:sz="4" w:space="0" w:color="auto"/>
            </w:tcBorders>
            <w:shd w:val="clear" w:color="auto" w:fill="auto"/>
            <w:noWrap/>
            <w:vAlign w:val="bottom"/>
            <w:hideMark/>
          </w:tcPr>
          <w:p w14:paraId="0A8CB98A"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bottom w:val="single" w:sz="4" w:space="0" w:color="auto"/>
            </w:tcBorders>
            <w:shd w:val="clear" w:color="auto" w:fill="auto"/>
            <w:noWrap/>
            <w:vAlign w:val="bottom"/>
            <w:hideMark/>
          </w:tcPr>
          <w:p w14:paraId="53B6AAEA"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Pénalités et contentieux</w:t>
            </w:r>
          </w:p>
        </w:tc>
      </w:tr>
      <w:tr w:rsidR="0046097C" w:rsidRPr="0046097C" w14:paraId="34C2050E" w14:textId="77777777" w:rsidTr="00851ED2">
        <w:trPr>
          <w:trHeight w:val="255"/>
        </w:trPr>
        <w:tc>
          <w:tcPr>
            <w:tcW w:w="4248" w:type="dxa"/>
            <w:tcBorders>
              <w:top w:val="single" w:sz="4" w:space="0" w:color="auto"/>
              <w:bottom w:val="nil"/>
              <w:right w:val="single" w:sz="4" w:space="0" w:color="auto"/>
            </w:tcBorders>
            <w:shd w:val="clear" w:color="auto" w:fill="auto"/>
            <w:noWrap/>
            <w:vAlign w:val="bottom"/>
            <w:hideMark/>
          </w:tcPr>
          <w:p w14:paraId="045011BB" w14:textId="77777777" w:rsidR="0046097C" w:rsidRPr="0046097C" w:rsidRDefault="0046097C" w:rsidP="0046097C">
            <w:pPr>
              <w:rPr>
                <w:rFonts w:ascii="Tw Cen MT" w:hAnsi="Tw Cen MT" w:cs="Calibri"/>
                <w:b/>
                <w:bCs/>
                <w:color w:val="000000"/>
                <w:lang w:eastAsia="fr-FR"/>
              </w:rPr>
            </w:pPr>
            <w:r w:rsidRPr="0046097C">
              <w:rPr>
                <w:rFonts w:ascii="Tw Cen MT" w:hAnsi="Tw Cen MT" w:cs="Calibri"/>
                <w:b/>
                <w:bCs/>
                <w:color w:val="000000"/>
                <w:lang w:eastAsia="fr-FR"/>
              </w:rPr>
              <w:t>Direction des Grandes Entreprises (DGE)</w:t>
            </w:r>
          </w:p>
        </w:tc>
        <w:tc>
          <w:tcPr>
            <w:tcW w:w="4961" w:type="dxa"/>
            <w:tcBorders>
              <w:top w:val="single" w:sz="4" w:space="0" w:color="auto"/>
              <w:left w:val="single" w:sz="4" w:space="0" w:color="auto"/>
              <w:bottom w:val="nil"/>
            </w:tcBorders>
            <w:shd w:val="clear" w:color="auto" w:fill="auto"/>
            <w:noWrap/>
            <w:vAlign w:val="bottom"/>
            <w:hideMark/>
          </w:tcPr>
          <w:p w14:paraId="0EC4F39A" w14:textId="09B69F3A"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 xml:space="preserve">Contribution </w:t>
            </w:r>
            <w:r>
              <w:rPr>
                <w:rFonts w:ascii="Tw Cen MT" w:hAnsi="Tw Cen MT" w:cs="Calibri"/>
                <w:color w:val="000000"/>
                <w:lang w:eastAsia="fr-FR"/>
              </w:rPr>
              <w:t>F</w:t>
            </w:r>
            <w:r w:rsidRPr="00851ED2">
              <w:rPr>
                <w:rFonts w:ascii="Tw Cen MT" w:hAnsi="Tw Cen MT" w:cs="Calibri"/>
                <w:color w:val="000000"/>
                <w:lang w:eastAsia="fr-FR"/>
              </w:rPr>
              <w:t>orfaitaire à la charge de l’</w:t>
            </w:r>
            <w:r>
              <w:rPr>
                <w:rFonts w:ascii="Tw Cen MT" w:hAnsi="Tw Cen MT" w:cs="Calibri"/>
                <w:color w:val="000000"/>
                <w:lang w:eastAsia="fr-FR"/>
              </w:rPr>
              <w:t>E</w:t>
            </w:r>
            <w:r w:rsidRPr="00851ED2">
              <w:rPr>
                <w:rFonts w:ascii="Tw Cen MT" w:hAnsi="Tw Cen MT" w:cs="Calibri"/>
                <w:color w:val="000000"/>
                <w:lang w:eastAsia="fr-FR"/>
              </w:rPr>
              <w:t>mployeur</w:t>
            </w:r>
          </w:p>
        </w:tc>
      </w:tr>
      <w:tr w:rsidR="0046097C" w:rsidRPr="0046097C" w14:paraId="14DD945A" w14:textId="77777777" w:rsidTr="00851ED2">
        <w:trPr>
          <w:trHeight w:val="255"/>
        </w:trPr>
        <w:tc>
          <w:tcPr>
            <w:tcW w:w="4248" w:type="dxa"/>
            <w:tcBorders>
              <w:top w:val="nil"/>
              <w:right w:val="single" w:sz="4" w:space="0" w:color="auto"/>
            </w:tcBorders>
            <w:shd w:val="clear" w:color="auto" w:fill="auto"/>
            <w:noWrap/>
            <w:vAlign w:val="bottom"/>
            <w:hideMark/>
          </w:tcPr>
          <w:p w14:paraId="1248C713" w14:textId="77777777" w:rsidR="0046097C" w:rsidRPr="0046097C" w:rsidRDefault="0046097C" w:rsidP="0046097C">
            <w:pPr>
              <w:rPr>
                <w:rFonts w:ascii="Tw Cen MT" w:hAnsi="Tw Cen MT" w:cs="Calibri"/>
                <w:color w:val="000000"/>
                <w:lang w:eastAsia="fr-FR"/>
              </w:rPr>
            </w:pPr>
          </w:p>
        </w:tc>
        <w:tc>
          <w:tcPr>
            <w:tcW w:w="4961" w:type="dxa"/>
            <w:tcBorders>
              <w:top w:val="nil"/>
              <w:left w:val="single" w:sz="4" w:space="0" w:color="auto"/>
            </w:tcBorders>
            <w:shd w:val="clear" w:color="auto" w:fill="auto"/>
            <w:noWrap/>
            <w:vAlign w:val="bottom"/>
            <w:hideMark/>
          </w:tcPr>
          <w:p w14:paraId="0D09E757" w14:textId="4FB87C0A"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 xml:space="preserve">Contribution Générale de </w:t>
            </w:r>
            <w:r>
              <w:rPr>
                <w:rFonts w:ascii="Tw Cen MT" w:hAnsi="Tw Cen MT" w:cs="Calibri"/>
                <w:color w:val="000000"/>
                <w:lang w:eastAsia="fr-FR"/>
              </w:rPr>
              <w:t>S</w:t>
            </w:r>
            <w:r w:rsidRPr="00851ED2">
              <w:rPr>
                <w:rFonts w:ascii="Tw Cen MT" w:hAnsi="Tw Cen MT" w:cs="Calibri"/>
                <w:color w:val="000000"/>
                <w:lang w:eastAsia="fr-FR"/>
              </w:rPr>
              <w:t>olidarité</w:t>
            </w:r>
            <w:r>
              <w:rPr>
                <w:rFonts w:ascii="Tw Cen MT" w:hAnsi="Tw Cen MT" w:cs="Calibri"/>
                <w:color w:val="000000"/>
                <w:lang w:eastAsia="fr-FR"/>
              </w:rPr>
              <w:t xml:space="preserve"> (CGS)*</w:t>
            </w:r>
            <w:r w:rsidR="00A255CD">
              <w:rPr>
                <w:rFonts w:ascii="Tw Cen MT" w:hAnsi="Tw Cen MT" w:cs="Calibri"/>
                <w:color w:val="000000"/>
                <w:lang w:eastAsia="fr-FR"/>
              </w:rPr>
              <w:t>*</w:t>
            </w:r>
          </w:p>
        </w:tc>
      </w:tr>
      <w:tr w:rsidR="0046097C" w:rsidRPr="0046097C" w14:paraId="54C7A93B" w14:textId="77777777" w:rsidTr="00851ED2">
        <w:trPr>
          <w:trHeight w:val="255"/>
        </w:trPr>
        <w:tc>
          <w:tcPr>
            <w:tcW w:w="4248" w:type="dxa"/>
            <w:tcBorders>
              <w:right w:val="single" w:sz="4" w:space="0" w:color="auto"/>
            </w:tcBorders>
            <w:shd w:val="clear" w:color="auto" w:fill="auto"/>
            <w:noWrap/>
            <w:vAlign w:val="bottom"/>
            <w:hideMark/>
          </w:tcPr>
          <w:p w14:paraId="2D865FBF"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tcBorders>
            <w:shd w:val="clear" w:color="auto" w:fill="auto"/>
            <w:noWrap/>
            <w:vAlign w:val="bottom"/>
            <w:hideMark/>
          </w:tcPr>
          <w:p w14:paraId="1713F3B0" w14:textId="0E79B33E"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 xml:space="preserve">Contribution pour </w:t>
            </w:r>
            <w:r>
              <w:rPr>
                <w:rFonts w:ascii="Tw Cen MT" w:hAnsi="Tw Cen MT" w:cs="Calibri"/>
                <w:color w:val="000000"/>
                <w:lang w:eastAsia="fr-FR"/>
              </w:rPr>
              <w:t>P</w:t>
            </w:r>
            <w:r w:rsidRPr="00851ED2">
              <w:rPr>
                <w:rFonts w:ascii="Tw Cen MT" w:hAnsi="Tw Cen MT" w:cs="Calibri"/>
                <w:color w:val="000000"/>
                <w:lang w:eastAsia="fr-FR"/>
              </w:rPr>
              <w:t xml:space="preserve">restation de </w:t>
            </w:r>
            <w:r>
              <w:rPr>
                <w:rFonts w:ascii="Tw Cen MT" w:hAnsi="Tw Cen MT" w:cs="Calibri"/>
                <w:color w:val="000000"/>
                <w:lang w:eastAsia="fr-FR"/>
              </w:rPr>
              <w:t>S</w:t>
            </w:r>
            <w:r w:rsidRPr="00851ED2">
              <w:rPr>
                <w:rFonts w:ascii="Tw Cen MT" w:hAnsi="Tw Cen MT" w:cs="Calibri"/>
                <w:color w:val="000000"/>
                <w:lang w:eastAsia="fr-FR"/>
              </w:rPr>
              <w:t>ervice rendu</w:t>
            </w:r>
          </w:p>
        </w:tc>
      </w:tr>
      <w:tr w:rsidR="0046097C" w:rsidRPr="0046097C" w14:paraId="2BFED3C6" w14:textId="77777777" w:rsidTr="00851ED2">
        <w:trPr>
          <w:trHeight w:val="255"/>
        </w:trPr>
        <w:tc>
          <w:tcPr>
            <w:tcW w:w="4248" w:type="dxa"/>
            <w:tcBorders>
              <w:right w:val="single" w:sz="4" w:space="0" w:color="auto"/>
            </w:tcBorders>
            <w:shd w:val="clear" w:color="auto" w:fill="auto"/>
            <w:noWrap/>
            <w:vAlign w:val="bottom"/>
            <w:hideMark/>
          </w:tcPr>
          <w:p w14:paraId="6BA740E0"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tcBorders>
            <w:shd w:val="clear" w:color="auto" w:fill="auto"/>
            <w:noWrap/>
            <w:vAlign w:val="bottom"/>
            <w:hideMark/>
          </w:tcPr>
          <w:p w14:paraId="0A70C1B2"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Droit de Timbre</w:t>
            </w:r>
          </w:p>
        </w:tc>
      </w:tr>
      <w:tr w:rsidR="0046097C" w:rsidRPr="0046097C" w14:paraId="41A2932D" w14:textId="77777777" w:rsidTr="00851ED2">
        <w:trPr>
          <w:trHeight w:val="255"/>
        </w:trPr>
        <w:tc>
          <w:tcPr>
            <w:tcW w:w="4248" w:type="dxa"/>
            <w:tcBorders>
              <w:right w:val="single" w:sz="4" w:space="0" w:color="auto"/>
            </w:tcBorders>
            <w:shd w:val="clear" w:color="auto" w:fill="auto"/>
            <w:noWrap/>
            <w:vAlign w:val="bottom"/>
            <w:hideMark/>
          </w:tcPr>
          <w:p w14:paraId="42428D21"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tcBorders>
            <w:shd w:val="clear" w:color="auto" w:fill="auto"/>
            <w:noWrap/>
            <w:vAlign w:val="bottom"/>
            <w:hideMark/>
          </w:tcPr>
          <w:p w14:paraId="0E2CF266" w14:textId="4772C41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Droit d'</w:t>
            </w:r>
            <w:r>
              <w:rPr>
                <w:rFonts w:ascii="Tw Cen MT" w:hAnsi="Tw Cen MT" w:cs="Calibri"/>
                <w:color w:val="000000"/>
                <w:lang w:eastAsia="fr-FR"/>
              </w:rPr>
              <w:t>E</w:t>
            </w:r>
            <w:r w:rsidRPr="00851ED2">
              <w:rPr>
                <w:rFonts w:ascii="Tw Cen MT" w:hAnsi="Tw Cen MT" w:cs="Calibri"/>
                <w:color w:val="000000"/>
                <w:lang w:eastAsia="fr-FR"/>
              </w:rPr>
              <w:t>nregistrement</w:t>
            </w:r>
          </w:p>
        </w:tc>
      </w:tr>
      <w:tr w:rsidR="0046097C" w:rsidRPr="0046097C" w14:paraId="675D85B9" w14:textId="77777777" w:rsidTr="00851ED2">
        <w:trPr>
          <w:trHeight w:val="255"/>
        </w:trPr>
        <w:tc>
          <w:tcPr>
            <w:tcW w:w="4248" w:type="dxa"/>
            <w:tcBorders>
              <w:right w:val="single" w:sz="4" w:space="0" w:color="auto"/>
            </w:tcBorders>
            <w:shd w:val="clear" w:color="auto" w:fill="auto"/>
            <w:noWrap/>
            <w:vAlign w:val="bottom"/>
            <w:hideMark/>
          </w:tcPr>
          <w:p w14:paraId="7A401A38"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tcBorders>
            <w:shd w:val="clear" w:color="auto" w:fill="auto"/>
            <w:noWrap/>
            <w:vAlign w:val="bottom"/>
            <w:hideMark/>
          </w:tcPr>
          <w:p w14:paraId="083AE1F0" w14:textId="12ED88E0"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 xml:space="preserve">Impôt </w:t>
            </w:r>
            <w:r>
              <w:rPr>
                <w:rFonts w:ascii="Tw Cen MT" w:hAnsi="Tw Cen MT" w:cs="Calibri"/>
                <w:color w:val="000000"/>
                <w:lang w:eastAsia="fr-FR"/>
              </w:rPr>
              <w:t>S</w:t>
            </w:r>
            <w:r w:rsidRPr="00851ED2">
              <w:rPr>
                <w:rFonts w:ascii="Tw Cen MT" w:hAnsi="Tw Cen MT" w:cs="Calibri"/>
                <w:color w:val="000000"/>
                <w:lang w:eastAsia="fr-FR"/>
              </w:rPr>
              <w:t xml:space="preserve">pécial sur </w:t>
            </w:r>
            <w:r>
              <w:rPr>
                <w:rFonts w:ascii="Tw Cen MT" w:hAnsi="Tw Cen MT" w:cs="Calibri"/>
                <w:color w:val="000000"/>
                <w:lang w:eastAsia="fr-FR"/>
              </w:rPr>
              <w:t>C</w:t>
            </w:r>
            <w:r w:rsidRPr="00851ED2">
              <w:rPr>
                <w:rFonts w:ascii="Tw Cen MT" w:hAnsi="Tw Cen MT" w:cs="Calibri"/>
                <w:color w:val="000000"/>
                <w:lang w:eastAsia="fr-FR"/>
              </w:rPr>
              <w:t xml:space="preserve">ertains </w:t>
            </w:r>
            <w:r>
              <w:rPr>
                <w:rFonts w:ascii="Tw Cen MT" w:hAnsi="Tw Cen MT" w:cs="Calibri"/>
                <w:color w:val="000000"/>
                <w:lang w:eastAsia="fr-FR"/>
              </w:rPr>
              <w:t>P</w:t>
            </w:r>
            <w:r w:rsidRPr="00851ED2">
              <w:rPr>
                <w:rFonts w:ascii="Tw Cen MT" w:hAnsi="Tw Cen MT" w:cs="Calibri"/>
                <w:color w:val="000000"/>
                <w:lang w:eastAsia="fr-FR"/>
              </w:rPr>
              <w:t>roduits (ISCP)</w:t>
            </w:r>
          </w:p>
        </w:tc>
      </w:tr>
      <w:tr w:rsidR="0046097C" w:rsidRPr="0046097C" w14:paraId="79486E0B" w14:textId="77777777" w:rsidTr="00851ED2">
        <w:trPr>
          <w:trHeight w:val="255"/>
        </w:trPr>
        <w:tc>
          <w:tcPr>
            <w:tcW w:w="4248" w:type="dxa"/>
            <w:tcBorders>
              <w:right w:val="single" w:sz="4" w:space="0" w:color="auto"/>
            </w:tcBorders>
            <w:shd w:val="clear" w:color="auto" w:fill="auto"/>
            <w:noWrap/>
            <w:vAlign w:val="bottom"/>
            <w:hideMark/>
          </w:tcPr>
          <w:p w14:paraId="04B21C0D"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tcBorders>
            <w:shd w:val="clear" w:color="auto" w:fill="auto"/>
            <w:noWrap/>
            <w:vAlign w:val="bottom"/>
            <w:hideMark/>
          </w:tcPr>
          <w:p w14:paraId="3FEAD50C" w14:textId="48063C06"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 xml:space="preserve">Impôt sur le </w:t>
            </w:r>
            <w:r>
              <w:rPr>
                <w:rFonts w:ascii="Tw Cen MT" w:hAnsi="Tw Cen MT" w:cs="Calibri"/>
                <w:color w:val="000000"/>
                <w:lang w:eastAsia="fr-FR"/>
              </w:rPr>
              <w:t>T</w:t>
            </w:r>
            <w:r w:rsidRPr="00851ED2">
              <w:rPr>
                <w:rFonts w:ascii="Tw Cen MT" w:hAnsi="Tw Cen MT" w:cs="Calibri"/>
                <w:color w:val="000000"/>
                <w:lang w:eastAsia="fr-FR"/>
              </w:rPr>
              <w:t xml:space="preserve">raitement des </w:t>
            </w:r>
            <w:r>
              <w:rPr>
                <w:rFonts w:ascii="Tw Cen MT" w:hAnsi="Tw Cen MT" w:cs="Calibri"/>
                <w:color w:val="000000"/>
                <w:lang w:eastAsia="fr-FR"/>
              </w:rPr>
              <w:t>S</w:t>
            </w:r>
            <w:r w:rsidRPr="00851ED2">
              <w:rPr>
                <w:rFonts w:ascii="Tw Cen MT" w:hAnsi="Tw Cen MT" w:cs="Calibri"/>
                <w:color w:val="000000"/>
                <w:lang w:eastAsia="fr-FR"/>
              </w:rPr>
              <w:t>alaires</w:t>
            </w:r>
            <w:r>
              <w:rPr>
                <w:rFonts w:ascii="Tw Cen MT" w:hAnsi="Tw Cen MT" w:cs="Calibri"/>
                <w:color w:val="000000"/>
                <w:lang w:eastAsia="fr-FR"/>
              </w:rPr>
              <w:t xml:space="preserve"> (ITS)</w:t>
            </w:r>
          </w:p>
        </w:tc>
      </w:tr>
      <w:tr w:rsidR="0046097C" w:rsidRPr="0046097C" w14:paraId="1A3E5169" w14:textId="77777777" w:rsidTr="00851ED2">
        <w:trPr>
          <w:trHeight w:val="255"/>
        </w:trPr>
        <w:tc>
          <w:tcPr>
            <w:tcW w:w="4248" w:type="dxa"/>
            <w:tcBorders>
              <w:right w:val="single" w:sz="4" w:space="0" w:color="auto"/>
            </w:tcBorders>
            <w:shd w:val="clear" w:color="auto" w:fill="auto"/>
            <w:noWrap/>
            <w:vAlign w:val="bottom"/>
            <w:hideMark/>
          </w:tcPr>
          <w:p w14:paraId="13E3F5C4"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tcBorders>
            <w:shd w:val="clear" w:color="auto" w:fill="auto"/>
            <w:noWrap/>
            <w:vAlign w:val="bottom"/>
            <w:hideMark/>
          </w:tcPr>
          <w:p w14:paraId="2B58164E" w14:textId="6015F020"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 xml:space="preserve">Impôt sur les </w:t>
            </w:r>
            <w:r>
              <w:rPr>
                <w:rFonts w:ascii="Tw Cen MT" w:hAnsi="Tw Cen MT" w:cs="Calibri"/>
                <w:color w:val="000000"/>
                <w:lang w:eastAsia="fr-FR"/>
              </w:rPr>
              <w:t>S</w:t>
            </w:r>
            <w:r w:rsidRPr="00851ED2">
              <w:rPr>
                <w:rFonts w:ascii="Tw Cen MT" w:hAnsi="Tw Cen MT" w:cs="Calibri"/>
                <w:color w:val="000000"/>
                <w:lang w:eastAsia="fr-FR"/>
              </w:rPr>
              <w:t>ociétés</w:t>
            </w:r>
            <w:r>
              <w:rPr>
                <w:rFonts w:ascii="Tw Cen MT" w:hAnsi="Tw Cen MT" w:cs="Calibri"/>
                <w:color w:val="000000"/>
                <w:lang w:eastAsia="fr-FR"/>
              </w:rPr>
              <w:t xml:space="preserve"> (IS)</w:t>
            </w:r>
          </w:p>
        </w:tc>
      </w:tr>
      <w:tr w:rsidR="0046097C" w:rsidRPr="0046097C" w14:paraId="108FDBD3" w14:textId="77777777" w:rsidTr="00851ED2">
        <w:trPr>
          <w:trHeight w:val="255"/>
        </w:trPr>
        <w:tc>
          <w:tcPr>
            <w:tcW w:w="4248" w:type="dxa"/>
            <w:tcBorders>
              <w:right w:val="single" w:sz="4" w:space="0" w:color="auto"/>
            </w:tcBorders>
            <w:shd w:val="clear" w:color="auto" w:fill="auto"/>
            <w:noWrap/>
            <w:vAlign w:val="bottom"/>
            <w:hideMark/>
          </w:tcPr>
          <w:p w14:paraId="0CF5F0AB"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tcBorders>
            <w:shd w:val="clear" w:color="auto" w:fill="auto"/>
            <w:noWrap/>
            <w:vAlign w:val="bottom"/>
            <w:hideMark/>
          </w:tcPr>
          <w:p w14:paraId="521E8518" w14:textId="399DF9D5" w:rsidR="0046097C" w:rsidRPr="00851ED2" w:rsidRDefault="0046097C" w:rsidP="00851ED2">
            <w:pPr>
              <w:pStyle w:val="Paragraphedeliste"/>
              <w:numPr>
                <w:ilvl w:val="0"/>
                <w:numId w:val="26"/>
              </w:numPr>
              <w:ind w:left="493"/>
              <w:rPr>
                <w:rFonts w:ascii="Tw Cen MT" w:hAnsi="Tw Cen MT" w:cs="Calibri"/>
                <w:color w:val="000000"/>
                <w:lang w:eastAsia="fr-FR"/>
              </w:rPr>
            </w:pPr>
            <w:r w:rsidRPr="0046097C">
              <w:rPr>
                <w:rFonts w:ascii="Tw Cen MT" w:hAnsi="Tw Cen MT" w:cs="Calibri"/>
                <w:color w:val="000000"/>
                <w:lang w:eastAsia="fr-FR"/>
              </w:rPr>
              <w:t>Impôt sur le Revenu des Valeurs Mobilières</w:t>
            </w:r>
            <w:r>
              <w:rPr>
                <w:rFonts w:ascii="Tw Cen MT" w:hAnsi="Tw Cen MT" w:cs="Calibri"/>
                <w:color w:val="000000"/>
                <w:lang w:eastAsia="fr-FR"/>
              </w:rPr>
              <w:t xml:space="preserve"> (</w:t>
            </w:r>
            <w:r w:rsidRPr="00851ED2">
              <w:rPr>
                <w:rFonts w:ascii="Tw Cen MT" w:hAnsi="Tw Cen MT" w:cs="Calibri"/>
                <w:color w:val="000000"/>
                <w:lang w:eastAsia="fr-FR"/>
              </w:rPr>
              <w:t>IRVM</w:t>
            </w:r>
            <w:r>
              <w:rPr>
                <w:rFonts w:ascii="Tw Cen MT" w:hAnsi="Tw Cen MT" w:cs="Calibri"/>
                <w:color w:val="000000"/>
                <w:lang w:eastAsia="fr-FR"/>
              </w:rPr>
              <w:t>)</w:t>
            </w:r>
          </w:p>
        </w:tc>
      </w:tr>
      <w:tr w:rsidR="0046097C" w:rsidRPr="0046097C" w14:paraId="2205B74A" w14:textId="77777777" w:rsidTr="00851ED2">
        <w:trPr>
          <w:trHeight w:val="255"/>
        </w:trPr>
        <w:tc>
          <w:tcPr>
            <w:tcW w:w="4248" w:type="dxa"/>
            <w:tcBorders>
              <w:right w:val="single" w:sz="4" w:space="0" w:color="auto"/>
            </w:tcBorders>
            <w:shd w:val="clear" w:color="auto" w:fill="auto"/>
            <w:noWrap/>
            <w:vAlign w:val="bottom"/>
            <w:hideMark/>
          </w:tcPr>
          <w:p w14:paraId="20991AD1"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tcBorders>
            <w:shd w:val="clear" w:color="auto" w:fill="auto"/>
            <w:noWrap/>
            <w:vAlign w:val="bottom"/>
            <w:hideMark/>
          </w:tcPr>
          <w:p w14:paraId="2CA699B8" w14:textId="4FDACA74"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Pénalités</w:t>
            </w:r>
            <w:r>
              <w:rPr>
                <w:rFonts w:ascii="Tw Cen MT" w:hAnsi="Tw Cen MT" w:cs="Calibri"/>
                <w:color w:val="000000"/>
                <w:lang w:eastAsia="fr-FR"/>
              </w:rPr>
              <w:t xml:space="preserve"> </w:t>
            </w:r>
          </w:p>
        </w:tc>
      </w:tr>
      <w:tr w:rsidR="0046097C" w:rsidRPr="0046097C" w14:paraId="2EEBB503" w14:textId="77777777" w:rsidTr="00851ED2">
        <w:trPr>
          <w:trHeight w:val="255"/>
        </w:trPr>
        <w:tc>
          <w:tcPr>
            <w:tcW w:w="4248" w:type="dxa"/>
            <w:tcBorders>
              <w:right w:val="single" w:sz="4" w:space="0" w:color="auto"/>
            </w:tcBorders>
            <w:shd w:val="clear" w:color="auto" w:fill="auto"/>
            <w:noWrap/>
            <w:vAlign w:val="bottom"/>
            <w:hideMark/>
          </w:tcPr>
          <w:p w14:paraId="2D81C9AC"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tcBorders>
            <w:shd w:val="clear" w:color="auto" w:fill="auto"/>
            <w:noWrap/>
            <w:vAlign w:val="bottom"/>
            <w:hideMark/>
          </w:tcPr>
          <w:p w14:paraId="6722857A" w14:textId="449CF992"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Retenues</w:t>
            </w:r>
            <w:r>
              <w:rPr>
                <w:rFonts w:ascii="Tw Cen MT" w:hAnsi="Tw Cen MT" w:cs="Calibri"/>
                <w:color w:val="000000"/>
                <w:lang w:eastAsia="fr-FR"/>
              </w:rPr>
              <w:t xml:space="preserve"> </w:t>
            </w:r>
            <w:r w:rsidRPr="0046097C">
              <w:rPr>
                <w:rFonts w:ascii="Tw Cen MT" w:hAnsi="Tw Cen MT" w:cs="Calibri"/>
                <w:color w:val="000000"/>
                <w:lang w:eastAsia="fr-FR"/>
              </w:rPr>
              <w:t>Impôt</w:t>
            </w:r>
            <w:r>
              <w:rPr>
                <w:rFonts w:ascii="Tw Cen MT" w:hAnsi="Tw Cen MT" w:cs="Calibri"/>
                <w:color w:val="000000"/>
                <w:lang w:eastAsia="fr-FR"/>
              </w:rPr>
              <w:t>s</w:t>
            </w:r>
            <w:r w:rsidRPr="0046097C">
              <w:rPr>
                <w:rFonts w:ascii="Tw Cen MT" w:hAnsi="Tw Cen MT" w:cs="Calibri"/>
                <w:color w:val="000000"/>
                <w:lang w:eastAsia="fr-FR"/>
              </w:rPr>
              <w:t xml:space="preserve"> sur les Bénéfices Industriels et Commerciaux</w:t>
            </w:r>
            <w:r w:rsidRPr="00851ED2">
              <w:rPr>
                <w:rFonts w:ascii="Tw Cen MT" w:hAnsi="Tw Cen MT" w:cs="Calibri"/>
                <w:color w:val="000000"/>
                <w:lang w:eastAsia="fr-FR"/>
              </w:rPr>
              <w:t xml:space="preserve"> </w:t>
            </w:r>
            <w:r>
              <w:rPr>
                <w:rFonts w:ascii="Tw Cen MT" w:hAnsi="Tw Cen MT" w:cs="Calibri"/>
                <w:color w:val="000000"/>
                <w:lang w:eastAsia="fr-FR"/>
              </w:rPr>
              <w:t>(I</w:t>
            </w:r>
            <w:r w:rsidRPr="00851ED2">
              <w:rPr>
                <w:rFonts w:ascii="Tw Cen MT" w:hAnsi="Tw Cen MT" w:cs="Calibri"/>
                <w:color w:val="000000"/>
                <w:lang w:eastAsia="fr-FR"/>
              </w:rPr>
              <w:t>BIC</w:t>
            </w:r>
            <w:r>
              <w:rPr>
                <w:rFonts w:ascii="Tw Cen MT" w:hAnsi="Tw Cen MT" w:cs="Calibri"/>
                <w:color w:val="000000"/>
                <w:lang w:eastAsia="fr-FR"/>
              </w:rPr>
              <w:t>)</w:t>
            </w:r>
          </w:p>
        </w:tc>
      </w:tr>
      <w:tr w:rsidR="0046097C" w:rsidRPr="0046097C" w14:paraId="008B73EE" w14:textId="77777777" w:rsidTr="00851ED2">
        <w:trPr>
          <w:trHeight w:val="255"/>
        </w:trPr>
        <w:tc>
          <w:tcPr>
            <w:tcW w:w="4248" w:type="dxa"/>
            <w:tcBorders>
              <w:right w:val="single" w:sz="4" w:space="0" w:color="auto"/>
            </w:tcBorders>
            <w:shd w:val="clear" w:color="auto" w:fill="auto"/>
            <w:noWrap/>
            <w:vAlign w:val="bottom"/>
            <w:hideMark/>
          </w:tcPr>
          <w:p w14:paraId="491DD682"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tcBorders>
            <w:shd w:val="clear" w:color="auto" w:fill="auto"/>
            <w:noWrap/>
            <w:vAlign w:val="bottom"/>
            <w:hideMark/>
          </w:tcPr>
          <w:p w14:paraId="18BB280C" w14:textId="4D8201AE"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 xml:space="preserve">Retenues </w:t>
            </w:r>
            <w:r w:rsidRPr="00A255CD">
              <w:rPr>
                <w:rFonts w:ascii="Tw Cen MT" w:hAnsi="Tw Cen MT" w:cs="Calibri"/>
                <w:color w:val="000000"/>
                <w:lang w:eastAsia="fr-FR"/>
              </w:rPr>
              <w:t>Impôt sur le Revenu Foncier</w:t>
            </w:r>
            <w:r w:rsidRPr="0046097C">
              <w:rPr>
                <w:rFonts w:ascii="Tw Cen MT" w:hAnsi="Tw Cen MT" w:cs="Calibri"/>
                <w:color w:val="000000"/>
                <w:lang w:eastAsia="fr-FR"/>
              </w:rPr>
              <w:t xml:space="preserve"> </w:t>
            </w:r>
            <w:r>
              <w:rPr>
                <w:rFonts w:ascii="Tw Cen MT" w:hAnsi="Tw Cen MT" w:cs="Calibri"/>
                <w:color w:val="000000"/>
                <w:lang w:eastAsia="fr-FR"/>
              </w:rPr>
              <w:t>(</w:t>
            </w:r>
            <w:r w:rsidRPr="00851ED2">
              <w:rPr>
                <w:rFonts w:ascii="Tw Cen MT" w:hAnsi="Tw Cen MT" w:cs="Calibri"/>
                <w:color w:val="000000"/>
                <w:lang w:eastAsia="fr-FR"/>
              </w:rPr>
              <w:t>IRF</w:t>
            </w:r>
            <w:r>
              <w:rPr>
                <w:rFonts w:ascii="Tw Cen MT" w:hAnsi="Tw Cen MT" w:cs="Calibri"/>
                <w:color w:val="000000"/>
                <w:lang w:eastAsia="fr-FR"/>
              </w:rPr>
              <w:t>)</w:t>
            </w:r>
          </w:p>
        </w:tc>
      </w:tr>
      <w:tr w:rsidR="0046097C" w:rsidRPr="0046097C" w14:paraId="4475B9B3" w14:textId="77777777" w:rsidTr="00851ED2">
        <w:trPr>
          <w:trHeight w:val="255"/>
        </w:trPr>
        <w:tc>
          <w:tcPr>
            <w:tcW w:w="4248" w:type="dxa"/>
            <w:tcBorders>
              <w:right w:val="single" w:sz="4" w:space="0" w:color="auto"/>
            </w:tcBorders>
            <w:shd w:val="clear" w:color="auto" w:fill="auto"/>
            <w:noWrap/>
            <w:vAlign w:val="bottom"/>
            <w:hideMark/>
          </w:tcPr>
          <w:p w14:paraId="097CE39C"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tcBorders>
            <w:shd w:val="clear" w:color="auto" w:fill="auto"/>
            <w:noWrap/>
            <w:vAlign w:val="bottom"/>
            <w:hideMark/>
          </w:tcPr>
          <w:p w14:paraId="17349BB6"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Retenues TVA</w:t>
            </w:r>
          </w:p>
        </w:tc>
      </w:tr>
      <w:tr w:rsidR="0046097C" w:rsidRPr="0046097C" w14:paraId="53173FCC" w14:textId="77777777" w:rsidTr="00851ED2">
        <w:trPr>
          <w:trHeight w:val="255"/>
        </w:trPr>
        <w:tc>
          <w:tcPr>
            <w:tcW w:w="4248" w:type="dxa"/>
            <w:tcBorders>
              <w:right w:val="single" w:sz="4" w:space="0" w:color="auto"/>
            </w:tcBorders>
            <w:shd w:val="clear" w:color="auto" w:fill="auto"/>
            <w:noWrap/>
            <w:vAlign w:val="bottom"/>
            <w:hideMark/>
          </w:tcPr>
          <w:p w14:paraId="1AF4458D"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tcBorders>
            <w:shd w:val="clear" w:color="auto" w:fill="auto"/>
            <w:noWrap/>
            <w:vAlign w:val="bottom"/>
            <w:hideMark/>
          </w:tcPr>
          <w:p w14:paraId="281CE028" w14:textId="78BB28CA"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 xml:space="preserve">Taxe de </w:t>
            </w:r>
            <w:r>
              <w:rPr>
                <w:rFonts w:ascii="Tw Cen MT" w:hAnsi="Tw Cen MT" w:cs="Calibri"/>
                <w:color w:val="000000"/>
                <w:lang w:eastAsia="fr-FR"/>
              </w:rPr>
              <w:t>F</w:t>
            </w:r>
            <w:r w:rsidRPr="00851ED2">
              <w:rPr>
                <w:rFonts w:ascii="Tw Cen MT" w:hAnsi="Tw Cen MT" w:cs="Calibri"/>
                <w:color w:val="000000"/>
                <w:lang w:eastAsia="fr-FR"/>
              </w:rPr>
              <w:t xml:space="preserve">ormation </w:t>
            </w:r>
            <w:r>
              <w:rPr>
                <w:rFonts w:ascii="Tw Cen MT" w:hAnsi="Tw Cen MT" w:cs="Calibri"/>
                <w:color w:val="000000"/>
                <w:lang w:eastAsia="fr-FR"/>
              </w:rPr>
              <w:t>P</w:t>
            </w:r>
            <w:r w:rsidRPr="00851ED2">
              <w:rPr>
                <w:rFonts w:ascii="Tw Cen MT" w:hAnsi="Tw Cen MT" w:cs="Calibri"/>
                <w:color w:val="000000"/>
                <w:lang w:eastAsia="fr-FR"/>
              </w:rPr>
              <w:t>rofessionnelle</w:t>
            </w:r>
            <w:r>
              <w:rPr>
                <w:rFonts w:ascii="Tw Cen MT" w:hAnsi="Tw Cen MT" w:cs="Calibri"/>
                <w:color w:val="000000"/>
                <w:lang w:eastAsia="fr-FR"/>
              </w:rPr>
              <w:t xml:space="preserve"> (TFP)</w:t>
            </w:r>
          </w:p>
        </w:tc>
      </w:tr>
      <w:tr w:rsidR="0046097C" w:rsidRPr="0046097C" w14:paraId="73795F2F" w14:textId="77777777" w:rsidTr="00851ED2">
        <w:trPr>
          <w:trHeight w:val="255"/>
        </w:trPr>
        <w:tc>
          <w:tcPr>
            <w:tcW w:w="4248" w:type="dxa"/>
            <w:tcBorders>
              <w:right w:val="single" w:sz="4" w:space="0" w:color="auto"/>
            </w:tcBorders>
            <w:shd w:val="clear" w:color="auto" w:fill="auto"/>
            <w:noWrap/>
            <w:vAlign w:val="bottom"/>
            <w:hideMark/>
          </w:tcPr>
          <w:p w14:paraId="294C7182"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tcBorders>
            <w:shd w:val="clear" w:color="auto" w:fill="auto"/>
            <w:noWrap/>
            <w:vAlign w:val="bottom"/>
            <w:hideMark/>
          </w:tcPr>
          <w:p w14:paraId="74AB612A" w14:textId="2B471A3A"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 xml:space="preserve">Taxe de </w:t>
            </w:r>
            <w:r>
              <w:rPr>
                <w:rFonts w:ascii="Tw Cen MT" w:hAnsi="Tw Cen MT" w:cs="Calibri"/>
                <w:color w:val="000000"/>
                <w:lang w:eastAsia="fr-FR"/>
              </w:rPr>
              <w:t>L</w:t>
            </w:r>
            <w:r w:rsidRPr="00851ED2">
              <w:rPr>
                <w:rFonts w:ascii="Tw Cen MT" w:hAnsi="Tw Cen MT" w:cs="Calibri"/>
                <w:color w:val="000000"/>
                <w:lang w:eastAsia="fr-FR"/>
              </w:rPr>
              <w:t>ogement</w:t>
            </w:r>
            <w:r>
              <w:rPr>
                <w:rFonts w:ascii="Tw Cen MT" w:hAnsi="Tw Cen MT" w:cs="Calibri"/>
                <w:color w:val="000000"/>
                <w:lang w:eastAsia="fr-FR"/>
              </w:rPr>
              <w:t xml:space="preserve"> (TL)</w:t>
            </w:r>
          </w:p>
        </w:tc>
      </w:tr>
      <w:tr w:rsidR="0046097C" w:rsidRPr="0046097C" w14:paraId="6768D104" w14:textId="77777777" w:rsidTr="00851ED2">
        <w:trPr>
          <w:trHeight w:val="255"/>
        </w:trPr>
        <w:tc>
          <w:tcPr>
            <w:tcW w:w="4248" w:type="dxa"/>
            <w:tcBorders>
              <w:right w:val="single" w:sz="4" w:space="0" w:color="auto"/>
            </w:tcBorders>
            <w:shd w:val="clear" w:color="auto" w:fill="auto"/>
            <w:noWrap/>
            <w:vAlign w:val="bottom"/>
            <w:hideMark/>
          </w:tcPr>
          <w:p w14:paraId="4C2D22AF"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tcBorders>
            <w:shd w:val="clear" w:color="auto" w:fill="auto"/>
            <w:noWrap/>
            <w:vAlign w:val="bottom"/>
            <w:hideMark/>
          </w:tcPr>
          <w:p w14:paraId="7A986B50" w14:textId="256FAF0F"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 xml:space="preserve">Taxe </w:t>
            </w:r>
            <w:r>
              <w:rPr>
                <w:rFonts w:ascii="Tw Cen MT" w:hAnsi="Tw Cen MT" w:cs="Calibri"/>
                <w:color w:val="000000"/>
                <w:lang w:eastAsia="fr-FR"/>
              </w:rPr>
              <w:t>E</w:t>
            </w:r>
            <w:r w:rsidRPr="00851ED2">
              <w:rPr>
                <w:rFonts w:ascii="Tw Cen MT" w:hAnsi="Tw Cen MT" w:cs="Calibri"/>
                <w:color w:val="000000"/>
                <w:lang w:eastAsia="fr-FR"/>
              </w:rPr>
              <w:t xml:space="preserve">mploi </w:t>
            </w:r>
            <w:r>
              <w:rPr>
                <w:rFonts w:ascii="Tw Cen MT" w:hAnsi="Tw Cen MT" w:cs="Calibri"/>
                <w:color w:val="000000"/>
                <w:lang w:eastAsia="fr-FR"/>
              </w:rPr>
              <w:t>J</w:t>
            </w:r>
            <w:r w:rsidRPr="00851ED2">
              <w:rPr>
                <w:rFonts w:ascii="Tw Cen MT" w:hAnsi="Tw Cen MT" w:cs="Calibri"/>
                <w:color w:val="000000"/>
                <w:lang w:eastAsia="fr-FR"/>
              </w:rPr>
              <w:t>eune</w:t>
            </w:r>
            <w:r>
              <w:rPr>
                <w:rFonts w:ascii="Tw Cen MT" w:hAnsi="Tw Cen MT" w:cs="Calibri"/>
                <w:color w:val="000000"/>
                <w:lang w:eastAsia="fr-FR"/>
              </w:rPr>
              <w:t xml:space="preserve"> (TEJ)</w:t>
            </w:r>
          </w:p>
        </w:tc>
      </w:tr>
      <w:tr w:rsidR="0046097C" w:rsidRPr="0046097C" w14:paraId="75668B63" w14:textId="77777777" w:rsidTr="00851ED2">
        <w:trPr>
          <w:trHeight w:val="255"/>
        </w:trPr>
        <w:tc>
          <w:tcPr>
            <w:tcW w:w="4248" w:type="dxa"/>
            <w:tcBorders>
              <w:right w:val="single" w:sz="4" w:space="0" w:color="auto"/>
            </w:tcBorders>
            <w:shd w:val="clear" w:color="auto" w:fill="auto"/>
            <w:noWrap/>
            <w:vAlign w:val="bottom"/>
            <w:hideMark/>
          </w:tcPr>
          <w:p w14:paraId="44AC2250"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tcBorders>
            <w:shd w:val="clear" w:color="auto" w:fill="auto"/>
            <w:noWrap/>
            <w:vAlign w:val="bottom"/>
            <w:hideMark/>
          </w:tcPr>
          <w:p w14:paraId="1AAD28BD" w14:textId="53A2A7E5"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T</w:t>
            </w:r>
            <w:r>
              <w:rPr>
                <w:rFonts w:ascii="Tw Cen MT" w:hAnsi="Tw Cen MT" w:cs="Calibri"/>
                <w:color w:val="000000"/>
                <w:lang w:eastAsia="fr-FR"/>
              </w:rPr>
              <w:t>axe sur la Valeur Ajoutée (T</w:t>
            </w:r>
            <w:r w:rsidRPr="00851ED2">
              <w:rPr>
                <w:rFonts w:ascii="Tw Cen MT" w:hAnsi="Tw Cen MT" w:cs="Calibri"/>
                <w:color w:val="000000"/>
                <w:lang w:eastAsia="fr-FR"/>
              </w:rPr>
              <w:t>VA</w:t>
            </w:r>
            <w:r>
              <w:rPr>
                <w:rFonts w:ascii="Tw Cen MT" w:hAnsi="Tw Cen MT" w:cs="Calibri"/>
                <w:color w:val="000000"/>
                <w:lang w:eastAsia="fr-FR"/>
              </w:rPr>
              <w:t>)</w:t>
            </w:r>
          </w:p>
        </w:tc>
      </w:tr>
      <w:tr w:rsidR="0046097C" w:rsidRPr="0046097C" w14:paraId="7C4A86DA" w14:textId="77777777" w:rsidTr="00851ED2">
        <w:trPr>
          <w:trHeight w:val="255"/>
        </w:trPr>
        <w:tc>
          <w:tcPr>
            <w:tcW w:w="4248" w:type="dxa"/>
            <w:tcBorders>
              <w:bottom w:val="single" w:sz="4" w:space="0" w:color="auto"/>
              <w:right w:val="single" w:sz="4" w:space="0" w:color="auto"/>
            </w:tcBorders>
            <w:shd w:val="clear" w:color="auto" w:fill="auto"/>
            <w:noWrap/>
            <w:vAlign w:val="bottom"/>
            <w:hideMark/>
          </w:tcPr>
          <w:p w14:paraId="3048672A"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bottom w:val="single" w:sz="4" w:space="0" w:color="auto"/>
            </w:tcBorders>
            <w:shd w:val="clear" w:color="auto" w:fill="auto"/>
            <w:noWrap/>
            <w:vAlign w:val="bottom"/>
            <w:hideMark/>
          </w:tcPr>
          <w:p w14:paraId="64AA8203"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Autres retenues à la source</w:t>
            </w:r>
          </w:p>
        </w:tc>
      </w:tr>
      <w:tr w:rsidR="0046097C" w:rsidRPr="0046097C" w14:paraId="57EC5DEA" w14:textId="77777777" w:rsidTr="00851ED2">
        <w:trPr>
          <w:trHeight w:val="255"/>
        </w:trPr>
        <w:tc>
          <w:tcPr>
            <w:tcW w:w="4248" w:type="dxa"/>
            <w:tcBorders>
              <w:top w:val="single" w:sz="4" w:space="0" w:color="auto"/>
              <w:bottom w:val="nil"/>
              <w:right w:val="single" w:sz="4" w:space="0" w:color="auto"/>
            </w:tcBorders>
            <w:shd w:val="clear" w:color="auto" w:fill="auto"/>
            <w:noWrap/>
            <w:vAlign w:val="bottom"/>
            <w:hideMark/>
          </w:tcPr>
          <w:p w14:paraId="52244A43" w14:textId="77777777" w:rsidR="0046097C" w:rsidRPr="0046097C" w:rsidRDefault="0046097C" w:rsidP="0046097C">
            <w:pPr>
              <w:rPr>
                <w:rFonts w:ascii="Tw Cen MT" w:hAnsi="Tw Cen MT" w:cs="Calibri"/>
                <w:b/>
                <w:bCs/>
                <w:color w:val="000000"/>
                <w:lang w:eastAsia="fr-FR"/>
              </w:rPr>
            </w:pPr>
            <w:r w:rsidRPr="0046097C">
              <w:rPr>
                <w:rFonts w:ascii="Tw Cen MT" w:hAnsi="Tw Cen MT" w:cs="Calibri"/>
                <w:b/>
                <w:bCs/>
                <w:color w:val="000000"/>
                <w:lang w:eastAsia="fr-FR"/>
              </w:rPr>
              <w:t>Direction Nationale des Domaines (DND)</w:t>
            </w:r>
          </w:p>
        </w:tc>
        <w:tc>
          <w:tcPr>
            <w:tcW w:w="4961" w:type="dxa"/>
            <w:tcBorders>
              <w:top w:val="single" w:sz="4" w:space="0" w:color="auto"/>
              <w:left w:val="single" w:sz="4" w:space="0" w:color="auto"/>
              <w:bottom w:val="nil"/>
            </w:tcBorders>
            <w:shd w:val="clear" w:color="auto" w:fill="auto"/>
            <w:noWrap/>
            <w:vAlign w:val="bottom"/>
            <w:hideMark/>
          </w:tcPr>
          <w:p w14:paraId="5541C9ED"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Dividendes</w:t>
            </w:r>
          </w:p>
        </w:tc>
      </w:tr>
      <w:tr w:rsidR="0046097C" w:rsidRPr="0046097C" w14:paraId="68167E07" w14:textId="77777777" w:rsidTr="00851ED2">
        <w:trPr>
          <w:trHeight w:val="255"/>
        </w:trPr>
        <w:tc>
          <w:tcPr>
            <w:tcW w:w="4248" w:type="dxa"/>
            <w:tcBorders>
              <w:top w:val="nil"/>
              <w:right w:val="single" w:sz="4" w:space="0" w:color="auto"/>
            </w:tcBorders>
            <w:shd w:val="clear" w:color="auto" w:fill="auto"/>
            <w:noWrap/>
            <w:vAlign w:val="bottom"/>
            <w:hideMark/>
          </w:tcPr>
          <w:p w14:paraId="21DBCB87" w14:textId="77777777" w:rsidR="0046097C" w:rsidRPr="0046097C" w:rsidRDefault="0046097C" w:rsidP="0046097C">
            <w:pPr>
              <w:rPr>
                <w:rFonts w:ascii="Tw Cen MT" w:hAnsi="Tw Cen MT" w:cs="Calibri"/>
                <w:color w:val="000000"/>
                <w:lang w:eastAsia="fr-FR"/>
              </w:rPr>
            </w:pPr>
          </w:p>
        </w:tc>
        <w:tc>
          <w:tcPr>
            <w:tcW w:w="4961" w:type="dxa"/>
            <w:tcBorders>
              <w:top w:val="nil"/>
              <w:left w:val="single" w:sz="4" w:space="0" w:color="auto"/>
            </w:tcBorders>
            <w:shd w:val="clear" w:color="auto" w:fill="auto"/>
            <w:noWrap/>
            <w:vAlign w:val="bottom"/>
            <w:hideMark/>
          </w:tcPr>
          <w:p w14:paraId="081BB4A4"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Redevance superficiaire</w:t>
            </w:r>
          </w:p>
        </w:tc>
      </w:tr>
      <w:tr w:rsidR="0046097C" w:rsidRPr="0046097C" w14:paraId="428D6756" w14:textId="77777777" w:rsidTr="00851ED2">
        <w:trPr>
          <w:trHeight w:val="255"/>
        </w:trPr>
        <w:tc>
          <w:tcPr>
            <w:tcW w:w="4248" w:type="dxa"/>
            <w:tcBorders>
              <w:bottom w:val="single" w:sz="4" w:space="0" w:color="auto"/>
              <w:right w:val="single" w:sz="4" w:space="0" w:color="auto"/>
            </w:tcBorders>
            <w:shd w:val="clear" w:color="auto" w:fill="auto"/>
            <w:noWrap/>
            <w:vAlign w:val="bottom"/>
            <w:hideMark/>
          </w:tcPr>
          <w:p w14:paraId="1E0746EA"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bottom w:val="single" w:sz="4" w:space="0" w:color="auto"/>
            </w:tcBorders>
            <w:shd w:val="clear" w:color="auto" w:fill="auto"/>
            <w:noWrap/>
            <w:vAlign w:val="bottom"/>
            <w:hideMark/>
          </w:tcPr>
          <w:p w14:paraId="18384A77"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Taxe ad valorem</w:t>
            </w:r>
          </w:p>
        </w:tc>
      </w:tr>
      <w:tr w:rsidR="0046097C" w:rsidRPr="0046097C" w14:paraId="7912A002" w14:textId="77777777" w:rsidTr="00851ED2">
        <w:trPr>
          <w:trHeight w:val="510"/>
        </w:trPr>
        <w:tc>
          <w:tcPr>
            <w:tcW w:w="4248" w:type="dxa"/>
            <w:tcBorders>
              <w:top w:val="single" w:sz="4" w:space="0" w:color="auto"/>
              <w:bottom w:val="nil"/>
              <w:right w:val="single" w:sz="4" w:space="0" w:color="auto"/>
            </w:tcBorders>
            <w:shd w:val="clear" w:color="auto" w:fill="auto"/>
            <w:vAlign w:val="bottom"/>
            <w:hideMark/>
          </w:tcPr>
          <w:p w14:paraId="45C2193F" w14:textId="77777777" w:rsidR="0046097C" w:rsidRPr="0046097C" w:rsidRDefault="0046097C" w:rsidP="0046097C">
            <w:pPr>
              <w:rPr>
                <w:rFonts w:ascii="Tw Cen MT" w:hAnsi="Tw Cen MT" w:cs="Calibri"/>
                <w:b/>
                <w:bCs/>
                <w:color w:val="000000"/>
                <w:lang w:eastAsia="fr-FR"/>
              </w:rPr>
            </w:pPr>
            <w:r w:rsidRPr="0046097C">
              <w:rPr>
                <w:rFonts w:ascii="Tw Cen MT" w:hAnsi="Tw Cen MT" w:cs="Calibri"/>
                <w:b/>
                <w:bCs/>
                <w:color w:val="000000"/>
                <w:lang w:eastAsia="fr-FR"/>
              </w:rPr>
              <w:lastRenderedPageBreak/>
              <w:t>Direction Nationale de la Géologie et des Mines (DNGM)</w:t>
            </w:r>
          </w:p>
        </w:tc>
        <w:tc>
          <w:tcPr>
            <w:tcW w:w="4961" w:type="dxa"/>
            <w:tcBorders>
              <w:top w:val="single" w:sz="4" w:space="0" w:color="auto"/>
              <w:left w:val="single" w:sz="4" w:space="0" w:color="auto"/>
              <w:bottom w:val="nil"/>
            </w:tcBorders>
            <w:shd w:val="clear" w:color="auto" w:fill="auto"/>
            <w:noWrap/>
            <w:hideMark/>
          </w:tcPr>
          <w:p w14:paraId="424F58E8"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Redevances superficiaires</w:t>
            </w:r>
          </w:p>
        </w:tc>
      </w:tr>
      <w:tr w:rsidR="0046097C" w:rsidRPr="0046097C" w14:paraId="75001710" w14:textId="77777777" w:rsidTr="00851ED2">
        <w:trPr>
          <w:trHeight w:val="255"/>
        </w:trPr>
        <w:tc>
          <w:tcPr>
            <w:tcW w:w="4248" w:type="dxa"/>
            <w:tcBorders>
              <w:top w:val="nil"/>
              <w:right w:val="single" w:sz="4" w:space="0" w:color="auto"/>
            </w:tcBorders>
            <w:shd w:val="clear" w:color="auto" w:fill="auto"/>
            <w:noWrap/>
            <w:vAlign w:val="bottom"/>
            <w:hideMark/>
          </w:tcPr>
          <w:p w14:paraId="5A9163DC" w14:textId="77777777" w:rsidR="0046097C" w:rsidRPr="0046097C" w:rsidRDefault="0046097C" w:rsidP="0046097C">
            <w:pPr>
              <w:rPr>
                <w:rFonts w:ascii="Tw Cen MT" w:hAnsi="Tw Cen MT" w:cs="Calibri"/>
                <w:color w:val="000000"/>
                <w:lang w:eastAsia="fr-FR"/>
              </w:rPr>
            </w:pPr>
          </w:p>
        </w:tc>
        <w:tc>
          <w:tcPr>
            <w:tcW w:w="4961" w:type="dxa"/>
            <w:tcBorders>
              <w:top w:val="nil"/>
              <w:left w:val="single" w:sz="4" w:space="0" w:color="auto"/>
            </w:tcBorders>
            <w:shd w:val="clear" w:color="auto" w:fill="auto"/>
            <w:noWrap/>
            <w:vAlign w:val="bottom"/>
            <w:hideMark/>
          </w:tcPr>
          <w:p w14:paraId="16B0E7EF"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Taxe d’extraction (ramassage)</w:t>
            </w:r>
          </w:p>
        </w:tc>
      </w:tr>
      <w:tr w:rsidR="0046097C" w:rsidRPr="0046097C" w14:paraId="1BF155A9" w14:textId="77777777" w:rsidTr="00851ED2">
        <w:trPr>
          <w:trHeight w:val="255"/>
        </w:trPr>
        <w:tc>
          <w:tcPr>
            <w:tcW w:w="4248" w:type="dxa"/>
            <w:tcBorders>
              <w:right w:val="single" w:sz="4" w:space="0" w:color="auto"/>
            </w:tcBorders>
            <w:shd w:val="clear" w:color="auto" w:fill="auto"/>
            <w:noWrap/>
            <w:vAlign w:val="bottom"/>
            <w:hideMark/>
          </w:tcPr>
          <w:p w14:paraId="75C3377E"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tcBorders>
            <w:shd w:val="clear" w:color="auto" w:fill="auto"/>
            <w:noWrap/>
            <w:vAlign w:val="bottom"/>
            <w:hideMark/>
          </w:tcPr>
          <w:p w14:paraId="5D34D3C2"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Taxe de convention</w:t>
            </w:r>
          </w:p>
        </w:tc>
      </w:tr>
      <w:tr w:rsidR="0046097C" w:rsidRPr="0046097C" w14:paraId="51ADC4DA" w14:textId="77777777" w:rsidTr="00851ED2">
        <w:trPr>
          <w:trHeight w:val="255"/>
        </w:trPr>
        <w:tc>
          <w:tcPr>
            <w:tcW w:w="4248" w:type="dxa"/>
            <w:tcBorders>
              <w:right w:val="single" w:sz="4" w:space="0" w:color="auto"/>
            </w:tcBorders>
            <w:shd w:val="clear" w:color="auto" w:fill="auto"/>
            <w:noWrap/>
            <w:vAlign w:val="bottom"/>
            <w:hideMark/>
          </w:tcPr>
          <w:p w14:paraId="502BBE9C"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tcBorders>
            <w:shd w:val="clear" w:color="auto" w:fill="auto"/>
            <w:noWrap/>
            <w:vAlign w:val="bottom"/>
            <w:hideMark/>
          </w:tcPr>
          <w:p w14:paraId="393C538B"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Taxe de délivrance</w:t>
            </w:r>
          </w:p>
        </w:tc>
      </w:tr>
      <w:tr w:rsidR="0046097C" w:rsidRPr="0046097C" w14:paraId="0601A748" w14:textId="77777777" w:rsidTr="00851ED2">
        <w:trPr>
          <w:trHeight w:val="255"/>
        </w:trPr>
        <w:tc>
          <w:tcPr>
            <w:tcW w:w="4248" w:type="dxa"/>
            <w:tcBorders>
              <w:right w:val="single" w:sz="4" w:space="0" w:color="auto"/>
            </w:tcBorders>
            <w:shd w:val="clear" w:color="auto" w:fill="auto"/>
            <w:noWrap/>
            <w:vAlign w:val="bottom"/>
            <w:hideMark/>
          </w:tcPr>
          <w:p w14:paraId="5C5DFAF5"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tcBorders>
            <w:shd w:val="clear" w:color="auto" w:fill="auto"/>
            <w:noWrap/>
            <w:vAlign w:val="bottom"/>
            <w:hideMark/>
          </w:tcPr>
          <w:p w14:paraId="1C7169AA"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Taxe de renouvellement</w:t>
            </w:r>
          </w:p>
        </w:tc>
      </w:tr>
      <w:tr w:rsidR="0046097C" w:rsidRPr="0046097C" w14:paraId="1A0843A8" w14:textId="77777777" w:rsidTr="00851ED2">
        <w:trPr>
          <w:trHeight w:val="255"/>
        </w:trPr>
        <w:tc>
          <w:tcPr>
            <w:tcW w:w="4248" w:type="dxa"/>
            <w:tcBorders>
              <w:right w:val="single" w:sz="4" w:space="0" w:color="auto"/>
            </w:tcBorders>
            <w:shd w:val="clear" w:color="auto" w:fill="auto"/>
            <w:noWrap/>
            <w:vAlign w:val="bottom"/>
            <w:hideMark/>
          </w:tcPr>
          <w:p w14:paraId="0B044485"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tcBorders>
            <w:shd w:val="clear" w:color="auto" w:fill="auto"/>
            <w:noWrap/>
            <w:vAlign w:val="bottom"/>
            <w:hideMark/>
          </w:tcPr>
          <w:p w14:paraId="3DC56C45"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Taxe de transfert</w:t>
            </w:r>
          </w:p>
        </w:tc>
      </w:tr>
      <w:tr w:rsidR="0046097C" w:rsidRPr="0046097C" w14:paraId="2A20CCC4" w14:textId="77777777" w:rsidTr="00851ED2">
        <w:trPr>
          <w:trHeight w:val="255"/>
        </w:trPr>
        <w:tc>
          <w:tcPr>
            <w:tcW w:w="4248" w:type="dxa"/>
            <w:tcBorders>
              <w:right w:val="single" w:sz="4" w:space="0" w:color="auto"/>
            </w:tcBorders>
            <w:shd w:val="clear" w:color="auto" w:fill="auto"/>
            <w:noWrap/>
            <w:vAlign w:val="bottom"/>
            <w:hideMark/>
          </w:tcPr>
          <w:p w14:paraId="3A14DF76"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tcBorders>
            <w:shd w:val="clear" w:color="auto" w:fill="auto"/>
            <w:noWrap/>
            <w:vAlign w:val="bottom"/>
            <w:hideMark/>
          </w:tcPr>
          <w:p w14:paraId="4DCD7D65" w14:textId="30945E41"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 xml:space="preserve">Taxe sur </w:t>
            </w:r>
            <w:r w:rsidRPr="0046097C">
              <w:rPr>
                <w:rFonts w:ascii="Tw Cen MT" w:hAnsi="Tw Cen MT" w:cs="Calibri"/>
                <w:color w:val="000000"/>
                <w:lang w:eastAsia="fr-FR"/>
              </w:rPr>
              <w:t>plus-value</w:t>
            </w:r>
            <w:r w:rsidRPr="00851ED2">
              <w:rPr>
                <w:rFonts w:ascii="Tw Cen MT" w:hAnsi="Tw Cen MT" w:cs="Calibri"/>
                <w:color w:val="000000"/>
                <w:lang w:eastAsia="fr-FR"/>
              </w:rPr>
              <w:t xml:space="preserve"> sur transfert de titre</w:t>
            </w:r>
          </w:p>
        </w:tc>
      </w:tr>
      <w:tr w:rsidR="0046097C" w:rsidRPr="0046097C" w14:paraId="2F7880FE" w14:textId="77777777" w:rsidTr="00851ED2">
        <w:trPr>
          <w:trHeight w:val="255"/>
        </w:trPr>
        <w:tc>
          <w:tcPr>
            <w:tcW w:w="4248" w:type="dxa"/>
            <w:tcBorders>
              <w:bottom w:val="single" w:sz="4" w:space="0" w:color="auto"/>
              <w:right w:val="single" w:sz="4" w:space="0" w:color="auto"/>
            </w:tcBorders>
            <w:shd w:val="clear" w:color="auto" w:fill="auto"/>
            <w:noWrap/>
            <w:vAlign w:val="bottom"/>
            <w:hideMark/>
          </w:tcPr>
          <w:p w14:paraId="2ADDDDDF"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bottom w:val="single" w:sz="4" w:space="0" w:color="auto"/>
            </w:tcBorders>
            <w:shd w:val="clear" w:color="auto" w:fill="auto"/>
            <w:noWrap/>
            <w:vAlign w:val="bottom"/>
            <w:hideMark/>
          </w:tcPr>
          <w:p w14:paraId="1C958769"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Pénalités</w:t>
            </w:r>
          </w:p>
        </w:tc>
      </w:tr>
      <w:tr w:rsidR="0046097C" w:rsidRPr="0046097C" w14:paraId="00B779F2" w14:textId="77777777" w:rsidTr="00851ED2">
        <w:trPr>
          <w:trHeight w:val="255"/>
        </w:trPr>
        <w:tc>
          <w:tcPr>
            <w:tcW w:w="4248" w:type="dxa"/>
            <w:tcBorders>
              <w:top w:val="single" w:sz="4" w:space="0" w:color="auto"/>
              <w:bottom w:val="nil"/>
              <w:right w:val="single" w:sz="4" w:space="0" w:color="auto"/>
            </w:tcBorders>
            <w:shd w:val="clear" w:color="auto" w:fill="auto"/>
            <w:noWrap/>
            <w:vAlign w:val="bottom"/>
            <w:hideMark/>
          </w:tcPr>
          <w:p w14:paraId="3CF94C71" w14:textId="703351C2" w:rsidR="0046097C" w:rsidRPr="0046097C" w:rsidRDefault="0046097C" w:rsidP="0046097C">
            <w:pPr>
              <w:rPr>
                <w:rFonts w:ascii="Tw Cen MT" w:hAnsi="Tw Cen MT" w:cs="Calibri"/>
                <w:b/>
                <w:bCs/>
                <w:color w:val="000000"/>
                <w:lang w:eastAsia="fr-FR"/>
              </w:rPr>
            </w:pPr>
            <w:r w:rsidRPr="0046097C">
              <w:rPr>
                <w:rFonts w:ascii="Tw Cen MT" w:hAnsi="Tw Cen MT" w:cs="Calibri"/>
                <w:b/>
                <w:bCs/>
                <w:color w:val="000000"/>
                <w:lang w:eastAsia="fr-FR"/>
              </w:rPr>
              <w:t xml:space="preserve">Direction Régionales des </w:t>
            </w:r>
            <w:r w:rsidR="00CC1399" w:rsidRPr="0046097C">
              <w:rPr>
                <w:rFonts w:ascii="Tw Cen MT" w:hAnsi="Tw Cen MT" w:cs="Calibri"/>
                <w:b/>
                <w:bCs/>
                <w:color w:val="000000"/>
                <w:lang w:eastAsia="fr-FR"/>
              </w:rPr>
              <w:t>Impôts</w:t>
            </w:r>
            <w:r w:rsidRPr="0046097C">
              <w:rPr>
                <w:rFonts w:ascii="Tw Cen MT" w:hAnsi="Tw Cen MT" w:cs="Calibri"/>
                <w:b/>
                <w:bCs/>
                <w:color w:val="000000"/>
                <w:lang w:eastAsia="fr-FR"/>
              </w:rPr>
              <w:t xml:space="preserve"> (DRI)</w:t>
            </w:r>
          </w:p>
        </w:tc>
        <w:tc>
          <w:tcPr>
            <w:tcW w:w="4961" w:type="dxa"/>
            <w:tcBorders>
              <w:top w:val="single" w:sz="4" w:space="0" w:color="auto"/>
              <w:left w:val="single" w:sz="4" w:space="0" w:color="auto"/>
              <w:bottom w:val="nil"/>
            </w:tcBorders>
            <w:shd w:val="clear" w:color="auto" w:fill="auto"/>
            <w:noWrap/>
            <w:vAlign w:val="bottom"/>
            <w:hideMark/>
          </w:tcPr>
          <w:p w14:paraId="42F65F6C"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Patentes</w:t>
            </w:r>
          </w:p>
        </w:tc>
      </w:tr>
      <w:tr w:rsidR="0046097C" w:rsidRPr="0046097C" w14:paraId="78B70A66" w14:textId="77777777" w:rsidTr="00851ED2">
        <w:trPr>
          <w:trHeight w:val="255"/>
        </w:trPr>
        <w:tc>
          <w:tcPr>
            <w:tcW w:w="4248" w:type="dxa"/>
            <w:tcBorders>
              <w:top w:val="nil"/>
              <w:bottom w:val="single" w:sz="4" w:space="0" w:color="auto"/>
              <w:right w:val="single" w:sz="4" w:space="0" w:color="auto"/>
            </w:tcBorders>
            <w:shd w:val="clear" w:color="auto" w:fill="auto"/>
            <w:noWrap/>
            <w:vAlign w:val="bottom"/>
            <w:hideMark/>
          </w:tcPr>
          <w:p w14:paraId="19CDE5E0" w14:textId="77777777" w:rsidR="0046097C" w:rsidRPr="0046097C" w:rsidRDefault="0046097C" w:rsidP="0046097C">
            <w:pPr>
              <w:rPr>
                <w:rFonts w:ascii="Tw Cen MT" w:hAnsi="Tw Cen MT" w:cs="Calibri"/>
                <w:color w:val="000000"/>
                <w:lang w:eastAsia="fr-FR"/>
              </w:rPr>
            </w:pPr>
          </w:p>
        </w:tc>
        <w:tc>
          <w:tcPr>
            <w:tcW w:w="4961" w:type="dxa"/>
            <w:tcBorders>
              <w:top w:val="nil"/>
              <w:left w:val="single" w:sz="4" w:space="0" w:color="auto"/>
              <w:bottom w:val="single" w:sz="4" w:space="0" w:color="auto"/>
            </w:tcBorders>
            <w:shd w:val="clear" w:color="auto" w:fill="auto"/>
            <w:noWrap/>
            <w:vAlign w:val="bottom"/>
            <w:hideMark/>
          </w:tcPr>
          <w:p w14:paraId="0AF87542"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Pénalités</w:t>
            </w:r>
          </w:p>
        </w:tc>
      </w:tr>
      <w:tr w:rsidR="0046097C" w:rsidRPr="0046097C" w14:paraId="2A16E7A8" w14:textId="77777777" w:rsidTr="00851ED2">
        <w:trPr>
          <w:trHeight w:val="255"/>
        </w:trPr>
        <w:tc>
          <w:tcPr>
            <w:tcW w:w="4248" w:type="dxa"/>
            <w:tcBorders>
              <w:top w:val="single" w:sz="4" w:space="0" w:color="auto"/>
              <w:bottom w:val="nil"/>
              <w:right w:val="single" w:sz="4" w:space="0" w:color="auto"/>
            </w:tcBorders>
            <w:shd w:val="clear" w:color="auto" w:fill="auto"/>
            <w:noWrap/>
            <w:hideMark/>
          </w:tcPr>
          <w:p w14:paraId="2116F410" w14:textId="77777777" w:rsidR="0046097C" w:rsidRPr="0046097C" w:rsidRDefault="0046097C" w:rsidP="0046097C">
            <w:pPr>
              <w:rPr>
                <w:rFonts w:ascii="Tw Cen MT" w:hAnsi="Tw Cen MT" w:cs="Calibri"/>
                <w:b/>
                <w:bCs/>
                <w:color w:val="000000"/>
                <w:lang w:eastAsia="fr-FR"/>
              </w:rPr>
            </w:pPr>
            <w:r w:rsidRPr="0046097C">
              <w:rPr>
                <w:rFonts w:ascii="Tw Cen MT" w:hAnsi="Tw Cen MT" w:cs="Calibri"/>
                <w:b/>
                <w:bCs/>
                <w:color w:val="000000"/>
                <w:lang w:eastAsia="fr-FR"/>
              </w:rPr>
              <w:t>Institut National des prévoyances Sociales (INPS)</w:t>
            </w:r>
          </w:p>
        </w:tc>
        <w:tc>
          <w:tcPr>
            <w:tcW w:w="4961" w:type="dxa"/>
            <w:tcBorders>
              <w:top w:val="single" w:sz="4" w:space="0" w:color="auto"/>
              <w:left w:val="single" w:sz="4" w:space="0" w:color="auto"/>
              <w:bottom w:val="nil"/>
            </w:tcBorders>
            <w:shd w:val="clear" w:color="auto" w:fill="auto"/>
            <w:noWrap/>
            <w:hideMark/>
          </w:tcPr>
          <w:p w14:paraId="089DD592"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Assurances Maladie Obligatoires (AMO)</w:t>
            </w:r>
          </w:p>
        </w:tc>
      </w:tr>
      <w:tr w:rsidR="0046097C" w:rsidRPr="0046097C" w14:paraId="5A539F8B" w14:textId="77777777" w:rsidTr="00851ED2">
        <w:trPr>
          <w:trHeight w:val="255"/>
        </w:trPr>
        <w:tc>
          <w:tcPr>
            <w:tcW w:w="4248" w:type="dxa"/>
            <w:tcBorders>
              <w:top w:val="nil"/>
              <w:right w:val="single" w:sz="4" w:space="0" w:color="auto"/>
            </w:tcBorders>
            <w:shd w:val="clear" w:color="auto" w:fill="auto"/>
            <w:noWrap/>
            <w:vAlign w:val="bottom"/>
            <w:hideMark/>
          </w:tcPr>
          <w:p w14:paraId="4BC1D28D" w14:textId="77777777" w:rsidR="0046097C" w:rsidRPr="0046097C" w:rsidRDefault="0046097C" w:rsidP="0046097C">
            <w:pPr>
              <w:rPr>
                <w:rFonts w:ascii="Tw Cen MT" w:hAnsi="Tw Cen MT" w:cs="Calibri"/>
                <w:color w:val="000000"/>
                <w:lang w:eastAsia="fr-FR"/>
              </w:rPr>
            </w:pPr>
          </w:p>
        </w:tc>
        <w:tc>
          <w:tcPr>
            <w:tcW w:w="4961" w:type="dxa"/>
            <w:tcBorders>
              <w:top w:val="nil"/>
              <w:left w:val="single" w:sz="4" w:space="0" w:color="auto"/>
            </w:tcBorders>
            <w:shd w:val="clear" w:color="auto" w:fill="auto"/>
            <w:noWrap/>
            <w:vAlign w:val="bottom"/>
            <w:hideMark/>
          </w:tcPr>
          <w:p w14:paraId="65B73FBD"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 xml:space="preserve">Cotisations sociales </w:t>
            </w:r>
          </w:p>
        </w:tc>
      </w:tr>
      <w:tr w:rsidR="0046097C" w:rsidRPr="0046097C" w14:paraId="3B216590" w14:textId="77777777" w:rsidTr="00851ED2">
        <w:trPr>
          <w:trHeight w:val="255"/>
        </w:trPr>
        <w:tc>
          <w:tcPr>
            <w:tcW w:w="4248" w:type="dxa"/>
            <w:tcBorders>
              <w:bottom w:val="single" w:sz="4" w:space="0" w:color="auto"/>
              <w:right w:val="single" w:sz="4" w:space="0" w:color="auto"/>
            </w:tcBorders>
            <w:shd w:val="clear" w:color="auto" w:fill="auto"/>
            <w:noWrap/>
            <w:vAlign w:val="bottom"/>
            <w:hideMark/>
          </w:tcPr>
          <w:p w14:paraId="421F3833"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bottom w:val="single" w:sz="4" w:space="0" w:color="auto"/>
            </w:tcBorders>
            <w:shd w:val="clear" w:color="auto" w:fill="auto"/>
            <w:noWrap/>
            <w:vAlign w:val="bottom"/>
            <w:hideMark/>
          </w:tcPr>
          <w:p w14:paraId="42BBD684"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Pénalités et contentieux</w:t>
            </w:r>
          </w:p>
        </w:tc>
      </w:tr>
      <w:tr w:rsidR="0046097C" w:rsidRPr="0046097C" w14:paraId="06EFD22F" w14:textId="77777777" w:rsidTr="00851ED2">
        <w:trPr>
          <w:trHeight w:val="255"/>
        </w:trPr>
        <w:tc>
          <w:tcPr>
            <w:tcW w:w="4248" w:type="dxa"/>
            <w:tcBorders>
              <w:top w:val="single" w:sz="4" w:space="0" w:color="auto"/>
              <w:bottom w:val="nil"/>
              <w:right w:val="single" w:sz="4" w:space="0" w:color="auto"/>
            </w:tcBorders>
            <w:shd w:val="clear" w:color="auto" w:fill="auto"/>
            <w:noWrap/>
            <w:vAlign w:val="bottom"/>
            <w:hideMark/>
          </w:tcPr>
          <w:p w14:paraId="0B421677" w14:textId="77777777" w:rsidR="0046097C" w:rsidRPr="0046097C" w:rsidRDefault="0046097C" w:rsidP="0046097C">
            <w:pPr>
              <w:rPr>
                <w:rFonts w:ascii="Tw Cen MT" w:hAnsi="Tw Cen MT" w:cs="Calibri"/>
                <w:b/>
                <w:bCs/>
                <w:color w:val="000000"/>
                <w:lang w:eastAsia="fr-FR"/>
              </w:rPr>
            </w:pPr>
            <w:r w:rsidRPr="0046097C">
              <w:rPr>
                <w:rFonts w:ascii="Tw Cen MT" w:hAnsi="Tw Cen MT" w:cs="Calibri"/>
                <w:b/>
                <w:bCs/>
                <w:color w:val="000000"/>
                <w:lang w:eastAsia="fr-FR"/>
              </w:rPr>
              <w:t>Office National de la Recherche Pétrolière (ONRP)</w:t>
            </w:r>
          </w:p>
        </w:tc>
        <w:tc>
          <w:tcPr>
            <w:tcW w:w="4961" w:type="dxa"/>
            <w:tcBorders>
              <w:top w:val="single" w:sz="4" w:space="0" w:color="auto"/>
              <w:left w:val="single" w:sz="4" w:space="0" w:color="auto"/>
              <w:bottom w:val="nil"/>
            </w:tcBorders>
            <w:shd w:val="clear" w:color="auto" w:fill="auto"/>
            <w:noWrap/>
            <w:hideMark/>
          </w:tcPr>
          <w:p w14:paraId="01647BD9"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Fonds de promotion et de formation</w:t>
            </w:r>
          </w:p>
        </w:tc>
      </w:tr>
      <w:tr w:rsidR="0046097C" w:rsidRPr="0046097C" w14:paraId="46B52D54" w14:textId="77777777" w:rsidTr="00851ED2">
        <w:trPr>
          <w:trHeight w:val="255"/>
        </w:trPr>
        <w:tc>
          <w:tcPr>
            <w:tcW w:w="4248" w:type="dxa"/>
            <w:tcBorders>
              <w:top w:val="nil"/>
              <w:right w:val="single" w:sz="4" w:space="0" w:color="auto"/>
            </w:tcBorders>
            <w:shd w:val="clear" w:color="auto" w:fill="auto"/>
            <w:noWrap/>
            <w:vAlign w:val="bottom"/>
            <w:hideMark/>
          </w:tcPr>
          <w:p w14:paraId="395EF7D8" w14:textId="77777777" w:rsidR="0046097C" w:rsidRPr="0046097C" w:rsidRDefault="0046097C" w:rsidP="0046097C">
            <w:pPr>
              <w:rPr>
                <w:rFonts w:ascii="Tw Cen MT" w:hAnsi="Tw Cen MT" w:cs="Calibri"/>
                <w:color w:val="000000"/>
                <w:lang w:eastAsia="fr-FR"/>
              </w:rPr>
            </w:pPr>
          </w:p>
        </w:tc>
        <w:tc>
          <w:tcPr>
            <w:tcW w:w="4961" w:type="dxa"/>
            <w:tcBorders>
              <w:top w:val="nil"/>
              <w:left w:val="single" w:sz="4" w:space="0" w:color="auto"/>
            </w:tcBorders>
            <w:shd w:val="clear" w:color="auto" w:fill="auto"/>
            <w:noWrap/>
            <w:vAlign w:val="bottom"/>
            <w:hideMark/>
          </w:tcPr>
          <w:p w14:paraId="0B56E33D"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Taxe de renouvellement</w:t>
            </w:r>
          </w:p>
        </w:tc>
      </w:tr>
      <w:tr w:rsidR="0046097C" w:rsidRPr="0046097C" w14:paraId="6BAB57CE" w14:textId="77777777" w:rsidTr="00851ED2">
        <w:trPr>
          <w:trHeight w:val="255"/>
        </w:trPr>
        <w:tc>
          <w:tcPr>
            <w:tcW w:w="4248" w:type="dxa"/>
            <w:tcBorders>
              <w:right w:val="single" w:sz="4" w:space="0" w:color="auto"/>
            </w:tcBorders>
            <w:shd w:val="clear" w:color="auto" w:fill="auto"/>
            <w:noWrap/>
            <w:vAlign w:val="bottom"/>
            <w:hideMark/>
          </w:tcPr>
          <w:p w14:paraId="1BAD9F4B"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tcBorders>
            <w:shd w:val="clear" w:color="auto" w:fill="auto"/>
            <w:noWrap/>
            <w:vAlign w:val="bottom"/>
            <w:hideMark/>
          </w:tcPr>
          <w:p w14:paraId="6EC4B598"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Taxe superficiaire</w:t>
            </w:r>
          </w:p>
        </w:tc>
      </w:tr>
      <w:tr w:rsidR="0046097C" w:rsidRPr="0046097C" w14:paraId="19BA14F9" w14:textId="77777777" w:rsidTr="00851ED2">
        <w:trPr>
          <w:trHeight w:val="255"/>
        </w:trPr>
        <w:tc>
          <w:tcPr>
            <w:tcW w:w="4248" w:type="dxa"/>
            <w:tcBorders>
              <w:bottom w:val="single" w:sz="4" w:space="0" w:color="auto"/>
              <w:right w:val="single" w:sz="4" w:space="0" w:color="auto"/>
            </w:tcBorders>
            <w:shd w:val="clear" w:color="auto" w:fill="auto"/>
            <w:noWrap/>
            <w:vAlign w:val="bottom"/>
            <w:hideMark/>
          </w:tcPr>
          <w:p w14:paraId="7FDC9577"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bottom w:val="single" w:sz="4" w:space="0" w:color="auto"/>
            </w:tcBorders>
            <w:shd w:val="clear" w:color="auto" w:fill="auto"/>
            <w:noWrap/>
            <w:vAlign w:val="bottom"/>
            <w:hideMark/>
          </w:tcPr>
          <w:p w14:paraId="4C5EFB27"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Taxes de délivrance</w:t>
            </w:r>
          </w:p>
        </w:tc>
      </w:tr>
      <w:tr w:rsidR="0046097C" w:rsidRPr="0046097C" w14:paraId="602F7F27" w14:textId="77777777" w:rsidTr="00851ED2">
        <w:trPr>
          <w:trHeight w:val="255"/>
        </w:trPr>
        <w:tc>
          <w:tcPr>
            <w:tcW w:w="4248" w:type="dxa"/>
            <w:tcBorders>
              <w:top w:val="single" w:sz="4" w:space="0" w:color="auto"/>
              <w:bottom w:val="nil"/>
              <w:right w:val="single" w:sz="4" w:space="0" w:color="auto"/>
            </w:tcBorders>
            <w:shd w:val="clear" w:color="auto" w:fill="auto"/>
            <w:noWrap/>
            <w:hideMark/>
          </w:tcPr>
          <w:p w14:paraId="137ECBE2" w14:textId="67643F1B" w:rsidR="0046097C" w:rsidRPr="0046097C" w:rsidRDefault="0046097C" w:rsidP="0046097C">
            <w:pPr>
              <w:rPr>
                <w:rFonts w:ascii="Tw Cen MT" w:hAnsi="Tw Cen MT" w:cs="Calibri"/>
                <w:b/>
                <w:bCs/>
                <w:color w:val="000000"/>
                <w:lang w:eastAsia="fr-FR"/>
              </w:rPr>
            </w:pPr>
            <w:r>
              <w:rPr>
                <w:rFonts w:ascii="Tw Cen MT" w:hAnsi="Tw Cen MT" w:cs="Calibri"/>
                <w:b/>
                <w:bCs/>
                <w:color w:val="000000"/>
                <w:lang w:eastAsia="fr-FR"/>
              </w:rPr>
              <w:t xml:space="preserve">Tous </w:t>
            </w:r>
          </w:p>
        </w:tc>
        <w:tc>
          <w:tcPr>
            <w:tcW w:w="4961" w:type="dxa"/>
            <w:tcBorders>
              <w:top w:val="single" w:sz="4" w:space="0" w:color="auto"/>
              <w:left w:val="single" w:sz="4" w:space="0" w:color="auto"/>
              <w:bottom w:val="nil"/>
            </w:tcBorders>
            <w:shd w:val="clear" w:color="auto" w:fill="auto"/>
            <w:noWrap/>
            <w:hideMark/>
          </w:tcPr>
          <w:p w14:paraId="0260547A"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Autres dépenses</w:t>
            </w:r>
          </w:p>
        </w:tc>
      </w:tr>
      <w:tr w:rsidR="0046097C" w:rsidRPr="0046097C" w14:paraId="516DC721" w14:textId="77777777" w:rsidTr="00851ED2">
        <w:trPr>
          <w:trHeight w:val="255"/>
        </w:trPr>
        <w:tc>
          <w:tcPr>
            <w:tcW w:w="4248" w:type="dxa"/>
            <w:tcBorders>
              <w:top w:val="nil"/>
              <w:right w:val="single" w:sz="4" w:space="0" w:color="auto"/>
            </w:tcBorders>
            <w:shd w:val="clear" w:color="auto" w:fill="auto"/>
            <w:noWrap/>
            <w:vAlign w:val="bottom"/>
            <w:hideMark/>
          </w:tcPr>
          <w:p w14:paraId="37AA9765" w14:textId="77777777" w:rsidR="0046097C" w:rsidRPr="0046097C" w:rsidRDefault="0046097C" w:rsidP="0046097C">
            <w:pPr>
              <w:rPr>
                <w:rFonts w:ascii="Tw Cen MT" w:hAnsi="Tw Cen MT" w:cs="Calibri"/>
                <w:color w:val="000000"/>
                <w:lang w:eastAsia="fr-FR"/>
              </w:rPr>
            </w:pPr>
          </w:p>
        </w:tc>
        <w:tc>
          <w:tcPr>
            <w:tcW w:w="4961" w:type="dxa"/>
            <w:tcBorders>
              <w:top w:val="nil"/>
              <w:left w:val="single" w:sz="4" w:space="0" w:color="auto"/>
            </w:tcBorders>
            <w:shd w:val="clear" w:color="auto" w:fill="auto"/>
            <w:noWrap/>
            <w:vAlign w:val="bottom"/>
            <w:hideMark/>
          </w:tcPr>
          <w:p w14:paraId="267ED00A"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Autres flux de paiements significatifs</w:t>
            </w:r>
          </w:p>
        </w:tc>
      </w:tr>
      <w:tr w:rsidR="0046097C" w:rsidRPr="0046097C" w14:paraId="0213A05C" w14:textId="77777777" w:rsidTr="00851ED2">
        <w:trPr>
          <w:trHeight w:val="255"/>
        </w:trPr>
        <w:tc>
          <w:tcPr>
            <w:tcW w:w="4248" w:type="dxa"/>
            <w:tcBorders>
              <w:right w:val="single" w:sz="4" w:space="0" w:color="auto"/>
            </w:tcBorders>
            <w:shd w:val="clear" w:color="auto" w:fill="auto"/>
            <w:noWrap/>
            <w:vAlign w:val="bottom"/>
            <w:hideMark/>
          </w:tcPr>
          <w:p w14:paraId="1781D197"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tcBorders>
            <w:shd w:val="clear" w:color="auto" w:fill="auto"/>
            <w:noWrap/>
            <w:vAlign w:val="bottom"/>
            <w:hideMark/>
          </w:tcPr>
          <w:p w14:paraId="6A525CFA"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Paiements sociaux obligatoires</w:t>
            </w:r>
          </w:p>
        </w:tc>
      </w:tr>
      <w:tr w:rsidR="0046097C" w:rsidRPr="0046097C" w14:paraId="5B8DDB73" w14:textId="77777777" w:rsidTr="00851ED2">
        <w:trPr>
          <w:trHeight w:val="255"/>
        </w:trPr>
        <w:tc>
          <w:tcPr>
            <w:tcW w:w="4248" w:type="dxa"/>
            <w:tcBorders>
              <w:right w:val="single" w:sz="4" w:space="0" w:color="auto"/>
            </w:tcBorders>
            <w:shd w:val="clear" w:color="auto" w:fill="auto"/>
            <w:noWrap/>
            <w:vAlign w:val="bottom"/>
            <w:hideMark/>
          </w:tcPr>
          <w:p w14:paraId="658F3B44" w14:textId="77777777" w:rsidR="0046097C" w:rsidRPr="0046097C" w:rsidRDefault="0046097C" w:rsidP="0046097C">
            <w:pPr>
              <w:rPr>
                <w:rFonts w:ascii="Tw Cen MT" w:hAnsi="Tw Cen MT" w:cs="Calibri"/>
                <w:color w:val="000000"/>
                <w:lang w:eastAsia="fr-FR"/>
              </w:rPr>
            </w:pPr>
          </w:p>
        </w:tc>
        <w:tc>
          <w:tcPr>
            <w:tcW w:w="4961" w:type="dxa"/>
            <w:tcBorders>
              <w:left w:val="single" w:sz="4" w:space="0" w:color="auto"/>
              <w:bottom w:val="single" w:sz="4" w:space="0" w:color="auto"/>
            </w:tcBorders>
            <w:shd w:val="clear" w:color="auto" w:fill="auto"/>
            <w:noWrap/>
            <w:vAlign w:val="bottom"/>
            <w:hideMark/>
          </w:tcPr>
          <w:p w14:paraId="42E1853B" w14:textId="77777777" w:rsidR="0046097C" w:rsidRPr="00851ED2" w:rsidRDefault="0046097C" w:rsidP="00851ED2">
            <w:pPr>
              <w:pStyle w:val="Paragraphedeliste"/>
              <w:numPr>
                <w:ilvl w:val="0"/>
                <w:numId w:val="26"/>
              </w:numPr>
              <w:ind w:left="493"/>
              <w:rPr>
                <w:rFonts w:ascii="Tw Cen MT" w:hAnsi="Tw Cen MT" w:cs="Calibri"/>
                <w:color w:val="000000"/>
                <w:lang w:eastAsia="fr-FR"/>
              </w:rPr>
            </w:pPr>
            <w:r w:rsidRPr="00851ED2">
              <w:rPr>
                <w:rFonts w:ascii="Tw Cen MT" w:hAnsi="Tw Cen MT" w:cs="Calibri"/>
                <w:color w:val="000000"/>
                <w:lang w:eastAsia="fr-FR"/>
              </w:rPr>
              <w:t xml:space="preserve">Paiements sociaux volontaires </w:t>
            </w:r>
          </w:p>
        </w:tc>
      </w:tr>
    </w:tbl>
    <w:p w14:paraId="79D6AC15" w14:textId="7C7757A8" w:rsidR="003E0DE8" w:rsidRDefault="0046097C" w:rsidP="00A255CD">
      <w:pPr>
        <w:spacing w:before="240" w:after="240"/>
        <w:jc w:val="both"/>
        <w:rPr>
          <w:rFonts w:ascii="Tw Cen MT" w:hAnsi="Tw Cen MT"/>
          <w:sz w:val="26"/>
          <w:szCs w:val="26"/>
        </w:rPr>
      </w:pPr>
      <w:r>
        <w:rPr>
          <w:rFonts w:ascii="Tw Cen MT" w:hAnsi="Tw Cen MT"/>
          <w:sz w:val="26"/>
          <w:szCs w:val="26"/>
        </w:rPr>
        <w:t xml:space="preserve">** La Contribution Générale de Solidarité a été instituée par la loi </w:t>
      </w:r>
      <w:r w:rsidRPr="0046097C">
        <w:rPr>
          <w:rFonts w:ascii="Tw Cen MT" w:hAnsi="Tw Cen MT"/>
          <w:sz w:val="26"/>
          <w:szCs w:val="26"/>
        </w:rPr>
        <w:t>n°2018-010 du 12 février 2018 portant</w:t>
      </w:r>
      <w:r>
        <w:rPr>
          <w:rFonts w:ascii="Tw Cen MT" w:hAnsi="Tw Cen MT"/>
          <w:sz w:val="26"/>
          <w:szCs w:val="26"/>
        </w:rPr>
        <w:t xml:space="preserve"> </w:t>
      </w:r>
      <w:r w:rsidRPr="0046097C">
        <w:rPr>
          <w:rFonts w:ascii="Tw Cen MT" w:hAnsi="Tw Cen MT"/>
          <w:sz w:val="26"/>
          <w:szCs w:val="26"/>
        </w:rPr>
        <w:t>institution de taxes et prélèvements</w:t>
      </w:r>
      <w:r>
        <w:rPr>
          <w:rFonts w:ascii="Tw Cen MT" w:hAnsi="Tw Cen MT"/>
          <w:sz w:val="26"/>
          <w:szCs w:val="26"/>
        </w:rPr>
        <w:t xml:space="preserve"> divers</w:t>
      </w:r>
      <w:r w:rsidRPr="0046097C">
        <w:rPr>
          <w:rFonts w:ascii="Tw Cen MT" w:hAnsi="Tw Cen MT"/>
          <w:sz w:val="26"/>
          <w:szCs w:val="26"/>
        </w:rPr>
        <w:t>.</w:t>
      </w:r>
      <w:r>
        <w:rPr>
          <w:rFonts w:ascii="Tw Cen MT" w:hAnsi="Tw Cen MT"/>
          <w:sz w:val="26"/>
          <w:szCs w:val="26"/>
        </w:rPr>
        <w:t xml:space="preserve"> </w:t>
      </w:r>
      <w:r w:rsidR="00A255CD">
        <w:rPr>
          <w:rFonts w:ascii="Tw Cen MT" w:hAnsi="Tw Cen MT"/>
          <w:sz w:val="26"/>
          <w:szCs w:val="26"/>
        </w:rPr>
        <w:t>Elle</w:t>
      </w:r>
      <w:r>
        <w:rPr>
          <w:rFonts w:ascii="Tw Cen MT" w:hAnsi="Tw Cen MT"/>
          <w:sz w:val="26"/>
          <w:szCs w:val="26"/>
        </w:rPr>
        <w:t xml:space="preserve"> est </w:t>
      </w:r>
      <w:r w:rsidR="00A255CD">
        <w:rPr>
          <w:rFonts w:ascii="Tw Cen MT" w:hAnsi="Tw Cen MT"/>
          <w:sz w:val="26"/>
          <w:szCs w:val="26"/>
        </w:rPr>
        <w:t>destinée</w:t>
      </w:r>
      <w:r>
        <w:rPr>
          <w:rFonts w:ascii="Tw Cen MT" w:hAnsi="Tw Cen MT"/>
          <w:sz w:val="26"/>
          <w:szCs w:val="26"/>
        </w:rPr>
        <w:t xml:space="preserve"> à alimenter le Fonds de Développement Durable pour une période de trois (3) ans.</w:t>
      </w:r>
    </w:p>
    <w:p w14:paraId="39E300AE" w14:textId="5CB38E4F" w:rsidR="0046097C" w:rsidRPr="00B11D3B" w:rsidRDefault="0046097C" w:rsidP="00851ED2">
      <w:pPr>
        <w:spacing w:after="240"/>
        <w:jc w:val="both"/>
        <w:rPr>
          <w:rFonts w:ascii="Tw Cen MT" w:hAnsi="Tw Cen MT"/>
          <w:sz w:val="26"/>
          <w:szCs w:val="26"/>
        </w:rPr>
      </w:pPr>
      <w:r w:rsidRPr="0046097C">
        <w:rPr>
          <w:rFonts w:ascii="Tw Cen MT" w:hAnsi="Tw Cen MT"/>
          <w:sz w:val="26"/>
          <w:szCs w:val="26"/>
        </w:rPr>
        <w:t>La Contribution générale de Solidarité est assise</w:t>
      </w:r>
      <w:r>
        <w:rPr>
          <w:rFonts w:ascii="Tw Cen MT" w:hAnsi="Tw Cen MT"/>
          <w:sz w:val="26"/>
          <w:szCs w:val="26"/>
        </w:rPr>
        <w:t xml:space="preserve"> </w:t>
      </w:r>
      <w:r w:rsidRPr="0046097C">
        <w:rPr>
          <w:rFonts w:ascii="Tw Cen MT" w:hAnsi="Tw Cen MT"/>
          <w:sz w:val="26"/>
          <w:szCs w:val="26"/>
        </w:rPr>
        <w:t>sur le chiffre d’affaires hors taxe réalisé par les entreprises</w:t>
      </w:r>
      <w:r>
        <w:rPr>
          <w:rFonts w:ascii="Tw Cen MT" w:hAnsi="Tw Cen MT"/>
          <w:sz w:val="26"/>
          <w:szCs w:val="26"/>
        </w:rPr>
        <w:t xml:space="preserve"> </w:t>
      </w:r>
      <w:r w:rsidRPr="0046097C">
        <w:rPr>
          <w:rFonts w:ascii="Tw Cen MT" w:hAnsi="Tw Cen MT"/>
          <w:sz w:val="26"/>
          <w:szCs w:val="26"/>
        </w:rPr>
        <w:t>relevant de l’impôt sur les bénéfices industriels et</w:t>
      </w:r>
      <w:r>
        <w:rPr>
          <w:rFonts w:ascii="Tw Cen MT" w:hAnsi="Tw Cen MT"/>
          <w:sz w:val="26"/>
          <w:szCs w:val="26"/>
        </w:rPr>
        <w:t xml:space="preserve"> </w:t>
      </w:r>
      <w:r w:rsidRPr="0046097C">
        <w:rPr>
          <w:rFonts w:ascii="Tw Cen MT" w:hAnsi="Tw Cen MT"/>
          <w:sz w:val="26"/>
          <w:szCs w:val="26"/>
        </w:rPr>
        <w:t>commerciaux, de l’impôt sur les sociétés et de l’impôt</w:t>
      </w:r>
      <w:r>
        <w:rPr>
          <w:rFonts w:ascii="Tw Cen MT" w:hAnsi="Tw Cen MT"/>
          <w:sz w:val="26"/>
          <w:szCs w:val="26"/>
        </w:rPr>
        <w:t xml:space="preserve"> </w:t>
      </w:r>
      <w:r w:rsidRPr="0046097C">
        <w:rPr>
          <w:rFonts w:ascii="Tw Cen MT" w:hAnsi="Tw Cen MT"/>
          <w:sz w:val="26"/>
          <w:szCs w:val="26"/>
        </w:rPr>
        <w:t>synthétique</w:t>
      </w:r>
      <w:r>
        <w:rPr>
          <w:rFonts w:ascii="Tw Cen MT" w:hAnsi="Tw Cen MT"/>
          <w:sz w:val="26"/>
          <w:szCs w:val="26"/>
        </w:rPr>
        <w:t>. Son taux est fixé à 0,5%.</w:t>
      </w:r>
    </w:p>
    <w:p w14:paraId="77B918F8" w14:textId="074F24BF" w:rsidR="00097647" w:rsidRDefault="00097647" w:rsidP="0048041A">
      <w:pPr>
        <w:pStyle w:val="Paragraphedeliste"/>
        <w:numPr>
          <w:ilvl w:val="2"/>
          <w:numId w:val="9"/>
        </w:numPr>
        <w:spacing w:before="240" w:after="240"/>
        <w:contextualSpacing w:val="0"/>
        <w:outlineLvl w:val="1"/>
        <w:rPr>
          <w:rFonts w:ascii="Tw Cen MT" w:hAnsi="Tw Cen MT"/>
          <w:b/>
          <w:iCs/>
          <w:sz w:val="26"/>
          <w:szCs w:val="26"/>
        </w:rPr>
      </w:pPr>
      <w:bookmarkStart w:id="36" w:name="_Toc90999723"/>
      <w:r>
        <w:rPr>
          <w:rFonts w:ascii="Tw Cen MT" w:hAnsi="Tw Cen MT"/>
          <w:b/>
          <w:iCs/>
          <w:sz w:val="26"/>
          <w:szCs w:val="26"/>
        </w:rPr>
        <w:t xml:space="preserve">Périmètre des </w:t>
      </w:r>
      <w:r w:rsidR="0046097C">
        <w:rPr>
          <w:rFonts w:ascii="Tw Cen MT" w:hAnsi="Tw Cen MT"/>
          <w:b/>
          <w:iCs/>
          <w:sz w:val="26"/>
          <w:szCs w:val="26"/>
        </w:rPr>
        <w:t>organismes collecteurs et des collectivités territoriales</w:t>
      </w:r>
      <w:bookmarkEnd w:id="36"/>
    </w:p>
    <w:p w14:paraId="4F7B30F3" w14:textId="1B7C439B" w:rsidR="00097647" w:rsidRPr="0046097C" w:rsidRDefault="00097647" w:rsidP="00B11D3B">
      <w:pPr>
        <w:spacing w:after="240" w:line="276" w:lineRule="auto"/>
        <w:jc w:val="both"/>
        <w:rPr>
          <w:rFonts w:ascii="Tw Cen MT" w:hAnsi="Tw Cen MT"/>
          <w:sz w:val="26"/>
          <w:szCs w:val="26"/>
        </w:rPr>
      </w:pPr>
      <w:bookmarkStart w:id="37" w:name="_Toc89810997"/>
      <w:bookmarkStart w:id="38" w:name="_Toc89811115"/>
      <w:bookmarkStart w:id="39" w:name="_Toc89811389"/>
      <w:r w:rsidRPr="0046097C">
        <w:rPr>
          <w:rFonts w:ascii="Tw Cen MT" w:hAnsi="Tw Cen MT"/>
          <w:sz w:val="26"/>
          <w:szCs w:val="26"/>
        </w:rPr>
        <w:t xml:space="preserve">Nous proposons </w:t>
      </w:r>
      <w:r w:rsidR="0046097C" w:rsidRPr="0046097C">
        <w:rPr>
          <w:rFonts w:ascii="Tw Cen MT" w:hAnsi="Tw Cen MT"/>
          <w:sz w:val="26"/>
          <w:szCs w:val="26"/>
        </w:rPr>
        <w:t>de retenir dans le périmètre, les organismes collecteurs gouvernementaux ci</w:t>
      </w:r>
      <w:r w:rsidRPr="0046097C">
        <w:rPr>
          <w:rFonts w:ascii="Tw Cen MT" w:hAnsi="Tw Cen MT"/>
          <w:sz w:val="26"/>
          <w:szCs w:val="26"/>
        </w:rPr>
        <w:t>-dessous :</w:t>
      </w:r>
      <w:bookmarkEnd w:id="37"/>
      <w:bookmarkEnd w:id="38"/>
      <w:bookmarkEnd w:id="39"/>
    </w:p>
    <w:p w14:paraId="5FAA7BC3" w14:textId="158CB06E" w:rsidR="00097647" w:rsidRPr="00320355" w:rsidRDefault="00097647" w:rsidP="00267D1D">
      <w:pPr>
        <w:pStyle w:val="Paragraphedeliste"/>
        <w:numPr>
          <w:ilvl w:val="0"/>
          <w:numId w:val="27"/>
        </w:numPr>
        <w:spacing w:line="276" w:lineRule="auto"/>
        <w:ind w:left="993" w:hanging="567"/>
        <w:rPr>
          <w:rFonts w:ascii="Tw Cen MT" w:hAnsi="Tw Cen MT"/>
          <w:sz w:val="26"/>
          <w:szCs w:val="26"/>
        </w:rPr>
      </w:pPr>
      <w:r w:rsidRPr="00320355">
        <w:rPr>
          <w:rFonts w:ascii="Tw Cen MT" w:hAnsi="Tw Cen MT"/>
          <w:sz w:val="26"/>
          <w:szCs w:val="26"/>
        </w:rPr>
        <w:t>Direction Grandes Entreprises (DGE)</w:t>
      </w:r>
      <w:r w:rsidR="0046097C">
        <w:rPr>
          <w:rFonts w:ascii="Tw Cen MT" w:hAnsi="Tw Cen MT"/>
          <w:sz w:val="26"/>
          <w:szCs w:val="26"/>
        </w:rPr>
        <w:t> ;</w:t>
      </w:r>
    </w:p>
    <w:p w14:paraId="2A5AC9C6" w14:textId="249B4203" w:rsidR="00097647" w:rsidRPr="00320355" w:rsidRDefault="00097647" w:rsidP="00267D1D">
      <w:pPr>
        <w:pStyle w:val="Paragraphedeliste"/>
        <w:numPr>
          <w:ilvl w:val="0"/>
          <w:numId w:val="27"/>
        </w:numPr>
        <w:spacing w:line="276" w:lineRule="auto"/>
        <w:ind w:left="993" w:hanging="567"/>
        <w:rPr>
          <w:rFonts w:ascii="Tw Cen MT" w:hAnsi="Tw Cen MT"/>
          <w:sz w:val="26"/>
          <w:szCs w:val="26"/>
        </w:rPr>
      </w:pPr>
      <w:r w:rsidRPr="00320355">
        <w:rPr>
          <w:rFonts w:ascii="Tw Cen MT" w:hAnsi="Tw Cen MT"/>
          <w:sz w:val="26"/>
          <w:szCs w:val="26"/>
        </w:rPr>
        <w:t>Direction Régionale des Impôts de Kayes</w:t>
      </w:r>
    </w:p>
    <w:p w14:paraId="68BE59B8" w14:textId="296565FA" w:rsidR="00097647" w:rsidRDefault="00097647" w:rsidP="00267D1D">
      <w:pPr>
        <w:pStyle w:val="Paragraphedeliste"/>
        <w:numPr>
          <w:ilvl w:val="0"/>
          <w:numId w:val="27"/>
        </w:numPr>
        <w:spacing w:line="276" w:lineRule="auto"/>
        <w:ind w:left="993" w:hanging="567"/>
        <w:rPr>
          <w:rFonts w:ascii="Tw Cen MT" w:hAnsi="Tw Cen MT"/>
          <w:sz w:val="26"/>
          <w:szCs w:val="26"/>
        </w:rPr>
      </w:pPr>
      <w:r w:rsidRPr="00320355">
        <w:rPr>
          <w:rFonts w:ascii="Tw Cen MT" w:hAnsi="Tw Cen MT"/>
          <w:sz w:val="26"/>
          <w:szCs w:val="26"/>
        </w:rPr>
        <w:t>Direction Régionale des Impôts de Sikasso</w:t>
      </w:r>
    </w:p>
    <w:p w14:paraId="3205FDD7" w14:textId="4B92A76C" w:rsidR="003B461D" w:rsidRPr="00320355" w:rsidRDefault="003B461D" w:rsidP="00267D1D">
      <w:pPr>
        <w:pStyle w:val="Paragraphedeliste"/>
        <w:numPr>
          <w:ilvl w:val="0"/>
          <w:numId w:val="27"/>
        </w:numPr>
        <w:spacing w:line="276" w:lineRule="auto"/>
        <w:ind w:left="993" w:hanging="567"/>
        <w:rPr>
          <w:rFonts w:ascii="Tw Cen MT" w:hAnsi="Tw Cen MT"/>
          <w:sz w:val="26"/>
          <w:szCs w:val="26"/>
        </w:rPr>
      </w:pPr>
      <w:r>
        <w:rPr>
          <w:rFonts w:ascii="Tw Cen MT" w:hAnsi="Tw Cen MT"/>
          <w:sz w:val="26"/>
          <w:szCs w:val="26"/>
        </w:rPr>
        <w:t xml:space="preserve">Direction </w:t>
      </w:r>
      <w:r w:rsidRPr="00320355">
        <w:rPr>
          <w:rFonts w:ascii="Tw Cen MT" w:hAnsi="Tw Cen MT"/>
          <w:sz w:val="26"/>
          <w:szCs w:val="26"/>
        </w:rPr>
        <w:t xml:space="preserve">Régionale des Impôts de </w:t>
      </w:r>
      <w:r>
        <w:rPr>
          <w:rFonts w:ascii="Tw Cen MT" w:hAnsi="Tw Cen MT"/>
          <w:sz w:val="26"/>
          <w:szCs w:val="26"/>
        </w:rPr>
        <w:t>Koulikoro</w:t>
      </w:r>
    </w:p>
    <w:p w14:paraId="054BAEE1" w14:textId="093A562C" w:rsidR="00097647" w:rsidRPr="00320355" w:rsidRDefault="00097647" w:rsidP="00267D1D">
      <w:pPr>
        <w:pStyle w:val="Paragraphedeliste"/>
        <w:numPr>
          <w:ilvl w:val="0"/>
          <w:numId w:val="27"/>
        </w:numPr>
        <w:spacing w:line="276" w:lineRule="auto"/>
        <w:ind w:left="993" w:hanging="567"/>
        <w:rPr>
          <w:rFonts w:ascii="Tw Cen MT" w:hAnsi="Tw Cen MT"/>
          <w:sz w:val="26"/>
          <w:szCs w:val="26"/>
        </w:rPr>
      </w:pPr>
      <w:r w:rsidRPr="00320355">
        <w:rPr>
          <w:rFonts w:ascii="Tw Cen MT" w:hAnsi="Tw Cen MT"/>
          <w:sz w:val="26"/>
          <w:szCs w:val="26"/>
        </w:rPr>
        <w:t>Direction Nationale du Trésor et de la Comptabilité Publique</w:t>
      </w:r>
      <w:r w:rsidR="00434319" w:rsidRPr="00320355">
        <w:rPr>
          <w:rFonts w:ascii="Tw Cen MT" w:hAnsi="Tw Cen MT"/>
          <w:sz w:val="26"/>
          <w:szCs w:val="26"/>
        </w:rPr>
        <w:t xml:space="preserve"> (Trésoreries régionales de Kayes</w:t>
      </w:r>
      <w:r w:rsidR="003B461D">
        <w:rPr>
          <w:rFonts w:ascii="Tw Cen MT" w:hAnsi="Tw Cen MT"/>
          <w:sz w:val="26"/>
          <w:szCs w:val="26"/>
        </w:rPr>
        <w:t xml:space="preserve">, </w:t>
      </w:r>
      <w:r w:rsidR="00434319" w:rsidRPr="00320355">
        <w:rPr>
          <w:rFonts w:ascii="Tw Cen MT" w:hAnsi="Tw Cen MT"/>
          <w:sz w:val="26"/>
          <w:szCs w:val="26"/>
        </w:rPr>
        <w:t>Sikasso</w:t>
      </w:r>
      <w:r w:rsidR="003B461D">
        <w:rPr>
          <w:rFonts w:ascii="Tw Cen MT" w:hAnsi="Tw Cen MT"/>
          <w:sz w:val="26"/>
          <w:szCs w:val="26"/>
        </w:rPr>
        <w:t xml:space="preserve"> et Koulikoro</w:t>
      </w:r>
      <w:r w:rsidR="00434319" w:rsidRPr="00320355">
        <w:rPr>
          <w:rFonts w:ascii="Tw Cen MT" w:hAnsi="Tw Cen MT"/>
          <w:sz w:val="26"/>
          <w:szCs w:val="26"/>
        </w:rPr>
        <w:t>) ;</w:t>
      </w:r>
    </w:p>
    <w:p w14:paraId="75CC3A5E" w14:textId="3288643F" w:rsidR="00097647" w:rsidRPr="00320355" w:rsidRDefault="00097647" w:rsidP="00267D1D">
      <w:pPr>
        <w:pStyle w:val="Paragraphedeliste"/>
        <w:numPr>
          <w:ilvl w:val="0"/>
          <w:numId w:val="27"/>
        </w:numPr>
        <w:spacing w:line="276" w:lineRule="auto"/>
        <w:ind w:left="993" w:hanging="567"/>
        <w:rPr>
          <w:rFonts w:ascii="Tw Cen MT" w:hAnsi="Tw Cen MT"/>
          <w:sz w:val="26"/>
          <w:szCs w:val="26"/>
        </w:rPr>
      </w:pPr>
      <w:r w:rsidRPr="00320355">
        <w:rPr>
          <w:rFonts w:ascii="Tw Cen MT" w:hAnsi="Tw Cen MT"/>
          <w:sz w:val="26"/>
          <w:szCs w:val="26"/>
        </w:rPr>
        <w:t>Direction Nationale des Domaines (DND)</w:t>
      </w:r>
      <w:r w:rsidR="00434319" w:rsidRPr="00320355">
        <w:rPr>
          <w:rFonts w:ascii="Tw Cen MT" w:hAnsi="Tw Cen MT"/>
          <w:sz w:val="26"/>
          <w:szCs w:val="26"/>
        </w:rPr>
        <w:t> ;</w:t>
      </w:r>
    </w:p>
    <w:p w14:paraId="36E82667" w14:textId="37AD2AD8" w:rsidR="00097647" w:rsidRPr="00320355" w:rsidRDefault="00097647" w:rsidP="00267D1D">
      <w:pPr>
        <w:pStyle w:val="Paragraphedeliste"/>
        <w:numPr>
          <w:ilvl w:val="0"/>
          <w:numId w:val="27"/>
        </w:numPr>
        <w:spacing w:line="276" w:lineRule="auto"/>
        <w:ind w:left="993" w:hanging="567"/>
        <w:rPr>
          <w:rFonts w:ascii="Tw Cen MT" w:hAnsi="Tw Cen MT"/>
          <w:sz w:val="26"/>
          <w:szCs w:val="26"/>
        </w:rPr>
      </w:pPr>
      <w:r w:rsidRPr="00320355">
        <w:rPr>
          <w:rFonts w:ascii="Tw Cen MT" w:hAnsi="Tw Cen MT"/>
          <w:sz w:val="26"/>
          <w:szCs w:val="26"/>
        </w:rPr>
        <w:t>Direction Générale des Douanes (DGD)</w:t>
      </w:r>
      <w:r w:rsidR="00434319" w:rsidRPr="00320355">
        <w:rPr>
          <w:rFonts w:ascii="Tw Cen MT" w:hAnsi="Tw Cen MT"/>
          <w:sz w:val="26"/>
          <w:szCs w:val="26"/>
        </w:rPr>
        <w:t> ;</w:t>
      </w:r>
    </w:p>
    <w:p w14:paraId="031619CF" w14:textId="3D8EF437" w:rsidR="00097647" w:rsidRPr="00320355" w:rsidRDefault="00097647" w:rsidP="00267D1D">
      <w:pPr>
        <w:pStyle w:val="Paragraphedeliste"/>
        <w:numPr>
          <w:ilvl w:val="0"/>
          <w:numId w:val="27"/>
        </w:numPr>
        <w:spacing w:line="276" w:lineRule="auto"/>
        <w:ind w:left="993" w:hanging="567"/>
        <w:rPr>
          <w:rFonts w:ascii="Tw Cen MT" w:hAnsi="Tw Cen MT"/>
          <w:sz w:val="26"/>
          <w:szCs w:val="26"/>
        </w:rPr>
      </w:pPr>
      <w:r w:rsidRPr="00320355">
        <w:rPr>
          <w:rFonts w:ascii="Tw Cen MT" w:hAnsi="Tw Cen MT"/>
          <w:sz w:val="26"/>
          <w:szCs w:val="26"/>
        </w:rPr>
        <w:t>Direction Nationale de la Géologie et des Mines (DNGM)</w:t>
      </w:r>
      <w:r w:rsidR="00434319" w:rsidRPr="00320355">
        <w:rPr>
          <w:rFonts w:ascii="Tw Cen MT" w:hAnsi="Tw Cen MT"/>
          <w:sz w:val="26"/>
          <w:szCs w:val="26"/>
        </w:rPr>
        <w:t> ;</w:t>
      </w:r>
    </w:p>
    <w:p w14:paraId="01E8CC41" w14:textId="0072E404" w:rsidR="00097647" w:rsidRPr="00320355" w:rsidRDefault="00097647" w:rsidP="00267D1D">
      <w:pPr>
        <w:pStyle w:val="Paragraphedeliste"/>
        <w:numPr>
          <w:ilvl w:val="0"/>
          <w:numId w:val="27"/>
        </w:numPr>
        <w:spacing w:line="276" w:lineRule="auto"/>
        <w:ind w:left="993" w:hanging="567"/>
        <w:rPr>
          <w:rFonts w:ascii="Tw Cen MT" w:hAnsi="Tw Cen MT"/>
          <w:sz w:val="26"/>
          <w:szCs w:val="26"/>
        </w:rPr>
      </w:pPr>
      <w:r w:rsidRPr="00320355">
        <w:rPr>
          <w:rFonts w:ascii="Tw Cen MT" w:hAnsi="Tw Cen MT"/>
          <w:sz w:val="26"/>
          <w:szCs w:val="26"/>
        </w:rPr>
        <w:t xml:space="preserve">Office Nationale de </w:t>
      </w:r>
      <w:r w:rsidR="00434319" w:rsidRPr="00320355">
        <w:rPr>
          <w:rFonts w:ascii="Tw Cen MT" w:hAnsi="Tw Cen MT"/>
          <w:sz w:val="26"/>
          <w:szCs w:val="26"/>
        </w:rPr>
        <w:t xml:space="preserve">la </w:t>
      </w:r>
      <w:r w:rsidRPr="00320355">
        <w:rPr>
          <w:rFonts w:ascii="Tw Cen MT" w:hAnsi="Tw Cen MT"/>
          <w:sz w:val="26"/>
          <w:szCs w:val="26"/>
        </w:rPr>
        <w:t>Recherche Pétrolière (ONRP)</w:t>
      </w:r>
      <w:r w:rsidR="00434319" w:rsidRPr="00320355">
        <w:rPr>
          <w:rFonts w:ascii="Tw Cen MT" w:hAnsi="Tw Cen MT"/>
          <w:sz w:val="26"/>
          <w:szCs w:val="26"/>
        </w:rPr>
        <w:t> ;</w:t>
      </w:r>
    </w:p>
    <w:p w14:paraId="32C4C95D" w14:textId="2F39E668" w:rsidR="001C5E0F" w:rsidRDefault="00097647" w:rsidP="00267D1D">
      <w:pPr>
        <w:pStyle w:val="Paragraphedeliste"/>
        <w:numPr>
          <w:ilvl w:val="0"/>
          <w:numId w:val="27"/>
        </w:numPr>
        <w:spacing w:line="276" w:lineRule="auto"/>
        <w:ind w:left="993" w:hanging="567"/>
        <w:rPr>
          <w:rFonts w:ascii="Tw Cen MT" w:hAnsi="Tw Cen MT"/>
          <w:sz w:val="26"/>
          <w:szCs w:val="26"/>
        </w:rPr>
      </w:pPr>
      <w:r w:rsidRPr="00320355">
        <w:rPr>
          <w:rFonts w:ascii="Tw Cen MT" w:hAnsi="Tw Cen MT"/>
          <w:sz w:val="26"/>
          <w:szCs w:val="26"/>
        </w:rPr>
        <w:t>Institut National de Prévoyance Sociale (INPS)</w:t>
      </w:r>
      <w:r w:rsidR="00320355" w:rsidRPr="00320355">
        <w:rPr>
          <w:rFonts w:ascii="Tw Cen MT" w:hAnsi="Tw Cen MT"/>
          <w:sz w:val="26"/>
          <w:szCs w:val="26"/>
        </w:rPr>
        <w:t>.</w:t>
      </w:r>
    </w:p>
    <w:p w14:paraId="5B48F4DA" w14:textId="2F5E2E8E" w:rsidR="001C5E0F" w:rsidRDefault="001C5E0F" w:rsidP="001C5E0F">
      <w:pPr>
        <w:spacing w:line="276" w:lineRule="auto"/>
        <w:rPr>
          <w:rFonts w:ascii="Tw Cen MT" w:hAnsi="Tw Cen MT"/>
          <w:sz w:val="26"/>
          <w:szCs w:val="26"/>
        </w:rPr>
      </w:pPr>
    </w:p>
    <w:p w14:paraId="6D4E5AC9" w14:textId="77777777" w:rsidR="001C5E0F" w:rsidRDefault="001C5E0F" w:rsidP="001C5E0F">
      <w:pPr>
        <w:spacing w:line="276" w:lineRule="auto"/>
        <w:rPr>
          <w:rFonts w:ascii="Tw Cen MT" w:hAnsi="Tw Cen MT"/>
          <w:sz w:val="26"/>
          <w:szCs w:val="26"/>
        </w:rPr>
      </w:pPr>
    </w:p>
    <w:p w14:paraId="43540D05" w14:textId="77777777" w:rsidR="001C5E0F" w:rsidRDefault="001C5E0F" w:rsidP="001C5E0F">
      <w:pPr>
        <w:spacing w:line="276" w:lineRule="auto"/>
        <w:rPr>
          <w:rFonts w:ascii="Tw Cen MT" w:hAnsi="Tw Cen MT"/>
          <w:sz w:val="26"/>
          <w:szCs w:val="26"/>
        </w:rPr>
      </w:pPr>
    </w:p>
    <w:p w14:paraId="7D5D8FDB" w14:textId="77777777" w:rsidR="001C5E0F" w:rsidRDefault="001C5E0F" w:rsidP="001C5E0F">
      <w:pPr>
        <w:spacing w:line="276" w:lineRule="auto"/>
        <w:rPr>
          <w:rFonts w:ascii="Tw Cen MT" w:hAnsi="Tw Cen MT"/>
          <w:sz w:val="26"/>
          <w:szCs w:val="26"/>
        </w:rPr>
      </w:pPr>
    </w:p>
    <w:p w14:paraId="43DADE11" w14:textId="096AB37B" w:rsidR="001C5E0F" w:rsidRDefault="001C5E0F" w:rsidP="00851ED2">
      <w:pPr>
        <w:spacing w:after="240" w:line="276" w:lineRule="auto"/>
        <w:rPr>
          <w:rFonts w:ascii="Tw Cen MT" w:hAnsi="Tw Cen MT"/>
          <w:sz w:val="26"/>
          <w:szCs w:val="26"/>
        </w:rPr>
      </w:pPr>
      <w:r>
        <w:rPr>
          <w:rFonts w:ascii="Tw Cen MT" w:hAnsi="Tw Cen MT"/>
          <w:sz w:val="26"/>
          <w:szCs w:val="26"/>
        </w:rPr>
        <w:t>Le tableau ci-dessous présente les collectivités territoriales à retenir dans le périmètre pour la conciliation des transferts des revenus infranationaux :</w:t>
      </w:r>
      <w:r>
        <w:rPr>
          <w:rFonts w:ascii="Tw Cen MT" w:hAnsi="Tw Cen MT"/>
          <w:sz w:val="26"/>
          <w:szCs w:val="26"/>
        </w:rPr>
        <w:tab/>
      </w:r>
    </w:p>
    <w:p w14:paraId="5D743B71" w14:textId="5140A41E" w:rsidR="00A255CD" w:rsidRPr="00A255CD" w:rsidRDefault="00A255CD" w:rsidP="00A255CD">
      <w:pPr>
        <w:pStyle w:val="Lgende"/>
        <w:rPr>
          <w:rFonts w:ascii="Tw Cen MT" w:hAnsi="Tw Cen MT"/>
          <w:b/>
          <w:bCs/>
          <w:i w:val="0"/>
          <w:iCs w:val="0"/>
          <w:color w:val="auto"/>
          <w:sz w:val="24"/>
          <w:szCs w:val="24"/>
        </w:rPr>
      </w:pPr>
      <w:bookmarkStart w:id="40" w:name="_Toc90995625"/>
      <w:r w:rsidRPr="00A255CD">
        <w:rPr>
          <w:rFonts w:ascii="Tw Cen MT" w:hAnsi="Tw Cen MT"/>
          <w:b/>
          <w:bCs/>
          <w:i w:val="0"/>
          <w:iCs w:val="0"/>
          <w:color w:val="auto"/>
          <w:sz w:val="24"/>
          <w:szCs w:val="24"/>
        </w:rPr>
        <w:t xml:space="preserve">Tableau </w:t>
      </w:r>
      <w:r w:rsidRPr="00A255CD">
        <w:rPr>
          <w:rFonts w:ascii="Tw Cen MT" w:hAnsi="Tw Cen MT"/>
          <w:b/>
          <w:bCs/>
          <w:i w:val="0"/>
          <w:iCs w:val="0"/>
          <w:color w:val="auto"/>
          <w:sz w:val="24"/>
          <w:szCs w:val="24"/>
        </w:rPr>
        <w:fldChar w:fldCharType="begin"/>
      </w:r>
      <w:r w:rsidRPr="00A255CD">
        <w:rPr>
          <w:rFonts w:ascii="Tw Cen MT" w:hAnsi="Tw Cen MT"/>
          <w:b/>
          <w:bCs/>
          <w:i w:val="0"/>
          <w:iCs w:val="0"/>
          <w:color w:val="auto"/>
          <w:sz w:val="24"/>
          <w:szCs w:val="24"/>
        </w:rPr>
        <w:instrText xml:space="preserve"> SEQ Tableau \* ARABIC </w:instrText>
      </w:r>
      <w:r w:rsidRPr="00A255CD">
        <w:rPr>
          <w:rFonts w:ascii="Tw Cen MT" w:hAnsi="Tw Cen MT"/>
          <w:b/>
          <w:bCs/>
          <w:i w:val="0"/>
          <w:iCs w:val="0"/>
          <w:color w:val="auto"/>
          <w:sz w:val="24"/>
          <w:szCs w:val="24"/>
        </w:rPr>
        <w:fldChar w:fldCharType="separate"/>
      </w:r>
      <w:r w:rsidR="00A54243">
        <w:rPr>
          <w:rFonts w:ascii="Tw Cen MT" w:hAnsi="Tw Cen MT"/>
          <w:b/>
          <w:bCs/>
          <w:i w:val="0"/>
          <w:iCs w:val="0"/>
          <w:noProof/>
          <w:color w:val="auto"/>
          <w:sz w:val="24"/>
          <w:szCs w:val="24"/>
        </w:rPr>
        <w:t>3</w:t>
      </w:r>
      <w:r w:rsidRPr="00A255CD">
        <w:rPr>
          <w:rFonts w:ascii="Tw Cen MT" w:hAnsi="Tw Cen MT"/>
          <w:b/>
          <w:bCs/>
          <w:i w:val="0"/>
          <w:iCs w:val="0"/>
          <w:color w:val="auto"/>
          <w:sz w:val="24"/>
          <w:szCs w:val="24"/>
        </w:rPr>
        <w:fldChar w:fldCharType="end"/>
      </w:r>
      <w:r w:rsidRPr="00A255CD">
        <w:rPr>
          <w:rFonts w:ascii="Tw Cen MT" w:hAnsi="Tw Cen MT"/>
          <w:b/>
          <w:bCs/>
          <w:i w:val="0"/>
          <w:iCs w:val="0"/>
          <w:color w:val="auto"/>
          <w:sz w:val="24"/>
          <w:szCs w:val="24"/>
        </w:rPr>
        <w:t> : Liste des collectivités territoriales bénéficiaires des transferts infranationaux</w:t>
      </w:r>
      <w:bookmarkEnd w:id="40"/>
    </w:p>
    <w:tbl>
      <w:tblPr>
        <w:tblW w:w="9203"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70" w:type="dxa"/>
          <w:right w:w="70" w:type="dxa"/>
        </w:tblCellMar>
        <w:tblLook w:val="04A0" w:firstRow="1" w:lastRow="0" w:firstColumn="1" w:lastColumn="0" w:noHBand="0" w:noVBand="1"/>
      </w:tblPr>
      <w:tblGrid>
        <w:gridCol w:w="3109"/>
        <w:gridCol w:w="2976"/>
        <w:gridCol w:w="3118"/>
      </w:tblGrid>
      <w:tr w:rsidR="001C5E0F" w:rsidRPr="001C5E0F" w14:paraId="6DA08A43" w14:textId="77777777" w:rsidTr="00851ED2">
        <w:trPr>
          <w:trHeight w:val="395"/>
          <w:tblHeader/>
          <w:jc w:val="center"/>
        </w:trPr>
        <w:tc>
          <w:tcPr>
            <w:tcW w:w="3109" w:type="dxa"/>
            <w:shd w:val="clear" w:color="000000" w:fill="00AEDD"/>
            <w:noWrap/>
            <w:vAlign w:val="center"/>
            <w:hideMark/>
          </w:tcPr>
          <w:p w14:paraId="23E6FF83" w14:textId="77777777" w:rsidR="001C5E0F" w:rsidRPr="001C5E0F" w:rsidRDefault="001C5E0F" w:rsidP="001C5E0F">
            <w:pPr>
              <w:spacing w:line="276" w:lineRule="auto"/>
              <w:jc w:val="center"/>
              <w:rPr>
                <w:rFonts w:ascii="Tw Cen MT" w:hAnsi="Tw Cen MT" w:cs="Calibri"/>
                <w:b/>
                <w:bCs/>
                <w:color w:val="FFFFFF"/>
                <w:lang w:eastAsia="fr-FR"/>
              </w:rPr>
            </w:pPr>
            <w:r w:rsidRPr="001C5E0F">
              <w:rPr>
                <w:rFonts w:ascii="Tw Cen MT" w:hAnsi="Tw Cen MT" w:cs="Calibri"/>
                <w:b/>
                <w:bCs/>
                <w:color w:val="FFFFFF"/>
                <w:lang w:eastAsia="fr-FR"/>
              </w:rPr>
              <w:t>Région Administrative de Sikasso</w:t>
            </w:r>
          </w:p>
        </w:tc>
        <w:tc>
          <w:tcPr>
            <w:tcW w:w="2976" w:type="dxa"/>
            <w:shd w:val="clear" w:color="000000" w:fill="00AEDD"/>
          </w:tcPr>
          <w:p w14:paraId="6FE512D0" w14:textId="77777777" w:rsidR="001C5E0F" w:rsidRPr="001C5E0F" w:rsidRDefault="001C5E0F" w:rsidP="001C5E0F">
            <w:pPr>
              <w:spacing w:line="276" w:lineRule="auto"/>
              <w:jc w:val="center"/>
              <w:rPr>
                <w:rFonts w:ascii="Tw Cen MT" w:hAnsi="Tw Cen MT" w:cs="Calibri"/>
                <w:b/>
                <w:bCs/>
                <w:color w:val="FFFFFF"/>
                <w:lang w:eastAsia="fr-FR"/>
              </w:rPr>
            </w:pPr>
            <w:r w:rsidRPr="001C5E0F">
              <w:rPr>
                <w:rFonts w:ascii="Tw Cen MT" w:hAnsi="Tw Cen MT" w:cs="Calibri"/>
                <w:b/>
                <w:bCs/>
                <w:color w:val="FFFFFF"/>
                <w:lang w:eastAsia="fr-FR"/>
              </w:rPr>
              <w:t>Région Administrative de Kayes</w:t>
            </w:r>
          </w:p>
        </w:tc>
        <w:tc>
          <w:tcPr>
            <w:tcW w:w="3118" w:type="dxa"/>
            <w:shd w:val="clear" w:color="000000" w:fill="00AEDD"/>
          </w:tcPr>
          <w:p w14:paraId="420FA7AE" w14:textId="77777777" w:rsidR="001C5E0F" w:rsidRPr="001C5E0F" w:rsidRDefault="001C5E0F" w:rsidP="001C5E0F">
            <w:pPr>
              <w:spacing w:line="276" w:lineRule="auto"/>
              <w:jc w:val="center"/>
              <w:rPr>
                <w:rFonts w:ascii="Tw Cen MT" w:hAnsi="Tw Cen MT" w:cs="Calibri"/>
                <w:b/>
                <w:bCs/>
                <w:color w:val="FFFFFF"/>
                <w:lang w:eastAsia="fr-FR"/>
              </w:rPr>
            </w:pPr>
            <w:r w:rsidRPr="001C5E0F">
              <w:rPr>
                <w:rFonts w:ascii="Tw Cen MT" w:hAnsi="Tw Cen MT" w:cs="Calibri"/>
                <w:b/>
                <w:bCs/>
                <w:color w:val="FFFFFF"/>
                <w:lang w:eastAsia="fr-FR"/>
              </w:rPr>
              <w:t>Région Administrative de Koulikoro</w:t>
            </w:r>
          </w:p>
        </w:tc>
      </w:tr>
      <w:tr w:rsidR="001C5E0F" w:rsidRPr="001C5E0F" w14:paraId="16AFB433" w14:textId="77777777" w:rsidTr="00851ED2">
        <w:trPr>
          <w:trHeight w:val="299"/>
          <w:jc w:val="center"/>
        </w:trPr>
        <w:tc>
          <w:tcPr>
            <w:tcW w:w="3109" w:type="dxa"/>
            <w:shd w:val="clear" w:color="auto" w:fill="auto"/>
            <w:noWrap/>
            <w:vAlign w:val="center"/>
            <w:hideMark/>
          </w:tcPr>
          <w:p w14:paraId="42E51431" w14:textId="77777777" w:rsidR="001C5E0F" w:rsidRPr="00851ED2" w:rsidRDefault="001C5E0F" w:rsidP="00851ED2">
            <w:pPr>
              <w:pStyle w:val="Paragraphedeliste"/>
              <w:numPr>
                <w:ilvl w:val="0"/>
                <w:numId w:val="28"/>
              </w:numPr>
              <w:spacing w:line="276" w:lineRule="auto"/>
              <w:ind w:left="486"/>
              <w:rPr>
                <w:rFonts w:ascii="Tw Cen MT" w:hAnsi="Tw Cen MT" w:cs="Calibri"/>
                <w:color w:val="000000"/>
                <w:lang w:eastAsia="fr-FR"/>
              </w:rPr>
            </w:pPr>
            <w:r w:rsidRPr="00851ED2">
              <w:rPr>
                <w:rFonts w:ascii="Tw Cen MT" w:hAnsi="Tw Cen MT" w:cs="Calibri"/>
                <w:color w:val="000000"/>
                <w:lang w:eastAsia="fr-FR"/>
              </w:rPr>
              <w:t>Collectivité Région de Sikasso</w:t>
            </w:r>
          </w:p>
        </w:tc>
        <w:tc>
          <w:tcPr>
            <w:tcW w:w="2976" w:type="dxa"/>
            <w:vAlign w:val="center"/>
          </w:tcPr>
          <w:p w14:paraId="69446C59" w14:textId="77777777" w:rsidR="001C5E0F" w:rsidRPr="00851ED2" w:rsidRDefault="001C5E0F" w:rsidP="00851ED2">
            <w:pPr>
              <w:pStyle w:val="Paragraphedeliste"/>
              <w:numPr>
                <w:ilvl w:val="0"/>
                <w:numId w:val="29"/>
              </w:numPr>
              <w:spacing w:line="276" w:lineRule="auto"/>
              <w:ind w:left="495"/>
              <w:rPr>
                <w:rFonts w:ascii="Tw Cen MT" w:hAnsi="Tw Cen MT" w:cs="Calibri"/>
                <w:color w:val="000000"/>
                <w:lang w:eastAsia="fr-FR"/>
              </w:rPr>
            </w:pPr>
            <w:r w:rsidRPr="00851ED2">
              <w:rPr>
                <w:rFonts w:ascii="Tw Cen MT" w:hAnsi="Tw Cen MT" w:cs="Calibri"/>
                <w:color w:val="000000"/>
                <w:lang w:eastAsia="fr-FR"/>
              </w:rPr>
              <w:t>Conseil régional de Kayes</w:t>
            </w:r>
          </w:p>
        </w:tc>
        <w:tc>
          <w:tcPr>
            <w:tcW w:w="3118" w:type="dxa"/>
            <w:vAlign w:val="center"/>
          </w:tcPr>
          <w:p w14:paraId="00FD764A" w14:textId="77777777" w:rsidR="001C5E0F" w:rsidRPr="00851ED2" w:rsidRDefault="001C5E0F" w:rsidP="00851ED2">
            <w:pPr>
              <w:pStyle w:val="Paragraphedeliste"/>
              <w:numPr>
                <w:ilvl w:val="0"/>
                <w:numId w:val="30"/>
              </w:numPr>
              <w:spacing w:line="276" w:lineRule="auto"/>
              <w:ind w:left="502"/>
              <w:rPr>
                <w:rFonts w:ascii="Tw Cen MT" w:hAnsi="Tw Cen MT" w:cs="Calibri"/>
                <w:color w:val="000000"/>
                <w:lang w:eastAsia="fr-FR"/>
              </w:rPr>
            </w:pPr>
            <w:r w:rsidRPr="00851ED2">
              <w:rPr>
                <w:rFonts w:ascii="Tw Cen MT" w:hAnsi="Tw Cen MT" w:cs="Calibri"/>
                <w:color w:val="000000"/>
                <w:lang w:eastAsia="fr-FR"/>
              </w:rPr>
              <w:t>Conseil régional de Koulikoro</w:t>
            </w:r>
          </w:p>
        </w:tc>
      </w:tr>
      <w:tr w:rsidR="001C5E0F" w:rsidRPr="001C5E0F" w14:paraId="714D0BBC" w14:textId="77777777" w:rsidTr="00851ED2">
        <w:trPr>
          <w:trHeight w:val="324"/>
          <w:jc w:val="center"/>
        </w:trPr>
        <w:tc>
          <w:tcPr>
            <w:tcW w:w="3109" w:type="dxa"/>
            <w:shd w:val="clear" w:color="auto" w:fill="auto"/>
            <w:noWrap/>
            <w:vAlign w:val="center"/>
            <w:hideMark/>
          </w:tcPr>
          <w:p w14:paraId="6DA0CEA9" w14:textId="77777777" w:rsidR="001C5E0F" w:rsidRPr="00851ED2" w:rsidRDefault="001C5E0F" w:rsidP="00851ED2">
            <w:pPr>
              <w:pStyle w:val="Paragraphedeliste"/>
              <w:numPr>
                <w:ilvl w:val="0"/>
                <w:numId w:val="28"/>
              </w:numPr>
              <w:spacing w:line="276" w:lineRule="auto"/>
              <w:ind w:left="486"/>
              <w:rPr>
                <w:rFonts w:ascii="Tw Cen MT" w:hAnsi="Tw Cen MT" w:cs="Calibri"/>
                <w:color w:val="000000"/>
                <w:lang w:eastAsia="fr-FR"/>
              </w:rPr>
            </w:pPr>
            <w:r w:rsidRPr="00851ED2">
              <w:rPr>
                <w:rFonts w:ascii="Tw Cen MT" w:hAnsi="Tw Cen MT" w:cs="Calibri"/>
                <w:color w:val="000000"/>
                <w:lang w:eastAsia="fr-FR"/>
              </w:rPr>
              <w:t>Collectivité Cercle de Bougouni</w:t>
            </w:r>
          </w:p>
        </w:tc>
        <w:tc>
          <w:tcPr>
            <w:tcW w:w="2976" w:type="dxa"/>
            <w:vAlign w:val="center"/>
          </w:tcPr>
          <w:p w14:paraId="4D250F56" w14:textId="77777777" w:rsidR="001C5E0F" w:rsidRPr="00851ED2" w:rsidRDefault="001C5E0F" w:rsidP="00851ED2">
            <w:pPr>
              <w:pStyle w:val="Paragraphedeliste"/>
              <w:numPr>
                <w:ilvl w:val="0"/>
                <w:numId w:val="29"/>
              </w:numPr>
              <w:spacing w:line="276" w:lineRule="auto"/>
              <w:ind w:left="495"/>
              <w:rPr>
                <w:rFonts w:ascii="Tw Cen MT" w:hAnsi="Tw Cen MT" w:cs="Calibri"/>
                <w:color w:val="000000"/>
                <w:lang w:eastAsia="fr-FR"/>
              </w:rPr>
            </w:pPr>
            <w:r w:rsidRPr="00851ED2">
              <w:rPr>
                <w:rFonts w:ascii="Tw Cen MT" w:hAnsi="Tw Cen MT" w:cs="Calibri"/>
                <w:color w:val="000000"/>
                <w:lang w:eastAsia="fr-FR"/>
              </w:rPr>
              <w:t>Collectivité Cercle de Kayes</w:t>
            </w:r>
          </w:p>
        </w:tc>
        <w:tc>
          <w:tcPr>
            <w:tcW w:w="3118" w:type="dxa"/>
            <w:vAlign w:val="center"/>
          </w:tcPr>
          <w:p w14:paraId="21CA21B2" w14:textId="77777777" w:rsidR="001C5E0F" w:rsidRPr="00851ED2" w:rsidRDefault="001C5E0F" w:rsidP="00851ED2">
            <w:pPr>
              <w:pStyle w:val="Paragraphedeliste"/>
              <w:numPr>
                <w:ilvl w:val="0"/>
                <w:numId w:val="30"/>
              </w:numPr>
              <w:spacing w:line="276" w:lineRule="auto"/>
              <w:ind w:left="502"/>
              <w:rPr>
                <w:rFonts w:ascii="Tw Cen MT" w:hAnsi="Tw Cen MT" w:cs="Calibri"/>
                <w:color w:val="000000"/>
                <w:lang w:eastAsia="fr-FR"/>
              </w:rPr>
            </w:pPr>
            <w:r w:rsidRPr="00851ED2">
              <w:rPr>
                <w:rFonts w:ascii="Tw Cen MT" w:hAnsi="Tw Cen MT" w:cs="Calibri"/>
                <w:color w:val="000000"/>
                <w:lang w:eastAsia="fr-FR"/>
              </w:rPr>
              <w:t>Collectivité Cercle de Kati</w:t>
            </w:r>
          </w:p>
        </w:tc>
      </w:tr>
      <w:tr w:rsidR="001C5E0F" w:rsidRPr="001C5E0F" w14:paraId="535ADFE7" w14:textId="77777777" w:rsidTr="00851ED2">
        <w:trPr>
          <w:trHeight w:val="212"/>
          <w:jc w:val="center"/>
        </w:trPr>
        <w:tc>
          <w:tcPr>
            <w:tcW w:w="3109" w:type="dxa"/>
            <w:shd w:val="clear" w:color="auto" w:fill="auto"/>
            <w:noWrap/>
            <w:vAlign w:val="center"/>
            <w:hideMark/>
          </w:tcPr>
          <w:p w14:paraId="36EF635B" w14:textId="77777777" w:rsidR="001C5E0F" w:rsidRPr="00851ED2" w:rsidRDefault="001C5E0F" w:rsidP="00851ED2">
            <w:pPr>
              <w:pStyle w:val="Paragraphedeliste"/>
              <w:numPr>
                <w:ilvl w:val="0"/>
                <w:numId w:val="28"/>
              </w:numPr>
              <w:spacing w:line="276" w:lineRule="auto"/>
              <w:ind w:left="486"/>
              <w:rPr>
                <w:rFonts w:ascii="Tw Cen MT" w:hAnsi="Tw Cen MT" w:cs="Calibri"/>
                <w:color w:val="000000"/>
                <w:lang w:eastAsia="fr-FR"/>
              </w:rPr>
            </w:pPr>
            <w:r w:rsidRPr="00851ED2">
              <w:rPr>
                <w:rFonts w:ascii="Tw Cen MT" w:hAnsi="Tw Cen MT" w:cs="Calibri"/>
                <w:color w:val="000000"/>
                <w:lang w:eastAsia="fr-FR"/>
              </w:rPr>
              <w:t>Collectivité Cercle de Yanfolila</w:t>
            </w:r>
          </w:p>
        </w:tc>
        <w:tc>
          <w:tcPr>
            <w:tcW w:w="2976" w:type="dxa"/>
            <w:vAlign w:val="center"/>
          </w:tcPr>
          <w:p w14:paraId="18C36D15" w14:textId="77777777" w:rsidR="001C5E0F" w:rsidRPr="00851ED2" w:rsidRDefault="001C5E0F" w:rsidP="00851ED2">
            <w:pPr>
              <w:pStyle w:val="Paragraphedeliste"/>
              <w:numPr>
                <w:ilvl w:val="0"/>
                <w:numId w:val="29"/>
              </w:numPr>
              <w:spacing w:line="276" w:lineRule="auto"/>
              <w:ind w:left="495"/>
              <w:rPr>
                <w:rFonts w:ascii="Tw Cen MT" w:hAnsi="Tw Cen MT" w:cs="Calibri"/>
                <w:color w:val="000000"/>
                <w:lang w:eastAsia="fr-FR"/>
              </w:rPr>
            </w:pPr>
            <w:r w:rsidRPr="00851ED2">
              <w:rPr>
                <w:rFonts w:ascii="Tw Cen MT" w:hAnsi="Tw Cen MT" w:cs="Calibri"/>
                <w:color w:val="000000"/>
                <w:lang w:eastAsia="fr-FR"/>
              </w:rPr>
              <w:t>Commune rurale de Sadiola</w:t>
            </w:r>
          </w:p>
        </w:tc>
        <w:tc>
          <w:tcPr>
            <w:tcW w:w="3118" w:type="dxa"/>
            <w:vAlign w:val="center"/>
          </w:tcPr>
          <w:p w14:paraId="1C3C7BFF" w14:textId="77777777" w:rsidR="001C5E0F" w:rsidRPr="00851ED2" w:rsidRDefault="001C5E0F" w:rsidP="00851ED2">
            <w:pPr>
              <w:pStyle w:val="Paragraphedeliste"/>
              <w:numPr>
                <w:ilvl w:val="0"/>
                <w:numId w:val="30"/>
              </w:numPr>
              <w:spacing w:line="276" w:lineRule="auto"/>
              <w:ind w:left="502"/>
              <w:rPr>
                <w:rFonts w:ascii="Tw Cen MT" w:hAnsi="Tw Cen MT" w:cs="Calibri"/>
                <w:color w:val="000000"/>
                <w:lang w:eastAsia="fr-FR"/>
              </w:rPr>
            </w:pPr>
            <w:r w:rsidRPr="00851ED2">
              <w:rPr>
                <w:rFonts w:ascii="Tw Cen MT" w:hAnsi="Tw Cen MT" w:cs="Calibri"/>
                <w:color w:val="000000"/>
                <w:lang w:eastAsia="fr-FR"/>
              </w:rPr>
              <w:t>Commune rurale de Kati</w:t>
            </w:r>
          </w:p>
        </w:tc>
      </w:tr>
      <w:tr w:rsidR="001C5E0F" w:rsidRPr="001C5E0F" w14:paraId="30BCEFF9" w14:textId="77777777" w:rsidTr="00851ED2">
        <w:trPr>
          <w:trHeight w:val="212"/>
          <w:jc w:val="center"/>
        </w:trPr>
        <w:tc>
          <w:tcPr>
            <w:tcW w:w="3109" w:type="dxa"/>
            <w:shd w:val="clear" w:color="auto" w:fill="auto"/>
            <w:noWrap/>
            <w:vAlign w:val="center"/>
            <w:hideMark/>
          </w:tcPr>
          <w:p w14:paraId="26FBACA4" w14:textId="77777777" w:rsidR="001C5E0F" w:rsidRPr="00851ED2" w:rsidRDefault="001C5E0F" w:rsidP="00851ED2">
            <w:pPr>
              <w:pStyle w:val="Paragraphedeliste"/>
              <w:numPr>
                <w:ilvl w:val="0"/>
                <w:numId w:val="28"/>
              </w:numPr>
              <w:spacing w:line="276" w:lineRule="auto"/>
              <w:ind w:left="486"/>
              <w:rPr>
                <w:rFonts w:ascii="Tw Cen MT" w:hAnsi="Tw Cen MT" w:cs="Calibri"/>
                <w:color w:val="000000"/>
                <w:lang w:eastAsia="fr-FR"/>
              </w:rPr>
            </w:pPr>
            <w:r w:rsidRPr="00851ED2">
              <w:rPr>
                <w:rFonts w:ascii="Tw Cen MT" w:hAnsi="Tw Cen MT" w:cs="Calibri"/>
                <w:color w:val="000000"/>
                <w:lang w:eastAsia="fr-FR"/>
              </w:rPr>
              <w:t>Commune rurale de Sanso</w:t>
            </w:r>
          </w:p>
        </w:tc>
        <w:tc>
          <w:tcPr>
            <w:tcW w:w="2976" w:type="dxa"/>
            <w:vAlign w:val="center"/>
          </w:tcPr>
          <w:p w14:paraId="201AE8E5" w14:textId="77777777" w:rsidR="001C5E0F" w:rsidRPr="00851ED2" w:rsidRDefault="001C5E0F" w:rsidP="00851ED2">
            <w:pPr>
              <w:pStyle w:val="Paragraphedeliste"/>
              <w:numPr>
                <w:ilvl w:val="0"/>
                <w:numId w:val="29"/>
              </w:numPr>
              <w:spacing w:line="276" w:lineRule="auto"/>
              <w:ind w:left="495"/>
              <w:rPr>
                <w:rFonts w:ascii="Tw Cen MT" w:hAnsi="Tw Cen MT" w:cs="Calibri"/>
                <w:color w:val="000000"/>
                <w:lang w:eastAsia="fr-FR"/>
              </w:rPr>
            </w:pPr>
            <w:r w:rsidRPr="00851ED2">
              <w:rPr>
                <w:rFonts w:ascii="Tw Cen MT" w:hAnsi="Tw Cen MT" w:cs="Calibri"/>
                <w:color w:val="000000"/>
                <w:lang w:eastAsia="fr-FR"/>
              </w:rPr>
              <w:t>Commune rurale de Diamou</w:t>
            </w:r>
          </w:p>
        </w:tc>
        <w:tc>
          <w:tcPr>
            <w:tcW w:w="3118" w:type="dxa"/>
            <w:vAlign w:val="center"/>
          </w:tcPr>
          <w:p w14:paraId="43656073" w14:textId="1B1B578E" w:rsidR="001C5E0F" w:rsidRPr="00851ED2" w:rsidRDefault="001C5E0F" w:rsidP="006B671D">
            <w:pPr>
              <w:pStyle w:val="Paragraphedeliste"/>
              <w:spacing w:line="276" w:lineRule="auto"/>
              <w:ind w:left="502"/>
              <w:rPr>
                <w:rFonts w:ascii="Tw Cen MT" w:hAnsi="Tw Cen MT" w:cs="Calibri"/>
                <w:color w:val="000000"/>
                <w:lang w:eastAsia="fr-FR"/>
              </w:rPr>
            </w:pPr>
          </w:p>
        </w:tc>
      </w:tr>
      <w:tr w:rsidR="001C5E0F" w:rsidRPr="001C5E0F" w14:paraId="02ABCBA8" w14:textId="77777777" w:rsidTr="00851ED2">
        <w:trPr>
          <w:trHeight w:val="212"/>
          <w:jc w:val="center"/>
        </w:trPr>
        <w:tc>
          <w:tcPr>
            <w:tcW w:w="3109" w:type="dxa"/>
            <w:shd w:val="clear" w:color="auto" w:fill="auto"/>
            <w:noWrap/>
            <w:vAlign w:val="center"/>
            <w:hideMark/>
          </w:tcPr>
          <w:p w14:paraId="4D2A3145" w14:textId="77777777" w:rsidR="001C5E0F" w:rsidRPr="00851ED2" w:rsidRDefault="001C5E0F" w:rsidP="00851ED2">
            <w:pPr>
              <w:pStyle w:val="Paragraphedeliste"/>
              <w:numPr>
                <w:ilvl w:val="0"/>
                <w:numId w:val="28"/>
              </w:numPr>
              <w:spacing w:line="276" w:lineRule="auto"/>
              <w:ind w:left="486"/>
              <w:rPr>
                <w:rFonts w:ascii="Tw Cen MT" w:hAnsi="Tw Cen MT" w:cs="Calibri"/>
                <w:color w:val="000000"/>
                <w:lang w:eastAsia="fr-FR"/>
              </w:rPr>
            </w:pPr>
            <w:r w:rsidRPr="00851ED2">
              <w:rPr>
                <w:rFonts w:ascii="Tw Cen MT" w:hAnsi="Tw Cen MT" w:cs="Calibri"/>
                <w:color w:val="000000"/>
                <w:lang w:eastAsia="fr-FR"/>
              </w:rPr>
              <w:t>Commune rurale de Wola</w:t>
            </w:r>
          </w:p>
        </w:tc>
        <w:tc>
          <w:tcPr>
            <w:tcW w:w="2976" w:type="dxa"/>
            <w:vAlign w:val="center"/>
          </w:tcPr>
          <w:p w14:paraId="66B10878" w14:textId="77777777" w:rsidR="001C5E0F" w:rsidRPr="00851ED2" w:rsidRDefault="001C5E0F" w:rsidP="00851ED2">
            <w:pPr>
              <w:pStyle w:val="Paragraphedeliste"/>
              <w:numPr>
                <w:ilvl w:val="0"/>
                <w:numId w:val="29"/>
              </w:numPr>
              <w:spacing w:line="276" w:lineRule="auto"/>
              <w:ind w:left="495"/>
              <w:rPr>
                <w:rFonts w:ascii="Tw Cen MT" w:hAnsi="Tw Cen MT" w:cs="Calibri"/>
                <w:color w:val="000000"/>
                <w:lang w:eastAsia="fr-FR"/>
              </w:rPr>
            </w:pPr>
            <w:r w:rsidRPr="00851ED2">
              <w:rPr>
                <w:rFonts w:ascii="Tw Cen MT" w:hAnsi="Tw Cen MT" w:cs="Calibri"/>
                <w:color w:val="000000"/>
                <w:lang w:eastAsia="fr-FR"/>
              </w:rPr>
              <w:t>Collectivité Cercle de Kenieba</w:t>
            </w:r>
          </w:p>
        </w:tc>
        <w:tc>
          <w:tcPr>
            <w:tcW w:w="3118" w:type="dxa"/>
            <w:vAlign w:val="center"/>
          </w:tcPr>
          <w:p w14:paraId="309ECCB8" w14:textId="02FAB16A" w:rsidR="001C5E0F" w:rsidRPr="00851ED2" w:rsidRDefault="001C5E0F" w:rsidP="006B671D">
            <w:pPr>
              <w:pStyle w:val="Paragraphedeliste"/>
              <w:spacing w:line="276" w:lineRule="auto"/>
              <w:ind w:left="502"/>
              <w:rPr>
                <w:rFonts w:ascii="Tw Cen MT" w:hAnsi="Tw Cen MT" w:cs="Calibri"/>
                <w:color w:val="000000"/>
                <w:lang w:eastAsia="fr-FR"/>
              </w:rPr>
            </w:pPr>
          </w:p>
        </w:tc>
      </w:tr>
      <w:tr w:rsidR="001C5E0F" w:rsidRPr="001C5E0F" w14:paraId="0187ECCC" w14:textId="77777777" w:rsidTr="00851ED2">
        <w:trPr>
          <w:trHeight w:val="212"/>
          <w:jc w:val="center"/>
        </w:trPr>
        <w:tc>
          <w:tcPr>
            <w:tcW w:w="3109" w:type="dxa"/>
            <w:shd w:val="clear" w:color="auto" w:fill="auto"/>
            <w:noWrap/>
            <w:vAlign w:val="center"/>
            <w:hideMark/>
          </w:tcPr>
          <w:p w14:paraId="153F9DB9" w14:textId="77777777" w:rsidR="001C5E0F" w:rsidRPr="00851ED2" w:rsidRDefault="001C5E0F" w:rsidP="00851ED2">
            <w:pPr>
              <w:pStyle w:val="Paragraphedeliste"/>
              <w:numPr>
                <w:ilvl w:val="0"/>
                <w:numId w:val="28"/>
              </w:numPr>
              <w:spacing w:line="276" w:lineRule="auto"/>
              <w:ind w:left="486"/>
              <w:rPr>
                <w:rFonts w:ascii="Tw Cen MT" w:hAnsi="Tw Cen MT" w:cs="Calibri"/>
                <w:color w:val="000000"/>
                <w:lang w:eastAsia="fr-FR"/>
              </w:rPr>
            </w:pPr>
            <w:r w:rsidRPr="00851ED2">
              <w:rPr>
                <w:rFonts w:ascii="Tw Cen MT" w:hAnsi="Tw Cen MT" w:cs="Calibri"/>
                <w:color w:val="000000"/>
                <w:lang w:eastAsia="fr-FR"/>
              </w:rPr>
              <w:t>Commune rurale de Gouandiaka (Kalana)</w:t>
            </w:r>
          </w:p>
        </w:tc>
        <w:tc>
          <w:tcPr>
            <w:tcW w:w="2976" w:type="dxa"/>
            <w:vAlign w:val="center"/>
          </w:tcPr>
          <w:p w14:paraId="44929022" w14:textId="77777777" w:rsidR="001C5E0F" w:rsidRPr="00851ED2" w:rsidRDefault="001C5E0F" w:rsidP="00851ED2">
            <w:pPr>
              <w:pStyle w:val="Paragraphedeliste"/>
              <w:numPr>
                <w:ilvl w:val="0"/>
                <w:numId w:val="29"/>
              </w:numPr>
              <w:spacing w:line="276" w:lineRule="auto"/>
              <w:ind w:left="495"/>
              <w:rPr>
                <w:rFonts w:ascii="Tw Cen MT" w:hAnsi="Tw Cen MT" w:cs="Calibri"/>
                <w:color w:val="000000"/>
                <w:lang w:eastAsia="fr-FR"/>
              </w:rPr>
            </w:pPr>
            <w:r w:rsidRPr="00851ED2">
              <w:rPr>
                <w:rFonts w:ascii="Tw Cen MT" w:hAnsi="Tw Cen MT" w:cs="Calibri"/>
                <w:color w:val="000000"/>
                <w:lang w:eastAsia="fr-FR"/>
              </w:rPr>
              <w:t>Commune rurale de Kenieba</w:t>
            </w:r>
          </w:p>
        </w:tc>
        <w:tc>
          <w:tcPr>
            <w:tcW w:w="3118" w:type="dxa"/>
          </w:tcPr>
          <w:p w14:paraId="45B03E98" w14:textId="77777777" w:rsidR="001C5E0F" w:rsidRPr="00851ED2" w:rsidRDefault="001C5E0F" w:rsidP="001C5E0F">
            <w:pPr>
              <w:spacing w:line="276" w:lineRule="auto"/>
              <w:ind w:left="359"/>
              <w:rPr>
                <w:rFonts w:ascii="Tw Cen MT" w:hAnsi="Tw Cen MT" w:cs="Calibri"/>
                <w:color w:val="000000"/>
                <w:lang w:eastAsia="fr-FR"/>
              </w:rPr>
            </w:pPr>
          </w:p>
        </w:tc>
      </w:tr>
      <w:tr w:rsidR="001C5E0F" w:rsidRPr="001C5E0F" w14:paraId="4B6E3D41" w14:textId="77777777" w:rsidTr="00851ED2">
        <w:trPr>
          <w:trHeight w:val="212"/>
          <w:jc w:val="center"/>
        </w:trPr>
        <w:tc>
          <w:tcPr>
            <w:tcW w:w="3109" w:type="dxa"/>
            <w:shd w:val="clear" w:color="auto" w:fill="auto"/>
            <w:noWrap/>
            <w:vAlign w:val="center"/>
          </w:tcPr>
          <w:p w14:paraId="5871D798" w14:textId="77777777" w:rsidR="001C5E0F" w:rsidRPr="00851ED2" w:rsidRDefault="001C5E0F" w:rsidP="00851ED2">
            <w:pPr>
              <w:pStyle w:val="Paragraphedeliste"/>
              <w:numPr>
                <w:ilvl w:val="0"/>
                <w:numId w:val="28"/>
              </w:numPr>
              <w:spacing w:line="276" w:lineRule="auto"/>
              <w:ind w:left="486"/>
              <w:rPr>
                <w:rFonts w:ascii="Tw Cen MT" w:hAnsi="Tw Cen MT" w:cs="Calibri"/>
                <w:color w:val="000000"/>
                <w:lang w:eastAsia="fr-FR"/>
              </w:rPr>
            </w:pPr>
            <w:r w:rsidRPr="00851ED2">
              <w:rPr>
                <w:rFonts w:ascii="Tw Cen MT" w:hAnsi="Tw Cen MT" w:cs="Calibri"/>
                <w:color w:val="000000"/>
                <w:lang w:eastAsia="fr-FR"/>
              </w:rPr>
              <w:t>Commune rurale de Yalankoro Soloba</w:t>
            </w:r>
          </w:p>
        </w:tc>
        <w:tc>
          <w:tcPr>
            <w:tcW w:w="2976" w:type="dxa"/>
            <w:vAlign w:val="center"/>
          </w:tcPr>
          <w:p w14:paraId="2268C4D4" w14:textId="77777777" w:rsidR="001C5E0F" w:rsidRPr="00851ED2" w:rsidRDefault="001C5E0F" w:rsidP="00851ED2">
            <w:pPr>
              <w:pStyle w:val="Paragraphedeliste"/>
              <w:numPr>
                <w:ilvl w:val="0"/>
                <w:numId w:val="29"/>
              </w:numPr>
              <w:spacing w:line="276" w:lineRule="auto"/>
              <w:ind w:left="495"/>
              <w:rPr>
                <w:rFonts w:ascii="Tw Cen MT" w:hAnsi="Tw Cen MT" w:cs="Calibri"/>
                <w:color w:val="000000"/>
                <w:lang w:eastAsia="fr-FR"/>
              </w:rPr>
            </w:pPr>
            <w:r w:rsidRPr="00851ED2">
              <w:rPr>
                <w:rFonts w:ascii="Tw Cen MT" w:hAnsi="Tw Cen MT" w:cs="Calibri"/>
                <w:color w:val="000000"/>
                <w:lang w:eastAsia="fr-FR"/>
              </w:rPr>
              <w:t>Commune rurale de Sitakily</w:t>
            </w:r>
          </w:p>
        </w:tc>
        <w:tc>
          <w:tcPr>
            <w:tcW w:w="3118" w:type="dxa"/>
          </w:tcPr>
          <w:p w14:paraId="2853ADFE" w14:textId="77777777" w:rsidR="001C5E0F" w:rsidRPr="00851ED2" w:rsidRDefault="001C5E0F" w:rsidP="001C5E0F">
            <w:pPr>
              <w:spacing w:line="276" w:lineRule="auto"/>
              <w:ind w:left="359"/>
              <w:rPr>
                <w:rFonts w:ascii="Tw Cen MT" w:hAnsi="Tw Cen MT" w:cs="Calibri"/>
                <w:color w:val="000000"/>
                <w:lang w:eastAsia="fr-FR"/>
              </w:rPr>
            </w:pPr>
          </w:p>
        </w:tc>
      </w:tr>
      <w:tr w:rsidR="001C5E0F" w:rsidRPr="001C5E0F" w14:paraId="3470639F" w14:textId="77777777" w:rsidTr="00851ED2">
        <w:trPr>
          <w:trHeight w:val="212"/>
          <w:jc w:val="center"/>
        </w:trPr>
        <w:tc>
          <w:tcPr>
            <w:tcW w:w="3109" w:type="dxa"/>
            <w:shd w:val="clear" w:color="auto" w:fill="auto"/>
            <w:noWrap/>
            <w:vAlign w:val="center"/>
            <w:hideMark/>
          </w:tcPr>
          <w:p w14:paraId="0B62479F" w14:textId="77777777" w:rsidR="001C5E0F" w:rsidRPr="00851ED2" w:rsidRDefault="001C5E0F" w:rsidP="00851ED2">
            <w:pPr>
              <w:pStyle w:val="Paragraphedeliste"/>
              <w:numPr>
                <w:ilvl w:val="0"/>
                <w:numId w:val="28"/>
              </w:numPr>
              <w:spacing w:line="276" w:lineRule="auto"/>
              <w:ind w:left="486"/>
              <w:rPr>
                <w:rFonts w:ascii="Tw Cen MT" w:hAnsi="Tw Cen MT" w:cs="Calibri"/>
                <w:color w:val="000000"/>
                <w:lang w:eastAsia="fr-FR"/>
              </w:rPr>
            </w:pPr>
            <w:r w:rsidRPr="00851ED2">
              <w:rPr>
                <w:rFonts w:ascii="Tw Cen MT" w:hAnsi="Tw Cen MT" w:cs="Calibri"/>
                <w:color w:val="000000"/>
                <w:lang w:eastAsia="fr-FR"/>
              </w:rPr>
              <w:t>Collectivité Cercle de Sikasso</w:t>
            </w:r>
          </w:p>
        </w:tc>
        <w:tc>
          <w:tcPr>
            <w:tcW w:w="2976" w:type="dxa"/>
          </w:tcPr>
          <w:p w14:paraId="54624E1E" w14:textId="77777777" w:rsidR="001C5E0F" w:rsidRPr="00851ED2" w:rsidRDefault="001C5E0F" w:rsidP="00851ED2">
            <w:pPr>
              <w:spacing w:line="276" w:lineRule="auto"/>
              <w:ind w:left="495"/>
              <w:rPr>
                <w:rFonts w:ascii="Tw Cen MT" w:hAnsi="Tw Cen MT" w:cs="Calibri"/>
                <w:color w:val="000000"/>
                <w:lang w:eastAsia="fr-FR"/>
              </w:rPr>
            </w:pPr>
          </w:p>
        </w:tc>
        <w:tc>
          <w:tcPr>
            <w:tcW w:w="3118" w:type="dxa"/>
          </w:tcPr>
          <w:p w14:paraId="5A5BA6F2" w14:textId="77777777" w:rsidR="001C5E0F" w:rsidRPr="00851ED2" w:rsidRDefault="001C5E0F" w:rsidP="001C5E0F">
            <w:pPr>
              <w:spacing w:line="276" w:lineRule="auto"/>
              <w:ind w:left="359"/>
              <w:rPr>
                <w:rFonts w:ascii="Tw Cen MT" w:hAnsi="Tw Cen MT" w:cs="Calibri"/>
                <w:color w:val="000000"/>
                <w:lang w:eastAsia="fr-FR"/>
              </w:rPr>
            </w:pPr>
          </w:p>
        </w:tc>
      </w:tr>
      <w:tr w:rsidR="001C5E0F" w:rsidRPr="001C5E0F" w14:paraId="307A57B5" w14:textId="77777777" w:rsidTr="00851ED2">
        <w:trPr>
          <w:trHeight w:val="212"/>
          <w:jc w:val="center"/>
        </w:trPr>
        <w:tc>
          <w:tcPr>
            <w:tcW w:w="3109" w:type="dxa"/>
            <w:shd w:val="clear" w:color="000000" w:fill="FFFFFF"/>
            <w:noWrap/>
            <w:vAlign w:val="center"/>
            <w:hideMark/>
          </w:tcPr>
          <w:p w14:paraId="3B3A43A4" w14:textId="77777777" w:rsidR="001C5E0F" w:rsidRPr="00851ED2" w:rsidRDefault="001C5E0F" w:rsidP="00851ED2">
            <w:pPr>
              <w:pStyle w:val="Paragraphedeliste"/>
              <w:numPr>
                <w:ilvl w:val="0"/>
                <w:numId w:val="28"/>
              </w:numPr>
              <w:spacing w:line="276" w:lineRule="auto"/>
              <w:ind w:left="486"/>
              <w:rPr>
                <w:rFonts w:ascii="Tw Cen MT" w:hAnsi="Tw Cen MT" w:cs="Calibri"/>
                <w:color w:val="000000"/>
                <w:lang w:eastAsia="fr-FR"/>
              </w:rPr>
            </w:pPr>
            <w:r w:rsidRPr="00851ED2">
              <w:rPr>
                <w:rFonts w:ascii="Tw Cen MT" w:hAnsi="Tw Cen MT" w:cs="Calibri"/>
                <w:color w:val="000000"/>
                <w:lang w:eastAsia="fr-FR"/>
              </w:rPr>
              <w:t>Commune rurale de Ntjicouna</w:t>
            </w:r>
          </w:p>
        </w:tc>
        <w:tc>
          <w:tcPr>
            <w:tcW w:w="2976" w:type="dxa"/>
            <w:shd w:val="clear" w:color="000000" w:fill="FFFFFF"/>
          </w:tcPr>
          <w:p w14:paraId="4541B834" w14:textId="77777777" w:rsidR="001C5E0F" w:rsidRPr="00851ED2" w:rsidRDefault="001C5E0F" w:rsidP="001C5E0F">
            <w:pPr>
              <w:spacing w:line="276" w:lineRule="auto"/>
              <w:ind w:left="359"/>
              <w:rPr>
                <w:rFonts w:ascii="Tw Cen MT" w:hAnsi="Tw Cen MT" w:cs="Calibri"/>
                <w:color w:val="000000"/>
                <w:lang w:eastAsia="fr-FR"/>
              </w:rPr>
            </w:pPr>
          </w:p>
        </w:tc>
        <w:tc>
          <w:tcPr>
            <w:tcW w:w="3118" w:type="dxa"/>
            <w:shd w:val="clear" w:color="000000" w:fill="FFFFFF"/>
          </w:tcPr>
          <w:p w14:paraId="054483A1" w14:textId="77777777" w:rsidR="001C5E0F" w:rsidRPr="00851ED2" w:rsidRDefault="001C5E0F" w:rsidP="001C5E0F">
            <w:pPr>
              <w:spacing w:line="276" w:lineRule="auto"/>
              <w:ind w:left="359"/>
              <w:rPr>
                <w:rFonts w:ascii="Tw Cen MT" w:hAnsi="Tw Cen MT" w:cs="Calibri"/>
                <w:color w:val="000000"/>
                <w:lang w:eastAsia="fr-FR"/>
              </w:rPr>
            </w:pPr>
          </w:p>
        </w:tc>
      </w:tr>
      <w:tr w:rsidR="001C5E0F" w:rsidRPr="001C5E0F" w14:paraId="681877B8" w14:textId="77777777" w:rsidTr="00851ED2">
        <w:trPr>
          <w:trHeight w:val="212"/>
          <w:jc w:val="center"/>
        </w:trPr>
        <w:tc>
          <w:tcPr>
            <w:tcW w:w="3109" w:type="dxa"/>
            <w:shd w:val="clear" w:color="auto" w:fill="auto"/>
            <w:noWrap/>
            <w:vAlign w:val="center"/>
            <w:hideMark/>
          </w:tcPr>
          <w:p w14:paraId="608398A3" w14:textId="77777777" w:rsidR="001C5E0F" w:rsidRPr="00851ED2" w:rsidRDefault="001C5E0F" w:rsidP="00851ED2">
            <w:pPr>
              <w:pStyle w:val="Paragraphedeliste"/>
              <w:numPr>
                <w:ilvl w:val="0"/>
                <w:numId w:val="28"/>
              </w:numPr>
              <w:spacing w:line="276" w:lineRule="auto"/>
              <w:ind w:left="486"/>
              <w:rPr>
                <w:rFonts w:ascii="Tw Cen MT" w:hAnsi="Tw Cen MT" w:cs="Calibri"/>
                <w:color w:val="000000"/>
                <w:lang w:eastAsia="fr-FR"/>
              </w:rPr>
            </w:pPr>
            <w:r w:rsidRPr="00851ED2">
              <w:rPr>
                <w:rFonts w:ascii="Tw Cen MT" w:hAnsi="Tw Cen MT" w:cs="Calibri"/>
                <w:color w:val="000000"/>
                <w:lang w:eastAsia="fr-FR"/>
              </w:rPr>
              <w:t>Commune rurale de Finkolo Ganadougou</w:t>
            </w:r>
          </w:p>
        </w:tc>
        <w:tc>
          <w:tcPr>
            <w:tcW w:w="2976" w:type="dxa"/>
          </w:tcPr>
          <w:p w14:paraId="338395E8" w14:textId="77777777" w:rsidR="001C5E0F" w:rsidRPr="00851ED2" w:rsidRDefault="001C5E0F" w:rsidP="001C5E0F">
            <w:pPr>
              <w:spacing w:line="276" w:lineRule="auto"/>
              <w:ind w:left="359"/>
              <w:rPr>
                <w:rFonts w:ascii="Tw Cen MT" w:hAnsi="Tw Cen MT" w:cs="Calibri"/>
                <w:color w:val="000000"/>
                <w:lang w:eastAsia="fr-FR"/>
              </w:rPr>
            </w:pPr>
          </w:p>
        </w:tc>
        <w:tc>
          <w:tcPr>
            <w:tcW w:w="3118" w:type="dxa"/>
          </w:tcPr>
          <w:p w14:paraId="5A1AC650" w14:textId="77777777" w:rsidR="001C5E0F" w:rsidRPr="00851ED2" w:rsidRDefault="001C5E0F" w:rsidP="001C5E0F">
            <w:pPr>
              <w:spacing w:line="276" w:lineRule="auto"/>
              <w:ind w:left="359"/>
              <w:rPr>
                <w:rFonts w:ascii="Tw Cen MT" w:hAnsi="Tw Cen MT" w:cs="Calibri"/>
                <w:color w:val="000000"/>
                <w:lang w:eastAsia="fr-FR"/>
              </w:rPr>
            </w:pPr>
          </w:p>
        </w:tc>
      </w:tr>
      <w:tr w:rsidR="001C5E0F" w:rsidRPr="001C5E0F" w14:paraId="55A9EF8C" w14:textId="77777777" w:rsidTr="00851ED2">
        <w:trPr>
          <w:trHeight w:val="168"/>
          <w:jc w:val="center"/>
        </w:trPr>
        <w:tc>
          <w:tcPr>
            <w:tcW w:w="3109" w:type="dxa"/>
            <w:shd w:val="clear" w:color="auto" w:fill="auto"/>
            <w:noWrap/>
            <w:vAlign w:val="center"/>
            <w:hideMark/>
          </w:tcPr>
          <w:p w14:paraId="617734B7" w14:textId="77777777" w:rsidR="001C5E0F" w:rsidRPr="00851ED2" w:rsidRDefault="001C5E0F" w:rsidP="00851ED2">
            <w:pPr>
              <w:pStyle w:val="Paragraphedeliste"/>
              <w:numPr>
                <w:ilvl w:val="0"/>
                <w:numId w:val="28"/>
              </w:numPr>
              <w:spacing w:line="276" w:lineRule="auto"/>
              <w:ind w:left="486"/>
              <w:rPr>
                <w:rFonts w:ascii="Tw Cen MT" w:hAnsi="Tw Cen MT" w:cs="Calibri"/>
                <w:color w:val="000000"/>
                <w:lang w:eastAsia="fr-FR"/>
              </w:rPr>
            </w:pPr>
            <w:r w:rsidRPr="00851ED2">
              <w:rPr>
                <w:rFonts w:ascii="Tw Cen MT" w:hAnsi="Tw Cen MT" w:cs="Calibri"/>
                <w:color w:val="000000"/>
                <w:lang w:eastAsia="fr-FR"/>
              </w:rPr>
              <w:t>Collectivité Cercle de Kadiolo</w:t>
            </w:r>
          </w:p>
        </w:tc>
        <w:tc>
          <w:tcPr>
            <w:tcW w:w="2976" w:type="dxa"/>
          </w:tcPr>
          <w:p w14:paraId="352E42AC" w14:textId="77777777" w:rsidR="001C5E0F" w:rsidRPr="00851ED2" w:rsidRDefault="001C5E0F" w:rsidP="001C5E0F">
            <w:pPr>
              <w:spacing w:line="276" w:lineRule="auto"/>
              <w:ind w:left="359"/>
              <w:rPr>
                <w:rFonts w:ascii="Tw Cen MT" w:hAnsi="Tw Cen MT" w:cs="Calibri"/>
                <w:color w:val="000000"/>
                <w:lang w:eastAsia="fr-FR"/>
              </w:rPr>
            </w:pPr>
          </w:p>
        </w:tc>
        <w:tc>
          <w:tcPr>
            <w:tcW w:w="3118" w:type="dxa"/>
          </w:tcPr>
          <w:p w14:paraId="4AC0936E" w14:textId="77777777" w:rsidR="001C5E0F" w:rsidRPr="00851ED2" w:rsidRDefault="001C5E0F" w:rsidP="001C5E0F">
            <w:pPr>
              <w:spacing w:line="276" w:lineRule="auto"/>
              <w:ind w:left="359"/>
              <w:rPr>
                <w:rFonts w:ascii="Tw Cen MT" w:hAnsi="Tw Cen MT" w:cs="Calibri"/>
                <w:color w:val="000000"/>
                <w:lang w:eastAsia="fr-FR"/>
              </w:rPr>
            </w:pPr>
          </w:p>
        </w:tc>
      </w:tr>
      <w:tr w:rsidR="001C5E0F" w:rsidRPr="001C5E0F" w14:paraId="4F460334" w14:textId="77777777" w:rsidTr="00851ED2">
        <w:trPr>
          <w:trHeight w:val="172"/>
          <w:jc w:val="center"/>
        </w:trPr>
        <w:tc>
          <w:tcPr>
            <w:tcW w:w="3109" w:type="dxa"/>
            <w:shd w:val="clear" w:color="auto" w:fill="auto"/>
            <w:noWrap/>
            <w:vAlign w:val="center"/>
            <w:hideMark/>
          </w:tcPr>
          <w:p w14:paraId="5A9BF119" w14:textId="77777777" w:rsidR="001C5E0F" w:rsidRPr="00851ED2" w:rsidRDefault="001C5E0F" w:rsidP="00851ED2">
            <w:pPr>
              <w:pStyle w:val="Paragraphedeliste"/>
              <w:numPr>
                <w:ilvl w:val="0"/>
                <w:numId w:val="28"/>
              </w:numPr>
              <w:spacing w:line="276" w:lineRule="auto"/>
              <w:ind w:left="486"/>
              <w:rPr>
                <w:rFonts w:ascii="Tw Cen MT" w:hAnsi="Tw Cen MT" w:cs="Calibri"/>
                <w:color w:val="000000"/>
                <w:lang w:eastAsia="fr-FR"/>
              </w:rPr>
            </w:pPr>
            <w:r w:rsidRPr="00851ED2">
              <w:rPr>
                <w:rFonts w:ascii="Tw Cen MT" w:hAnsi="Tw Cen MT" w:cs="Calibri"/>
                <w:color w:val="000000"/>
                <w:lang w:eastAsia="fr-FR"/>
              </w:rPr>
              <w:t>Commune rurale de Fourou</w:t>
            </w:r>
          </w:p>
        </w:tc>
        <w:tc>
          <w:tcPr>
            <w:tcW w:w="2976" w:type="dxa"/>
          </w:tcPr>
          <w:p w14:paraId="2B7D4491" w14:textId="77777777" w:rsidR="001C5E0F" w:rsidRPr="00851ED2" w:rsidRDefault="001C5E0F" w:rsidP="001C5E0F">
            <w:pPr>
              <w:spacing w:line="276" w:lineRule="auto"/>
              <w:ind w:left="359"/>
              <w:rPr>
                <w:rFonts w:ascii="Tw Cen MT" w:hAnsi="Tw Cen MT" w:cs="Calibri"/>
                <w:color w:val="000000"/>
                <w:lang w:eastAsia="fr-FR"/>
              </w:rPr>
            </w:pPr>
          </w:p>
        </w:tc>
        <w:tc>
          <w:tcPr>
            <w:tcW w:w="3118" w:type="dxa"/>
          </w:tcPr>
          <w:p w14:paraId="7FBC4B82" w14:textId="77777777" w:rsidR="001C5E0F" w:rsidRPr="00851ED2" w:rsidRDefault="001C5E0F" w:rsidP="001C5E0F">
            <w:pPr>
              <w:spacing w:line="276" w:lineRule="auto"/>
              <w:ind w:left="359"/>
              <w:rPr>
                <w:rFonts w:ascii="Tw Cen MT" w:hAnsi="Tw Cen MT" w:cs="Calibri"/>
                <w:color w:val="000000"/>
                <w:lang w:eastAsia="fr-FR"/>
              </w:rPr>
            </w:pPr>
          </w:p>
        </w:tc>
      </w:tr>
    </w:tbl>
    <w:p w14:paraId="777AFE69" w14:textId="417D1CBD" w:rsidR="001C5E0F" w:rsidRDefault="001C5E0F" w:rsidP="00851ED2">
      <w:pPr>
        <w:spacing w:before="120" w:line="276" w:lineRule="auto"/>
        <w:rPr>
          <w:rFonts w:ascii="Tw Cen MT" w:hAnsi="Tw Cen MT"/>
          <w:sz w:val="26"/>
          <w:szCs w:val="26"/>
        </w:rPr>
      </w:pPr>
      <w:r>
        <w:rPr>
          <w:rFonts w:ascii="Tw Cen MT" w:hAnsi="Tw Cen MT"/>
          <w:sz w:val="26"/>
          <w:szCs w:val="26"/>
        </w:rPr>
        <w:t>NB : Les collectivités de la région de Koulikoro seront retenues pour la première fois dans le périmètre de conciliation de l’ITIE.</w:t>
      </w:r>
    </w:p>
    <w:p w14:paraId="7BDBD151" w14:textId="77777777" w:rsidR="00AA64D0" w:rsidRPr="00AA64D0" w:rsidRDefault="00AA64D0" w:rsidP="0048041A">
      <w:pPr>
        <w:pStyle w:val="Paragraphedeliste"/>
        <w:numPr>
          <w:ilvl w:val="2"/>
          <w:numId w:val="9"/>
        </w:numPr>
        <w:spacing w:before="240" w:after="240"/>
        <w:contextualSpacing w:val="0"/>
        <w:outlineLvl w:val="1"/>
        <w:rPr>
          <w:rFonts w:ascii="Tw Cen MT" w:hAnsi="Tw Cen MT"/>
          <w:b/>
          <w:iCs/>
          <w:sz w:val="26"/>
          <w:szCs w:val="26"/>
        </w:rPr>
      </w:pPr>
      <w:bookmarkStart w:id="41" w:name="_Toc90999724"/>
      <w:r w:rsidRPr="00AA64D0">
        <w:rPr>
          <w:rFonts w:ascii="Tw Cen MT" w:hAnsi="Tw Cen MT"/>
          <w:b/>
          <w:iCs/>
          <w:sz w:val="26"/>
          <w:szCs w:val="26"/>
        </w:rPr>
        <w:t>Hypothèses de définition du périmètre de conciliation</w:t>
      </w:r>
      <w:bookmarkEnd w:id="41"/>
    </w:p>
    <w:p w14:paraId="6EB45838" w14:textId="6276BE0A" w:rsidR="00434319" w:rsidRPr="00434319" w:rsidRDefault="00434319" w:rsidP="0048041A">
      <w:pPr>
        <w:pStyle w:val="Paragraphedeliste"/>
        <w:numPr>
          <w:ilvl w:val="0"/>
          <w:numId w:val="19"/>
        </w:numPr>
        <w:spacing w:before="240" w:after="240"/>
        <w:outlineLvl w:val="1"/>
        <w:rPr>
          <w:rFonts w:ascii="Tw Cen MT" w:hAnsi="Tw Cen MT"/>
          <w:b/>
          <w:iCs/>
          <w:sz w:val="26"/>
          <w:szCs w:val="26"/>
        </w:rPr>
      </w:pPr>
      <w:bookmarkStart w:id="42" w:name="_Toc89810999"/>
      <w:bookmarkStart w:id="43" w:name="_Toc89811117"/>
      <w:bookmarkStart w:id="44" w:name="_Toc89811391"/>
      <w:bookmarkStart w:id="45" w:name="_Toc90999725"/>
      <w:r w:rsidRPr="00434319">
        <w:rPr>
          <w:rFonts w:ascii="Tw Cen MT" w:hAnsi="Tw Cen MT"/>
          <w:b/>
          <w:iCs/>
          <w:sz w:val="26"/>
          <w:szCs w:val="26"/>
        </w:rPr>
        <w:t>Principe de continuité :</w:t>
      </w:r>
      <w:bookmarkEnd w:id="42"/>
      <w:bookmarkEnd w:id="43"/>
      <w:bookmarkEnd w:id="44"/>
      <w:bookmarkEnd w:id="45"/>
      <w:r w:rsidRPr="00434319">
        <w:rPr>
          <w:rFonts w:ascii="Tw Cen MT" w:hAnsi="Tw Cen MT"/>
          <w:b/>
          <w:iCs/>
          <w:sz w:val="26"/>
          <w:szCs w:val="26"/>
        </w:rPr>
        <w:t xml:space="preserve"> </w:t>
      </w:r>
    </w:p>
    <w:p w14:paraId="53494B75" w14:textId="77A831BE" w:rsidR="00097647" w:rsidRDefault="00AA64D0" w:rsidP="00B11D3B">
      <w:pPr>
        <w:spacing w:after="240" w:line="276" w:lineRule="auto"/>
        <w:jc w:val="both"/>
        <w:rPr>
          <w:rFonts w:ascii="Tw Cen MT" w:hAnsi="Tw Cen MT"/>
          <w:sz w:val="26"/>
          <w:szCs w:val="26"/>
        </w:rPr>
      </w:pPr>
      <w:bookmarkStart w:id="46" w:name="_Toc89811000"/>
      <w:bookmarkStart w:id="47" w:name="_Toc89811118"/>
      <w:bookmarkStart w:id="48" w:name="_Toc89811392"/>
      <w:r w:rsidRPr="00E72142">
        <w:rPr>
          <w:rFonts w:ascii="Tw Cen MT" w:hAnsi="Tw Cen MT"/>
          <w:sz w:val="26"/>
          <w:szCs w:val="26"/>
        </w:rPr>
        <w:t xml:space="preserve">En raison du principe de continuité, nous </w:t>
      </w:r>
      <w:r w:rsidR="00E72142" w:rsidRPr="00E72142">
        <w:rPr>
          <w:rFonts w:ascii="Tw Cen MT" w:hAnsi="Tw Cen MT"/>
          <w:sz w:val="26"/>
          <w:szCs w:val="26"/>
        </w:rPr>
        <w:t xml:space="preserve">proposons de retenir dans le périmètre de conciliation, les vingt-24 </w:t>
      </w:r>
      <w:r w:rsidRPr="00E72142">
        <w:rPr>
          <w:rFonts w:ascii="Tw Cen MT" w:hAnsi="Tw Cen MT"/>
          <w:sz w:val="26"/>
          <w:szCs w:val="26"/>
        </w:rPr>
        <w:t xml:space="preserve">les entités extractives </w:t>
      </w:r>
      <w:r w:rsidR="00A255CD">
        <w:rPr>
          <w:rFonts w:ascii="Tw Cen MT" w:hAnsi="Tw Cen MT"/>
          <w:sz w:val="26"/>
          <w:szCs w:val="26"/>
        </w:rPr>
        <w:t xml:space="preserve">figurant dans le périmètre </w:t>
      </w:r>
      <w:r w:rsidRPr="00E72142">
        <w:rPr>
          <w:rFonts w:ascii="Tw Cen MT" w:hAnsi="Tw Cen MT"/>
          <w:sz w:val="26"/>
          <w:szCs w:val="26"/>
        </w:rPr>
        <w:t xml:space="preserve">du rapport </w:t>
      </w:r>
      <w:r w:rsidR="00434319" w:rsidRPr="00E72142">
        <w:rPr>
          <w:rFonts w:ascii="Tw Cen MT" w:hAnsi="Tw Cen MT"/>
          <w:sz w:val="26"/>
          <w:szCs w:val="26"/>
        </w:rPr>
        <w:t xml:space="preserve">ITIE </w:t>
      </w:r>
      <w:r w:rsidRPr="00E72142">
        <w:rPr>
          <w:rFonts w:ascii="Tw Cen MT" w:hAnsi="Tw Cen MT"/>
          <w:sz w:val="26"/>
          <w:szCs w:val="26"/>
        </w:rPr>
        <w:t>2018</w:t>
      </w:r>
      <w:r w:rsidR="00E72142" w:rsidRPr="00E72142">
        <w:rPr>
          <w:rFonts w:ascii="Tw Cen MT" w:hAnsi="Tw Cen MT"/>
          <w:sz w:val="26"/>
          <w:szCs w:val="26"/>
        </w:rPr>
        <w:t xml:space="preserve">. </w:t>
      </w:r>
      <w:r w:rsidR="00446933">
        <w:rPr>
          <w:rFonts w:ascii="Tw Cen MT" w:hAnsi="Tw Cen MT"/>
          <w:sz w:val="26"/>
          <w:szCs w:val="26"/>
        </w:rPr>
        <w:t xml:space="preserve">Leurs paiements au titre de l’année 2019, s’élèvent à un montant total de FCFA  </w:t>
      </w:r>
      <w:r w:rsidR="00446933" w:rsidRPr="00446933">
        <w:rPr>
          <w:rFonts w:ascii="Tw Cen MT" w:hAnsi="Tw Cen MT"/>
          <w:sz w:val="26"/>
          <w:szCs w:val="26"/>
        </w:rPr>
        <w:t>335 545 127</w:t>
      </w:r>
      <w:r w:rsidR="00446933">
        <w:rPr>
          <w:rFonts w:ascii="Tw Cen MT" w:hAnsi="Tw Cen MT"/>
          <w:sz w:val="26"/>
          <w:szCs w:val="26"/>
        </w:rPr>
        <w:t> </w:t>
      </w:r>
      <w:r w:rsidR="00446933" w:rsidRPr="00446933">
        <w:rPr>
          <w:rFonts w:ascii="Tw Cen MT" w:hAnsi="Tw Cen MT"/>
          <w:sz w:val="26"/>
          <w:szCs w:val="26"/>
        </w:rPr>
        <w:t>811</w:t>
      </w:r>
      <w:r w:rsidR="00446933">
        <w:rPr>
          <w:rFonts w:ascii="Tw Cen MT" w:hAnsi="Tw Cen MT"/>
          <w:sz w:val="26"/>
          <w:szCs w:val="26"/>
        </w:rPr>
        <w:t xml:space="preserve">. Le tableau ci-dessous présente les détails : </w:t>
      </w:r>
      <w:bookmarkEnd w:id="46"/>
      <w:bookmarkEnd w:id="47"/>
      <w:bookmarkEnd w:id="48"/>
    </w:p>
    <w:p w14:paraId="45DAE80A" w14:textId="3B27AAFB" w:rsidR="00A255CD" w:rsidRPr="00A255CD" w:rsidRDefault="00A255CD" w:rsidP="00A255CD">
      <w:pPr>
        <w:pStyle w:val="Lgende"/>
        <w:rPr>
          <w:rFonts w:ascii="Tw Cen MT" w:hAnsi="Tw Cen MT"/>
          <w:b/>
          <w:bCs/>
          <w:i w:val="0"/>
          <w:iCs w:val="0"/>
          <w:color w:val="auto"/>
          <w:sz w:val="24"/>
          <w:szCs w:val="24"/>
        </w:rPr>
      </w:pPr>
      <w:bookmarkStart w:id="49" w:name="_Toc90995626"/>
      <w:r w:rsidRPr="00A255CD">
        <w:rPr>
          <w:rFonts w:ascii="Tw Cen MT" w:hAnsi="Tw Cen MT"/>
          <w:b/>
          <w:bCs/>
          <w:i w:val="0"/>
          <w:iCs w:val="0"/>
          <w:color w:val="auto"/>
          <w:sz w:val="24"/>
          <w:szCs w:val="24"/>
        </w:rPr>
        <w:t xml:space="preserve">Tableau </w:t>
      </w:r>
      <w:r w:rsidRPr="00A255CD">
        <w:rPr>
          <w:rFonts w:ascii="Tw Cen MT" w:hAnsi="Tw Cen MT"/>
          <w:b/>
          <w:bCs/>
          <w:i w:val="0"/>
          <w:iCs w:val="0"/>
          <w:color w:val="auto"/>
          <w:sz w:val="24"/>
          <w:szCs w:val="24"/>
        </w:rPr>
        <w:fldChar w:fldCharType="begin"/>
      </w:r>
      <w:r w:rsidRPr="00A255CD">
        <w:rPr>
          <w:rFonts w:ascii="Tw Cen MT" w:hAnsi="Tw Cen MT"/>
          <w:b/>
          <w:bCs/>
          <w:i w:val="0"/>
          <w:iCs w:val="0"/>
          <w:color w:val="auto"/>
          <w:sz w:val="24"/>
          <w:szCs w:val="24"/>
        </w:rPr>
        <w:instrText xml:space="preserve"> SEQ Tableau \* ARABIC </w:instrText>
      </w:r>
      <w:r w:rsidRPr="00A255CD">
        <w:rPr>
          <w:rFonts w:ascii="Tw Cen MT" w:hAnsi="Tw Cen MT"/>
          <w:b/>
          <w:bCs/>
          <w:i w:val="0"/>
          <w:iCs w:val="0"/>
          <w:color w:val="auto"/>
          <w:sz w:val="24"/>
          <w:szCs w:val="24"/>
        </w:rPr>
        <w:fldChar w:fldCharType="separate"/>
      </w:r>
      <w:r w:rsidR="00A54243">
        <w:rPr>
          <w:rFonts w:ascii="Tw Cen MT" w:hAnsi="Tw Cen MT"/>
          <w:b/>
          <w:bCs/>
          <w:i w:val="0"/>
          <w:iCs w:val="0"/>
          <w:noProof/>
          <w:color w:val="auto"/>
          <w:sz w:val="24"/>
          <w:szCs w:val="24"/>
        </w:rPr>
        <w:t>4</w:t>
      </w:r>
      <w:r w:rsidRPr="00A255CD">
        <w:rPr>
          <w:rFonts w:ascii="Tw Cen MT" w:hAnsi="Tw Cen MT"/>
          <w:b/>
          <w:bCs/>
          <w:i w:val="0"/>
          <w:iCs w:val="0"/>
          <w:color w:val="auto"/>
          <w:sz w:val="24"/>
          <w:szCs w:val="24"/>
        </w:rPr>
        <w:fldChar w:fldCharType="end"/>
      </w:r>
      <w:r w:rsidRPr="00A255CD">
        <w:rPr>
          <w:rFonts w:ascii="Tw Cen MT" w:hAnsi="Tw Cen MT"/>
          <w:b/>
          <w:bCs/>
          <w:i w:val="0"/>
          <w:iCs w:val="0"/>
          <w:color w:val="auto"/>
          <w:sz w:val="24"/>
          <w:szCs w:val="24"/>
        </w:rPr>
        <w:t> : Liste des sociétés extractives figurant dans le périmètre de conciliation 2018</w:t>
      </w:r>
      <w:bookmarkEnd w:id="49"/>
    </w:p>
    <w:tbl>
      <w:tblPr>
        <w:tblW w:w="9599" w:type="dxa"/>
        <w:jc w:val="center"/>
        <w:tblCellMar>
          <w:left w:w="70" w:type="dxa"/>
          <w:right w:w="70" w:type="dxa"/>
        </w:tblCellMar>
        <w:tblLook w:val="04A0" w:firstRow="1" w:lastRow="0" w:firstColumn="1" w:lastColumn="0" w:noHBand="0" w:noVBand="1"/>
      </w:tblPr>
      <w:tblGrid>
        <w:gridCol w:w="361"/>
        <w:gridCol w:w="1288"/>
        <w:gridCol w:w="3019"/>
        <w:gridCol w:w="1103"/>
        <w:gridCol w:w="2268"/>
        <w:gridCol w:w="1560"/>
      </w:tblGrid>
      <w:tr w:rsidR="00E72142" w:rsidRPr="001968BF" w14:paraId="49249DCB" w14:textId="77777777" w:rsidTr="001968BF">
        <w:trPr>
          <w:trHeight w:val="315"/>
          <w:tblHeader/>
          <w:jc w:val="center"/>
        </w:trPr>
        <w:tc>
          <w:tcPr>
            <w:tcW w:w="361" w:type="dxa"/>
            <w:tcBorders>
              <w:top w:val="single" w:sz="8" w:space="0" w:color="auto"/>
              <w:left w:val="single" w:sz="8" w:space="0" w:color="auto"/>
              <w:bottom w:val="single" w:sz="8" w:space="0" w:color="auto"/>
              <w:right w:val="single" w:sz="8" w:space="0" w:color="auto"/>
            </w:tcBorders>
            <w:shd w:val="clear" w:color="000000" w:fill="00B0F0"/>
            <w:hideMark/>
          </w:tcPr>
          <w:p w14:paraId="28D4C68C" w14:textId="77777777" w:rsidR="00E72142" w:rsidRPr="001968BF" w:rsidRDefault="00E72142" w:rsidP="00E72142">
            <w:pPr>
              <w:jc w:val="center"/>
              <w:rPr>
                <w:rFonts w:ascii="Tw Cen MT" w:hAnsi="Tw Cen MT" w:cs="Calibri"/>
                <w:b/>
                <w:bCs/>
                <w:color w:val="FFFFFF"/>
                <w:sz w:val="18"/>
                <w:szCs w:val="18"/>
                <w:lang w:eastAsia="fr-FR"/>
              </w:rPr>
            </w:pPr>
            <w:r w:rsidRPr="001968BF">
              <w:rPr>
                <w:rFonts w:ascii="Tw Cen MT" w:hAnsi="Tw Cen MT" w:cs="Calibri"/>
                <w:b/>
                <w:bCs/>
                <w:color w:val="FFFFFF"/>
                <w:sz w:val="18"/>
                <w:szCs w:val="18"/>
                <w:lang w:eastAsia="fr-FR"/>
              </w:rPr>
              <w:t xml:space="preserve">N° </w:t>
            </w:r>
          </w:p>
        </w:tc>
        <w:tc>
          <w:tcPr>
            <w:tcW w:w="1288" w:type="dxa"/>
            <w:tcBorders>
              <w:top w:val="single" w:sz="8" w:space="0" w:color="auto"/>
              <w:left w:val="nil"/>
              <w:bottom w:val="single" w:sz="8" w:space="0" w:color="auto"/>
              <w:right w:val="single" w:sz="8" w:space="0" w:color="auto"/>
            </w:tcBorders>
            <w:shd w:val="clear" w:color="000000" w:fill="00B0F0"/>
            <w:hideMark/>
          </w:tcPr>
          <w:p w14:paraId="05D1AE9F" w14:textId="77777777" w:rsidR="00E72142" w:rsidRPr="001968BF" w:rsidRDefault="00E72142" w:rsidP="00E72142">
            <w:pPr>
              <w:jc w:val="center"/>
              <w:rPr>
                <w:rFonts w:ascii="Tw Cen MT" w:hAnsi="Tw Cen MT" w:cs="Calibri"/>
                <w:b/>
                <w:bCs/>
                <w:color w:val="FFFFFF"/>
                <w:sz w:val="18"/>
                <w:szCs w:val="18"/>
                <w:lang w:eastAsia="fr-FR"/>
              </w:rPr>
            </w:pPr>
            <w:r w:rsidRPr="001968BF">
              <w:rPr>
                <w:rFonts w:ascii="Tw Cen MT" w:hAnsi="Tw Cen MT" w:cs="Calibri"/>
                <w:b/>
                <w:bCs/>
                <w:color w:val="FFFFFF"/>
                <w:sz w:val="18"/>
                <w:szCs w:val="18"/>
                <w:lang w:eastAsia="fr-FR"/>
              </w:rPr>
              <w:t>NIF</w:t>
            </w:r>
          </w:p>
        </w:tc>
        <w:tc>
          <w:tcPr>
            <w:tcW w:w="3019" w:type="dxa"/>
            <w:tcBorders>
              <w:top w:val="single" w:sz="8" w:space="0" w:color="auto"/>
              <w:left w:val="nil"/>
              <w:bottom w:val="single" w:sz="8" w:space="0" w:color="auto"/>
              <w:right w:val="single" w:sz="8" w:space="0" w:color="auto"/>
            </w:tcBorders>
            <w:shd w:val="clear" w:color="000000" w:fill="00B0F0"/>
            <w:noWrap/>
            <w:hideMark/>
          </w:tcPr>
          <w:p w14:paraId="5824C15B" w14:textId="77777777" w:rsidR="00E72142" w:rsidRPr="001968BF" w:rsidRDefault="00E72142" w:rsidP="00E72142">
            <w:pPr>
              <w:jc w:val="center"/>
              <w:rPr>
                <w:rFonts w:ascii="Tw Cen MT" w:hAnsi="Tw Cen MT" w:cs="Calibri"/>
                <w:b/>
                <w:bCs/>
                <w:color w:val="FFFFFF"/>
                <w:sz w:val="18"/>
                <w:szCs w:val="18"/>
                <w:lang w:eastAsia="fr-FR"/>
              </w:rPr>
            </w:pPr>
            <w:r w:rsidRPr="001968BF">
              <w:rPr>
                <w:rFonts w:ascii="Tw Cen MT" w:hAnsi="Tw Cen MT" w:cs="Calibri"/>
                <w:b/>
                <w:bCs/>
                <w:color w:val="FFFFFF"/>
                <w:sz w:val="18"/>
                <w:szCs w:val="18"/>
                <w:lang w:eastAsia="fr-FR"/>
              </w:rPr>
              <w:t>DÉSIGNATION DU CONTRIBUABLE</w:t>
            </w:r>
          </w:p>
        </w:tc>
        <w:tc>
          <w:tcPr>
            <w:tcW w:w="1103" w:type="dxa"/>
            <w:tcBorders>
              <w:top w:val="single" w:sz="8" w:space="0" w:color="auto"/>
              <w:left w:val="nil"/>
              <w:bottom w:val="single" w:sz="8" w:space="0" w:color="auto"/>
              <w:right w:val="single" w:sz="8" w:space="0" w:color="auto"/>
            </w:tcBorders>
            <w:shd w:val="clear" w:color="000000" w:fill="00B0F0"/>
            <w:noWrap/>
            <w:hideMark/>
          </w:tcPr>
          <w:p w14:paraId="151AB7B9" w14:textId="77777777" w:rsidR="00E72142" w:rsidRPr="001968BF" w:rsidRDefault="00E72142" w:rsidP="00E72142">
            <w:pPr>
              <w:jc w:val="center"/>
              <w:rPr>
                <w:rFonts w:ascii="Tw Cen MT" w:hAnsi="Tw Cen MT" w:cs="Calibri"/>
                <w:b/>
                <w:bCs/>
                <w:color w:val="FFFFFF"/>
                <w:sz w:val="18"/>
                <w:szCs w:val="18"/>
                <w:lang w:eastAsia="fr-FR"/>
              </w:rPr>
            </w:pPr>
            <w:r w:rsidRPr="001968BF">
              <w:rPr>
                <w:rFonts w:ascii="Tw Cen MT" w:hAnsi="Tw Cen MT" w:cs="Calibri"/>
                <w:b/>
                <w:bCs/>
                <w:color w:val="FFFFFF"/>
                <w:sz w:val="18"/>
                <w:szCs w:val="18"/>
                <w:lang w:eastAsia="fr-FR"/>
              </w:rPr>
              <w:t>SIGLES</w:t>
            </w:r>
          </w:p>
        </w:tc>
        <w:tc>
          <w:tcPr>
            <w:tcW w:w="2268" w:type="dxa"/>
            <w:tcBorders>
              <w:top w:val="single" w:sz="8" w:space="0" w:color="auto"/>
              <w:left w:val="nil"/>
              <w:bottom w:val="single" w:sz="8" w:space="0" w:color="auto"/>
              <w:right w:val="single" w:sz="8" w:space="0" w:color="auto"/>
            </w:tcBorders>
            <w:shd w:val="clear" w:color="000000" w:fill="00B0F0"/>
            <w:noWrap/>
            <w:hideMark/>
          </w:tcPr>
          <w:p w14:paraId="3D06EAC1" w14:textId="4AF7C7DE" w:rsidR="00E72142" w:rsidRPr="001968BF" w:rsidRDefault="00E72142" w:rsidP="00E72142">
            <w:pPr>
              <w:jc w:val="center"/>
              <w:rPr>
                <w:rFonts w:ascii="Tw Cen MT" w:hAnsi="Tw Cen MT" w:cs="Calibri"/>
                <w:b/>
                <w:bCs/>
                <w:color w:val="FFFFFF"/>
                <w:sz w:val="18"/>
                <w:szCs w:val="18"/>
                <w:lang w:eastAsia="fr-FR"/>
              </w:rPr>
            </w:pPr>
            <w:r w:rsidRPr="001968BF">
              <w:rPr>
                <w:rFonts w:ascii="Tw Cen MT" w:hAnsi="Tw Cen MT" w:cs="Calibri"/>
                <w:b/>
                <w:bCs/>
                <w:color w:val="FFFFFF"/>
                <w:sz w:val="18"/>
                <w:szCs w:val="18"/>
                <w:lang w:eastAsia="fr-FR"/>
              </w:rPr>
              <w:t>ACTIVITÉS</w:t>
            </w:r>
          </w:p>
        </w:tc>
        <w:tc>
          <w:tcPr>
            <w:tcW w:w="1560" w:type="dxa"/>
            <w:tcBorders>
              <w:top w:val="single" w:sz="8" w:space="0" w:color="auto"/>
              <w:left w:val="nil"/>
              <w:bottom w:val="single" w:sz="8" w:space="0" w:color="auto"/>
              <w:right w:val="single" w:sz="8" w:space="0" w:color="auto"/>
            </w:tcBorders>
            <w:shd w:val="clear" w:color="000000" w:fill="00B0F0"/>
            <w:noWrap/>
            <w:hideMark/>
          </w:tcPr>
          <w:p w14:paraId="4D68D0F1" w14:textId="77777777" w:rsidR="00E72142" w:rsidRPr="001968BF" w:rsidRDefault="00E72142" w:rsidP="00851ED2">
            <w:pPr>
              <w:jc w:val="right"/>
              <w:rPr>
                <w:rFonts w:ascii="Tw Cen MT" w:hAnsi="Tw Cen MT" w:cs="Calibri"/>
                <w:b/>
                <w:bCs/>
                <w:color w:val="FFFFFF"/>
                <w:sz w:val="18"/>
                <w:szCs w:val="18"/>
                <w:lang w:eastAsia="fr-FR"/>
              </w:rPr>
            </w:pPr>
            <w:r w:rsidRPr="001968BF">
              <w:rPr>
                <w:rFonts w:ascii="Tw Cen MT" w:hAnsi="Tw Cen MT" w:cs="Calibri"/>
                <w:b/>
                <w:bCs/>
                <w:color w:val="FFFFFF"/>
                <w:sz w:val="18"/>
                <w:szCs w:val="18"/>
                <w:lang w:eastAsia="fr-FR"/>
              </w:rPr>
              <w:t>MONTANT EN FCFA</w:t>
            </w:r>
          </w:p>
        </w:tc>
      </w:tr>
      <w:tr w:rsidR="00E72142" w:rsidRPr="001968BF" w14:paraId="7298D6B5" w14:textId="77777777" w:rsidTr="001968BF">
        <w:trPr>
          <w:trHeight w:val="315"/>
          <w:jc w:val="center"/>
        </w:trPr>
        <w:tc>
          <w:tcPr>
            <w:tcW w:w="361" w:type="dxa"/>
            <w:tcBorders>
              <w:top w:val="nil"/>
              <w:left w:val="single" w:sz="8" w:space="0" w:color="auto"/>
              <w:bottom w:val="single" w:sz="8" w:space="0" w:color="auto"/>
              <w:right w:val="single" w:sz="8" w:space="0" w:color="auto"/>
            </w:tcBorders>
            <w:shd w:val="clear" w:color="auto" w:fill="auto"/>
            <w:noWrap/>
            <w:hideMark/>
          </w:tcPr>
          <w:p w14:paraId="1CC65256"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1</w:t>
            </w:r>
          </w:p>
        </w:tc>
        <w:tc>
          <w:tcPr>
            <w:tcW w:w="1288" w:type="dxa"/>
            <w:tcBorders>
              <w:top w:val="nil"/>
              <w:left w:val="nil"/>
              <w:bottom w:val="single" w:sz="8" w:space="0" w:color="auto"/>
              <w:right w:val="single" w:sz="8" w:space="0" w:color="auto"/>
            </w:tcBorders>
            <w:shd w:val="clear" w:color="auto" w:fill="auto"/>
            <w:noWrap/>
            <w:hideMark/>
          </w:tcPr>
          <w:p w14:paraId="7F515BB2"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081102335F</w:t>
            </w:r>
          </w:p>
        </w:tc>
        <w:tc>
          <w:tcPr>
            <w:tcW w:w="3019" w:type="dxa"/>
            <w:tcBorders>
              <w:top w:val="nil"/>
              <w:left w:val="nil"/>
              <w:bottom w:val="single" w:sz="8" w:space="0" w:color="auto"/>
              <w:right w:val="single" w:sz="8" w:space="0" w:color="auto"/>
            </w:tcBorders>
            <w:shd w:val="clear" w:color="auto" w:fill="auto"/>
            <w:noWrap/>
            <w:hideMark/>
          </w:tcPr>
          <w:p w14:paraId="6F37AD2E" w14:textId="08108E15"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CIMENTS ET MATÉRIAUX DU MALI SA</w:t>
            </w:r>
          </w:p>
        </w:tc>
        <w:tc>
          <w:tcPr>
            <w:tcW w:w="1103" w:type="dxa"/>
            <w:tcBorders>
              <w:top w:val="nil"/>
              <w:left w:val="nil"/>
              <w:bottom w:val="single" w:sz="8" w:space="0" w:color="auto"/>
              <w:right w:val="single" w:sz="8" w:space="0" w:color="auto"/>
            </w:tcBorders>
            <w:shd w:val="clear" w:color="auto" w:fill="auto"/>
            <w:noWrap/>
            <w:hideMark/>
          </w:tcPr>
          <w:p w14:paraId="45FB9EBE"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CMM </w:t>
            </w:r>
          </w:p>
        </w:tc>
        <w:tc>
          <w:tcPr>
            <w:tcW w:w="2268" w:type="dxa"/>
            <w:tcBorders>
              <w:top w:val="nil"/>
              <w:left w:val="nil"/>
              <w:bottom w:val="single" w:sz="8" w:space="0" w:color="auto"/>
              <w:right w:val="single" w:sz="8" w:space="0" w:color="auto"/>
            </w:tcBorders>
            <w:shd w:val="clear" w:color="auto" w:fill="auto"/>
            <w:noWrap/>
            <w:hideMark/>
          </w:tcPr>
          <w:p w14:paraId="6105C18D"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Exploitation des carrières</w:t>
            </w:r>
          </w:p>
        </w:tc>
        <w:tc>
          <w:tcPr>
            <w:tcW w:w="1560" w:type="dxa"/>
            <w:tcBorders>
              <w:top w:val="nil"/>
              <w:left w:val="nil"/>
              <w:bottom w:val="single" w:sz="8" w:space="0" w:color="auto"/>
              <w:right w:val="single" w:sz="8" w:space="0" w:color="auto"/>
            </w:tcBorders>
            <w:shd w:val="clear" w:color="auto" w:fill="auto"/>
            <w:noWrap/>
            <w:hideMark/>
          </w:tcPr>
          <w:p w14:paraId="34DF38F5" w14:textId="6D950D60" w:rsidR="00E72142" w:rsidRPr="001968BF" w:rsidRDefault="00E72142" w:rsidP="00851ED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330 046 713 </w:t>
            </w:r>
          </w:p>
        </w:tc>
      </w:tr>
      <w:tr w:rsidR="00E72142" w:rsidRPr="001968BF" w14:paraId="62B222E2" w14:textId="77777777" w:rsidTr="001968BF">
        <w:trPr>
          <w:trHeight w:val="315"/>
          <w:jc w:val="center"/>
        </w:trPr>
        <w:tc>
          <w:tcPr>
            <w:tcW w:w="361" w:type="dxa"/>
            <w:tcBorders>
              <w:top w:val="nil"/>
              <w:left w:val="single" w:sz="8" w:space="0" w:color="auto"/>
              <w:bottom w:val="single" w:sz="8" w:space="0" w:color="auto"/>
              <w:right w:val="single" w:sz="8" w:space="0" w:color="auto"/>
            </w:tcBorders>
            <w:shd w:val="clear" w:color="auto" w:fill="auto"/>
            <w:noWrap/>
            <w:hideMark/>
          </w:tcPr>
          <w:p w14:paraId="6C71D76F"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2</w:t>
            </w:r>
          </w:p>
        </w:tc>
        <w:tc>
          <w:tcPr>
            <w:tcW w:w="1288" w:type="dxa"/>
            <w:tcBorders>
              <w:top w:val="nil"/>
              <w:left w:val="nil"/>
              <w:bottom w:val="single" w:sz="8" w:space="0" w:color="auto"/>
              <w:right w:val="single" w:sz="8" w:space="0" w:color="auto"/>
            </w:tcBorders>
            <w:shd w:val="clear" w:color="auto" w:fill="auto"/>
            <w:noWrap/>
            <w:hideMark/>
          </w:tcPr>
          <w:p w14:paraId="6662BCED"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081104190G</w:t>
            </w:r>
          </w:p>
        </w:tc>
        <w:tc>
          <w:tcPr>
            <w:tcW w:w="3019" w:type="dxa"/>
            <w:tcBorders>
              <w:top w:val="nil"/>
              <w:left w:val="nil"/>
              <w:bottom w:val="single" w:sz="8" w:space="0" w:color="auto"/>
              <w:right w:val="single" w:sz="8" w:space="0" w:color="auto"/>
            </w:tcBorders>
            <w:shd w:val="clear" w:color="auto" w:fill="auto"/>
            <w:noWrap/>
            <w:hideMark/>
          </w:tcPr>
          <w:p w14:paraId="74F6B6D2"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DIAMOND CIMENT MALI SA</w:t>
            </w:r>
          </w:p>
        </w:tc>
        <w:tc>
          <w:tcPr>
            <w:tcW w:w="1103" w:type="dxa"/>
            <w:tcBorders>
              <w:top w:val="nil"/>
              <w:left w:val="nil"/>
              <w:bottom w:val="single" w:sz="8" w:space="0" w:color="auto"/>
              <w:right w:val="single" w:sz="8" w:space="0" w:color="auto"/>
            </w:tcBorders>
            <w:shd w:val="clear" w:color="auto" w:fill="auto"/>
            <w:noWrap/>
            <w:hideMark/>
          </w:tcPr>
          <w:p w14:paraId="37D0979E"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DIAMOND CEMENT </w:t>
            </w:r>
          </w:p>
        </w:tc>
        <w:tc>
          <w:tcPr>
            <w:tcW w:w="2268" w:type="dxa"/>
            <w:tcBorders>
              <w:top w:val="nil"/>
              <w:left w:val="nil"/>
              <w:bottom w:val="single" w:sz="8" w:space="0" w:color="auto"/>
              <w:right w:val="single" w:sz="8" w:space="0" w:color="auto"/>
            </w:tcBorders>
            <w:shd w:val="clear" w:color="auto" w:fill="auto"/>
            <w:noWrap/>
            <w:hideMark/>
          </w:tcPr>
          <w:p w14:paraId="58554FA7"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Exploitation des carrières</w:t>
            </w:r>
          </w:p>
        </w:tc>
        <w:tc>
          <w:tcPr>
            <w:tcW w:w="1560" w:type="dxa"/>
            <w:tcBorders>
              <w:top w:val="nil"/>
              <w:left w:val="nil"/>
              <w:bottom w:val="single" w:sz="8" w:space="0" w:color="auto"/>
              <w:right w:val="single" w:sz="8" w:space="0" w:color="auto"/>
            </w:tcBorders>
            <w:shd w:val="clear" w:color="auto" w:fill="auto"/>
            <w:noWrap/>
            <w:hideMark/>
          </w:tcPr>
          <w:p w14:paraId="5BDDAFE7" w14:textId="0504AE1E" w:rsidR="00E72142" w:rsidRPr="001968BF" w:rsidRDefault="00E72142" w:rsidP="00851ED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1 685 704 223 </w:t>
            </w:r>
          </w:p>
        </w:tc>
      </w:tr>
      <w:tr w:rsidR="00E72142" w:rsidRPr="001968BF" w14:paraId="2EDAD874" w14:textId="77777777" w:rsidTr="001968BF">
        <w:trPr>
          <w:trHeight w:val="315"/>
          <w:jc w:val="center"/>
        </w:trPr>
        <w:tc>
          <w:tcPr>
            <w:tcW w:w="361" w:type="dxa"/>
            <w:tcBorders>
              <w:top w:val="nil"/>
              <w:left w:val="single" w:sz="8" w:space="0" w:color="auto"/>
              <w:bottom w:val="single" w:sz="8" w:space="0" w:color="auto"/>
              <w:right w:val="single" w:sz="8" w:space="0" w:color="auto"/>
            </w:tcBorders>
            <w:shd w:val="clear" w:color="auto" w:fill="auto"/>
            <w:noWrap/>
            <w:hideMark/>
          </w:tcPr>
          <w:p w14:paraId="66F11C81"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3</w:t>
            </w:r>
          </w:p>
        </w:tc>
        <w:tc>
          <w:tcPr>
            <w:tcW w:w="1288" w:type="dxa"/>
            <w:tcBorders>
              <w:top w:val="nil"/>
              <w:left w:val="nil"/>
              <w:bottom w:val="single" w:sz="8" w:space="0" w:color="auto"/>
              <w:right w:val="single" w:sz="8" w:space="0" w:color="auto"/>
            </w:tcBorders>
            <w:shd w:val="clear" w:color="auto" w:fill="auto"/>
            <w:noWrap/>
            <w:hideMark/>
          </w:tcPr>
          <w:p w14:paraId="4ADF69FD"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087800040B</w:t>
            </w:r>
          </w:p>
        </w:tc>
        <w:tc>
          <w:tcPr>
            <w:tcW w:w="3019" w:type="dxa"/>
            <w:tcBorders>
              <w:top w:val="nil"/>
              <w:left w:val="nil"/>
              <w:bottom w:val="single" w:sz="8" w:space="0" w:color="auto"/>
              <w:right w:val="single" w:sz="8" w:space="0" w:color="auto"/>
            </w:tcBorders>
            <w:shd w:val="clear" w:color="auto" w:fill="auto"/>
            <w:noWrap/>
            <w:hideMark/>
          </w:tcPr>
          <w:p w14:paraId="77F1E2AD" w14:textId="1853EF7F"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SOCIÉTÉ DES MINES DE SYAMA</w:t>
            </w:r>
          </w:p>
        </w:tc>
        <w:tc>
          <w:tcPr>
            <w:tcW w:w="1103" w:type="dxa"/>
            <w:tcBorders>
              <w:top w:val="nil"/>
              <w:left w:val="nil"/>
              <w:bottom w:val="single" w:sz="8" w:space="0" w:color="auto"/>
              <w:right w:val="single" w:sz="8" w:space="0" w:color="auto"/>
            </w:tcBorders>
            <w:shd w:val="clear" w:color="auto" w:fill="auto"/>
            <w:noWrap/>
            <w:hideMark/>
          </w:tcPr>
          <w:p w14:paraId="159209E6"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SOMISY </w:t>
            </w:r>
          </w:p>
        </w:tc>
        <w:tc>
          <w:tcPr>
            <w:tcW w:w="2268" w:type="dxa"/>
            <w:tcBorders>
              <w:top w:val="nil"/>
              <w:left w:val="nil"/>
              <w:bottom w:val="single" w:sz="8" w:space="0" w:color="auto"/>
              <w:right w:val="single" w:sz="8" w:space="0" w:color="auto"/>
            </w:tcBorders>
            <w:shd w:val="clear" w:color="auto" w:fill="auto"/>
            <w:noWrap/>
            <w:hideMark/>
          </w:tcPr>
          <w:p w14:paraId="1E928A8F"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Exploitation Or</w:t>
            </w:r>
          </w:p>
        </w:tc>
        <w:tc>
          <w:tcPr>
            <w:tcW w:w="1560" w:type="dxa"/>
            <w:tcBorders>
              <w:top w:val="nil"/>
              <w:left w:val="nil"/>
              <w:bottom w:val="single" w:sz="8" w:space="0" w:color="auto"/>
              <w:right w:val="single" w:sz="8" w:space="0" w:color="auto"/>
            </w:tcBorders>
            <w:shd w:val="clear" w:color="auto" w:fill="auto"/>
            <w:noWrap/>
            <w:hideMark/>
          </w:tcPr>
          <w:p w14:paraId="76DA46CB" w14:textId="678AF24D" w:rsidR="00E72142" w:rsidRPr="001968BF" w:rsidRDefault="00E72142" w:rsidP="00851ED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25 383 758 016 </w:t>
            </w:r>
          </w:p>
        </w:tc>
      </w:tr>
      <w:tr w:rsidR="00E72142" w:rsidRPr="001968BF" w14:paraId="2F16E2FF" w14:textId="77777777" w:rsidTr="001968BF">
        <w:trPr>
          <w:trHeight w:val="315"/>
          <w:jc w:val="center"/>
        </w:trPr>
        <w:tc>
          <w:tcPr>
            <w:tcW w:w="361" w:type="dxa"/>
            <w:tcBorders>
              <w:top w:val="nil"/>
              <w:left w:val="single" w:sz="8" w:space="0" w:color="auto"/>
              <w:bottom w:val="single" w:sz="8" w:space="0" w:color="auto"/>
              <w:right w:val="single" w:sz="8" w:space="0" w:color="auto"/>
            </w:tcBorders>
            <w:shd w:val="clear" w:color="auto" w:fill="auto"/>
            <w:noWrap/>
            <w:hideMark/>
          </w:tcPr>
          <w:p w14:paraId="1CAE939D"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4</w:t>
            </w:r>
          </w:p>
        </w:tc>
        <w:tc>
          <w:tcPr>
            <w:tcW w:w="1288" w:type="dxa"/>
            <w:tcBorders>
              <w:top w:val="nil"/>
              <w:left w:val="nil"/>
              <w:bottom w:val="single" w:sz="8" w:space="0" w:color="auto"/>
              <w:right w:val="single" w:sz="8" w:space="0" w:color="auto"/>
            </w:tcBorders>
            <w:shd w:val="clear" w:color="auto" w:fill="auto"/>
            <w:noWrap/>
            <w:hideMark/>
          </w:tcPr>
          <w:p w14:paraId="7061ADB9"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087800054F</w:t>
            </w:r>
          </w:p>
        </w:tc>
        <w:tc>
          <w:tcPr>
            <w:tcW w:w="3019" w:type="dxa"/>
            <w:tcBorders>
              <w:top w:val="nil"/>
              <w:left w:val="nil"/>
              <w:bottom w:val="single" w:sz="8" w:space="0" w:color="auto"/>
              <w:right w:val="single" w:sz="8" w:space="0" w:color="auto"/>
            </w:tcBorders>
            <w:shd w:val="clear" w:color="auto" w:fill="auto"/>
            <w:noWrap/>
            <w:hideMark/>
          </w:tcPr>
          <w:p w14:paraId="6E527B2E" w14:textId="6AFC96B9"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SOCIÉTÉ DES EAUX MINÉRALES MALI</w:t>
            </w:r>
          </w:p>
        </w:tc>
        <w:tc>
          <w:tcPr>
            <w:tcW w:w="1103" w:type="dxa"/>
            <w:tcBorders>
              <w:top w:val="nil"/>
              <w:left w:val="nil"/>
              <w:bottom w:val="single" w:sz="8" w:space="0" w:color="auto"/>
              <w:right w:val="single" w:sz="8" w:space="0" w:color="auto"/>
            </w:tcBorders>
            <w:shd w:val="clear" w:color="auto" w:fill="auto"/>
            <w:noWrap/>
            <w:hideMark/>
          </w:tcPr>
          <w:p w14:paraId="6D4C7FFB"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EMM </w:t>
            </w:r>
          </w:p>
        </w:tc>
        <w:tc>
          <w:tcPr>
            <w:tcW w:w="2268" w:type="dxa"/>
            <w:tcBorders>
              <w:top w:val="nil"/>
              <w:left w:val="nil"/>
              <w:bottom w:val="single" w:sz="8" w:space="0" w:color="auto"/>
              <w:right w:val="single" w:sz="8" w:space="0" w:color="auto"/>
            </w:tcBorders>
            <w:shd w:val="clear" w:color="auto" w:fill="auto"/>
            <w:noWrap/>
            <w:hideMark/>
          </w:tcPr>
          <w:p w14:paraId="2AD6AC28"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Exploitation eaux minérales</w:t>
            </w:r>
          </w:p>
        </w:tc>
        <w:tc>
          <w:tcPr>
            <w:tcW w:w="1560" w:type="dxa"/>
            <w:tcBorders>
              <w:top w:val="nil"/>
              <w:left w:val="nil"/>
              <w:bottom w:val="single" w:sz="8" w:space="0" w:color="auto"/>
              <w:right w:val="single" w:sz="8" w:space="0" w:color="auto"/>
            </w:tcBorders>
            <w:shd w:val="clear" w:color="auto" w:fill="auto"/>
            <w:noWrap/>
            <w:hideMark/>
          </w:tcPr>
          <w:p w14:paraId="08974AA2" w14:textId="2613B2C2" w:rsidR="00E72142" w:rsidRPr="001968BF" w:rsidRDefault="00E72142" w:rsidP="00851ED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1 006 708 040 </w:t>
            </w:r>
          </w:p>
        </w:tc>
      </w:tr>
      <w:tr w:rsidR="00E72142" w:rsidRPr="001968BF" w14:paraId="7B414A99" w14:textId="77777777" w:rsidTr="001968BF">
        <w:trPr>
          <w:trHeight w:val="315"/>
          <w:jc w:val="center"/>
        </w:trPr>
        <w:tc>
          <w:tcPr>
            <w:tcW w:w="361" w:type="dxa"/>
            <w:tcBorders>
              <w:top w:val="nil"/>
              <w:left w:val="single" w:sz="8" w:space="0" w:color="auto"/>
              <w:bottom w:val="single" w:sz="8" w:space="0" w:color="auto"/>
              <w:right w:val="single" w:sz="8" w:space="0" w:color="auto"/>
            </w:tcBorders>
            <w:shd w:val="clear" w:color="auto" w:fill="auto"/>
            <w:noWrap/>
            <w:hideMark/>
          </w:tcPr>
          <w:p w14:paraId="1C0F28AE"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5</w:t>
            </w:r>
          </w:p>
        </w:tc>
        <w:tc>
          <w:tcPr>
            <w:tcW w:w="1288" w:type="dxa"/>
            <w:tcBorders>
              <w:top w:val="nil"/>
              <w:left w:val="nil"/>
              <w:bottom w:val="single" w:sz="8" w:space="0" w:color="auto"/>
              <w:right w:val="single" w:sz="8" w:space="0" w:color="auto"/>
            </w:tcBorders>
            <w:shd w:val="clear" w:color="auto" w:fill="auto"/>
            <w:noWrap/>
            <w:hideMark/>
          </w:tcPr>
          <w:p w14:paraId="0C985F19"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087800209E</w:t>
            </w:r>
          </w:p>
        </w:tc>
        <w:tc>
          <w:tcPr>
            <w:tcW w:w="3019" w:type="dxa"/>
            <w:tcBorders>
              <w:top w:val="nil"/>
              <w:left w:val="nil"/>
              <w:bottom w:val="single" w:sz="8" w:space="0" w:color="auto"/>
              <w:right w:val="single" w:sz="8" w:space="0" w:color="auto"/>
            </w:tcBorders>
            <w:shd w:val="clear" w:color="auto" w:fill="auto"/>
            <w:noWrap/>
            <w:hideMark/>
          </w:tcPr>
          <w:p w14:paraId="4C850B49" w14:textId="19D226E1"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SOCIÉTÉ D'EXPLOITATION DES MINES OR DE SADIOLA SA</w:t>
            </w:r>
          </w:p>
        </w:tc>
        <w:tc>
          <w:tcPr>
            <w:tcW w:w="1103" w:type="dxa"/>
            <w:tcBorders>
              <w:top w:val="nil"/>
              <w:left w:val="nil"/>
              <w:bottom w:val="single" w:sz="8" w:space="0" w:color="auto"/>
              <w:right w:val="single" w:sz="8" w:space="0" w:color="auto"/>
            </w:tcBorders>
            <w:shd w:val="clear" w:color="auto" w:fill="auto"/>
            <w:noWrap/>
            <w:hideMark/>
          </w:tcPr>
          <w:p w14:paraId="270EDB1E"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SEMOS </w:t>
            </w:r>
          </w:p>
        </w:tc>
        <w:tc>
          <w:tcPr>
            <w:tcW w:w="2268" w:type="dxa"/>
            <w:tcBorders>
              <w:top w:val="nil"/>
              <w:left w:val="nil"/>
              <w:bottom w:val="single" w:sz="8" w:space="0" w:color="auto"/>
              <w:right w:val="single" w:sz="8" w:space="0" w:color="auto"/>
            </w:tcBorders>
            <w:shd w:val="clear" w:color="auto" w:fill="auto"/>
            <w:noWrap/>
            <w:hideMark/>
          </w:tcPr>
          <w:p w14:paraId="7FF8E171"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Exploitation Or</w:t>
            </w:r>
          </w:p>
        </w:tc>
        <w:tc>
          <w:tcPr>
            <w:tcW w:w="1560" w:type="dxa"/>
            <w:tcBorders>
              <w:top w:val="nil"/>
              <w:left w:val="nil"/>
              <w:bottom w:val="single" w:sz="8" w:space="0" w:color="auto"/>
              <w:right w:val="single" w:sz="8" w:space="0" w:color="auto"/>
            </w:tcBorders>
            <w:shd w:val="clear" w:color="auto" w:fill="auto"/>
            <w:noWrap/>
            <w:hideMark/>
          </w:tcPr>
          <w:p w14:paraId="09ED9A33" w14:textId="13B7107A" w:rsidR="00E72142" w:rsidRPr="001968BF" w:rsidRDefault="00E72142" w:rsidP="00851ED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18 147 251 679 </w:t>
            </w:r>
          </w:p>
        </w:tc>
      </w:tr>
      <w:tr w:rsidR="00E72142" w:rsidRPr="001968BF" w14:paraId="3589DBD5" w14:textId="77777777" w:rsidTr="001968BF">
        <w:trPr>
          <w:trHeight w:val="315"/>
          <w:jc w:val="center"/>
        </w:trPr>
        <w:tc>
          <w:tcPr>
            <w:tcW w:w="361" w:type="dxa"/>
            <w:tcBorders>
              <w:top w:val="nil"/>
              <w:left w:val="single" w:sz="8" w:space="0" w:color="auto"/>
              <w:bottom w:val="single" w:sz="8" w:space="0" w:color="auto"/>
              <w:right w:val="single" w:sz="8" w:space="0" w:color="auto"/>
            </w:tcBorders>
            <w:shd w:val="clear" w:color="auto" w:fill="auto"/>
            <w:noWrap/>
            <w:hideMark/>
          </w:tcPr>
          <w:p w14:paraId="12D7D901"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lastRenderedPageBreak/>
              <w:t>6</w:t>
            </w:r>
          </w:p>
        </w:tc>
        <w:tc>
          <w:tcPr>
            <w:tcW w:w="1288" w:type="dxa"/>
            <w:tcBorders>
              <w:top w:val="nil"/>
              <w:left w:val="nil"/>
              <w:bottom w:val="single" w:sz="8" w:space="0" w:color="auto"/>
              <w:right w:val="single" w:sz="8" w:space="0" w:color="auto"/>
            </w:tcBorders>
            <w:shd w:val="clear" w:color="auto" w:fill="auto"/>
            <w:noWrap/>
            <w:hideMark/>
          </w:tcPr>
          <w:p w14:paraId="7DACB3EE"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087800300L</w:t>
            </w:r>
          </w:p>
        </w:tc>
        <w:tc>
          <w:tcPr>
            <w:tcW w:w="3019" w:type="dxa"/>
            <w:tcBorders>
              <w:top w:val="nil"/>
              <w:left w:val="nil"/>
              <w:bottom w:val="single" w:sz="8" w:space="0" w:color="auto"/>
              <w:right w:val="single" w:sz="8" w:space="0" w:color="auto"/>
            </w:tcBorders>
            <w:shd w:val="clear" w:color="auto" w:fill="auto"/>
            <w:noWrap/>
            <w:hideMark/>
          </w:tcPr>
          <w:p w14:paraId="657FB6FB" w14:textId="0A091F68"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SOCIÉTÉ DES MINES DE LOULO</w:t>
            </w:r>
          </w:p>
        </w:tc>
        <w:tc>
          <w:tcPr>
            <w:tcW w:w="1103" w:type="dxa"/>
            <w:tcBorders>
              <w:top w:val="nil"/>
              <w:left w:val="nil"/>
              <w:bottom w:val="single" w:sz="8" w:space="0" w:color="auto"/>
              <w:right w:val="single" w:sz="8" w:space="0" w:color="auto"/>
            </w:tcBorders>
            <w:shd w:val="clear" w:color="auto" w:fill="auto"/>
            <w:noWrap/>
            <w:hideMark/>
          </w:tcPr>
          <w:p w14:paraId="6F9BAF65"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SOMILO </w:t>
            </w:r>
          </w:p>
        </w:tc>
        <w:tc>
          <w:tcPr>
            <w:tcW w:w="2268" w:type="dxa"/>
            <w:tcBorders>
              <w:top w:val="nil"/>
              <w:left w:val="nil"/>
              <w:bottom w:val="single" w:sz="8" w:space="0" w:color="auto"/>
              <w:right w:val="single" w:sz="8" w:space="0" w:color="auto"/>
            </w:tcBorders>
            <w:shd w:val="clear" w:color="auto" w:fill="auto"/>
            <w:noWrap/>
            <w:hideMark/>
          </w:tcPr>
          <w:p w14:paraId="42A4AB54"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Exploitation Or</w:t>
            </w:r>
          </w:p>
        </w:tc>
        <w:tc>
          <w:tcPr>
            <w:tcW w:w="1560" w:type="dxa"/>
            <w:tcBorders>
              <w:top w:val="nil"/>
              <w:left w:val="nil"/>
              <w:bottom w:val="single" w:sz="8" w:space="0" w:color="auto"/>
              <w:right w:val="single" w:sz="8" w:space="0" w:color="auto"/>
            </w:tcBorders>
            <w:shd w:val="clear" w:color="auto" w:fill="auto"/>
            <w:noWrap/>
            <w:hideMark/>
          </w:tcPr>
          <w:p w14:paraId="424D9640" w14:textId="61E3A7CA" w:rsidR="00E72142" w:rsidRPr="001968BF" w:rsidRDefault="00E72142" w:rsidP="00851ED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72 572 166 368 </w:t>
            </w:r>
          </w:p>
        </w:tc>
      </w:tr>
      <w:tr w:rsidR="00E72142" w:rsidRPr="001968BF" w14:paraId="0B591DD7" w14:textId="77777777" w:rsidTr="001968BF">
        <w:trPr>
          <w:trHeight w:val="315"/>
          <w:jc w:val="center"/>
        </w:trPr>
        <w:tc>
          <w:tcPr>
            <w:tcW w:w="361" w:type="dxa"/>
            <w:tcBorders>
              <w:top w:val="nil"/>
              <w:left w:val="single" w:sz="8" w:space="0" w:color="auto"/>
              <w:bottom w:val="single" w:sz="8" w:space="0" w:color="auto"/>
              <w:right w:val="single" w:sz="8" w:space="0" w:color="auto"/>
            </w:tcBorders>
            <w:shd w:val="clear" w:color="auto" w:fill="auto"/>
            <w:noWrap/>
            <w:hideMark/>
          </w:tcPr>
          <w:p w14:paraId="04C35845"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7</w:t>
            </w:r>
          </w:p>
        </w:tc>
        <w:tc>
          <w:tcPr>
            <w:tcW w:w="1288" w:type="dxa"/>
            <w:tcBorders>
              <w:top w:val="nil"/>
              <w:left w:val="nil"/>
              <w:bottom w:val="single" w:sz="8" w:space="0" w:color="auto"/>
              <w:right w:val="single" w:sz="8" w:space="0" w:color="auto"/>
            </w:tcBorders>
            <w:shd w:val="clear" w:color="auto" w:fill="auto"/>
            <w:noWrap/>
            <w:hideMark/>
          </w:tcPr>
          <w:p w14:paraId="551DF308"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087800368L</w:t>
            </w:r>
          </w:p>
        </w:tc>
        <w:tc>
          <w:tcPr>
            <w:tcW w:w="3019" w:type="dxa"/>
            <w:tcBorders>
              <w:top w:val="nil"/>
              <w:left w:val="nil"/>
              <w:bottom w:val="single" w:sz="8" w:space="0" w:color="auto"/>
              <w:right w:val="single" w:sz="8" w:space="0" w:color="auto"/>
            </w:tcBorders>
            <w:shd w:val="clear" w:color="auto" w:fill="auto"/>
            <w:noWrap/>
            <w:hideMark/>
          </w:tcPr>
          <w:p w14:paraId="79015AEF" w14:textId="1EE41050"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SOCIÉTÉ DES MINES DE MORILA</w:t>
            </w:r>
          </w:p>
        </w:tc>
        <w:tc>
          <w:tcPr>
            <w:tcW w:w="1103" w:type="dxa"/>
            <w:tcBorders>
              <w:top w:val="nil"/>
              <w:left w:val="nil"/>
              <w:bottom w:val="single" w:sz="8" w:space="0" w:color="auto"/>
              <w:right w:val="single" w:sz="8" w:space="0" w:color="auto"/>
            </w:tcBorders>
            <w:shd w:val="clear" w:color="auto" w:fill="auto"/>
            <w:noWrap/>
            <w:hideMark/>
          </w:tcPr>
          <w:p w14:paraId="440A8BA5"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MORILA </w:t>
            </w:r>
          </w:p>
        </w:tc>
        <w:tc>
          <w:tcPr>
            <w:tcW w:w="2268" w:type="dxa"/>
            <w:tcBorders>
              <w:top w:val="nil"/>
              <w:left w:val="nil"/>
              <w:bottom w:val="single" w:sz="8" w:space="0" w:color="auto"/>
              <w:right w:val="single" w:sz="8" w:space="0" w:color="auto"/>
            </w:tcBorders>
            <w:shd w:val="clear" w:color="auto" w:fill="auto"/>
            <w:noWrap/>
            <w:hideMark/>
          </w:tcPr>
          <w:p w14:paraId="639C067E"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Exploitation Or</w:t>
            </w:r>
          </w:p>
        </w:tc>
        <w:tc>
          <w:tcPr>
            <w:tcW w:w="1560" w:type="dxa"/>
            <w:tcBorders>
              <w:top w:val="nil"/>
              <w:left w:val="nil"/>
              <w:bottom w:val="single" w:sz="8" w:space="0" w:color="auto"/>
              <w:right w:val="single" w:sz="8" w:space="0" w:color="auto"/>
            </w:tcBorders>
            <w:shd w:val="clear" w:color="auto" w:fill="auto"/>
            <w:noWrap/>
            <w:hideMark/>
          </w:tcPr>
          <w:p w14:paraId="73B1E989" w14:textId="3D847536" w:rsidR="00E72142" w:rsidRPr="001968BF" w:rsidRDefault="00E72142" w:rsidP="00851ED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19 633 222 073 </w:t>
            </w:r>
          </w:p>
        </w:tc>
      </w:tr>
      <w:tr w:rsidR="00E72142" w:rsidRPr="001968BF" w14:paraId="6EA45E39" w14:textId="77777777" w:rsidTr="001968BF">
        <w:trPr>
          <w:trHeight w:val="315"/>
          <w:jc w:val="center"/>
        </w:trPr>
        <w:tc>
          <w:tcPr>
            <w:tcW w:w="361" w:type="dxa"/>
            <w:tcBorders>
              <w:top w:val="nil"/>
              <w:left w:val="single" w:sz="8" w:space="0" w:color="auto"/>
              <w:bottom w:val="single" w:sz="8" w:space="0" w:color="auto"/>
              <w:right w:val="single" w:sz="8" w:space="0" w:color="auto"/>
            </w:tcBorders>
            <w:shd w:val="clear" w:color="auto" w:fill="auto"/>
            <w:noWrap/>
            <w:hideMark/>
          </w:tcPr>
          <w:p w14:paraId="74DA7853"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8</w:t>
            </w:r>
          </w:p>
        </w:tc>
        <w:tc>
          <w:tcPr>
            <w:tcW w:w="1288" w:type="dxa"/>
            <w:tcBorders>
              <w:top w:val="nil"/>
              <w:left w:val="nil"/>
              <w:bottom w:val="single" w:sz="8" w:space="0" w:color="auto"/>
              <w:right w:val="single" w:sz="8" w:space="0" w:color="auto"/>
            </w:tcBorders>
            <w:shd w:val="clear" w:color="auto" w:fill="auto"/>
            <w:noWrap/>
            <w:hideMark/>
          </w:tcPr>
          <w:p w14:paraId="7C470355"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087800378X</w:t>
            </w:r>
          </w:p>
        </w:tc>
        <w:tc>
          <w:tcPr>
            <w:tcW w:w="3019" w:type="dxa"/>
            <w:tcBorders>
              <w:top w:val="nil"/>
              <w:left w:val="nil"/>
              <w:bottom w:val="single" w:sz="8" w:space="0" w:color="auto"/>
              <w:right w:val="single" w:sz="8" w:space="0" w:color="auto"/>
            </w:tcBorders>
            <w:shd w:val="clear" w:color="auto" w:fill="auto"/>
            <w:noWrap/>
            <w:hideMark/>
          </w:tcPr>
          <w:p w14:paraId="4B57C565"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SEGALA MINING CORPORATION</w:t>
            </w:r>
          </w:p>
        </w:tc>
        <w:tc>
          <w:tcPr>
            <w:tcW w:w="1103" w:type="dxa"/>
            <w:tcBorders>
              <w:top w:val="nil"/>
              <w:left w:val="nil"/>
              <w:bottom w:val="single" w:sz="8" w:space="0" w:color="auto"/>
              <w:right w:val="single" w:sz="8" w:space="0" w:color="auto"/>
            </w:tcBorders>
            <w:shd w:val="clear" w:color="auto" w:fill="auto"/>
            <w:noWrap/>
            <w:hideMark/>
          </w:tcPr>
          <w:p w14:paraId="013C94BA"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SEMICO </w:t>
            </w:r>
          </w:p>
        </w:tc>
        <w:tc>
          <w:tcPr>
            <w:tcW w:w="2268" w:type="dxa"/>
            <w:tcBorders>
              <w:top w:val="nil"/>
              <w:left w:val="nil"/>
              <w:bottom w:val="single" w:sz="8" w:space="0" w:color="auto"/>
              <w:right w:val="single" w:sz="8" w:space="0" w:color="auto"/>
            </w:tcBorders>
            <w:shd w:val="clear" w:color="auto" w:fill="auto"/>
            <w:noWrap/>
            <w:hideMark/>
          </w:tcPr>
          <w:p w14:paraId="0C225FAB"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Exploitation Or</w:t>
            </w:r>
          </w:p>
        </w:tc>
        <w:tc>
          <w:tcPr>
            <w:tcW w:w="1560" w:type="dxa"/>
            <w:tcBorders>
              <w:top w:val="nil"/>
              <w:left w:val="nil"/>
              <w:bottom w:val="single" w:sz="8" w:space="0" w:color="auto"/>
              <w:right w:val="single" w:sz="8" w:space="0" w:color="auto"/>
            </w:tcBorders>
            <w:shd w:val="clear" w:color="auto" w:fill="auto"/>
            <w:noWrap/>
            <w:hideMark/>
          </w:tcPr>
          <w:p w14:paraId="1DBCCA2A" w14:textId="7664BD60" w:rsidR="00E72142" w:rsidRPr="001968BF" w:rsidRDefault="00E72142" w:rsidP="00851ED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20 839 158 836 </w:t>
            </w:r>
          </w:p>
        </w:tc>
      </w:tr>
      <w:tr w:rsidR="00E72142" w:rsidRPr="001968BF" w14:paraId="7B582400" w14:textId="77777777" w:rsidTr="001968BF">
        <w:trPr>
          <w:trHeight w:val="315"/>
          <w:jc w:val="center"/>
        </w:trPr>
        <w:tc>
          <w:tcPr>
            <w:tcW w:w="361" w:type="dxa"/>
            <w:tcBorders>
              <w:top w:val="nil"/>
              <w:left w:val="single" w:sz="8" w:space="0" w:color="auto"/>
              <w:bottom w:val="single" w:sz="8" w:space="0" w:color="auto"/>
              <w:right w:val="single" w:sz="8" w:space="0" w:color="auto"/>
            </w:tcBorders>
            <w:shd w:val="clear" w:color="auto" w:fill="auto"/>
            <w:noWrap/>
            <w:hideMark/>
          </w:tcPr>
          <w:p w14:paraId="32BF924D"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9</w:t>
            </w:r>
          </w:p>
        </w:tc>
        <w:tc>
          <w:tcPr>
            <w:tcW w:w="1288" w:type="dxa"/>
            <w:tcBorders>
              <w:top w:val="nil"/>
              <w:left w:val="nil"/>
              <w:bottom w:val="single" w:sz="8" w:space="0" w:color="auto"/>
              <w:right w:val="single" w:sz="8" w:space="0" w:color="auto"/>
            </w:tcBorders>
            <w:shd w:val="clear" w:color="auto" w:fill="auto"/>
            <w:noWrap/>
            <w:hideMark/>
          </w:tcPr>
          <w:p w14:paraId="7A5C7141"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087800492H</w:t>
            </w:r>
          </w:p>
        </w:tc>
        <w:tc>
          <w:tcPr>
            <w:tcW w:w="3019" w:type="dxa"/>
            <w:tcBorders>
              <w:top w:val="nil"/>
              <w:left w:val="nil"/>
              <w:bottom w:val="single" w:sz="8" w:space="0" w:color="auto"/>
              <w:right w:val="single" w:sz="8" w:space="0" w:color="auto"/>
            </w:tcBorders>
            <w:shd w:val="clear" w:color="auto" w:fill="auto"/>
            <w:noWrap/>
            <w:hideMark/>
          </w:tcPr>
          <w:p w14:paraId="4771D049" w14:textId="5D3D4E96"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FABOULA GOLD SA (Ex Wassoul’Or)</w:t>
            </w:r>
          </w:p>
        </w:tc>
        <w:tc>
          <w:tcPr>
            <w:tcW w:w="1103" w:type="dxa"/>
            <w:tcBorders>
              <w:top w:val="nil"/>
              <w:left w:val="nil"/>
              <w:bottom w:val="single" w:sz="8" w:space="0" w:color="auto"/>
              <w:right w:val="single" w:sz="8" w:space="0" w:color="auto"/>
            </w:tcBorders>
            <w:shd w:val="clear" w:color="auto" w:fill="auto"/>
            <w:noWrap/>
            <w:hideMark/>
          </w:tcPr>
          <w:p w14:paraId="74505C27"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FABOULA</w:t>
            </w:r>
          </w:p>
        </w:tc>
        <w:tc>
          <w:tcPr>
            <w:tcW w:w="2268" w:type="dxa"/>
            <w:tcBorders>
              <w:top w:val="nil"/>
              <w:left w:val="nil"/>
              <w:bottom w:val="single" w:sz="8" w:space="0" w:color="auto"/>
              <w:right w:val="single" w:sz="8" w:space="0" w:color="auto"/>
            </w:tcBorders>
            <w:shd w:val="clear" w:color="auto" w:fill="auto"/>
            <w:noWrap/>
            <w:hideMark/>
          </w:tcPr>
          <w:p w14:paraId="49EC49FD"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Exploitation Or</w:t>
            </w:r>
          </w:p>
        </w:tc>
        <w:tc>
          <w:tcPr>
            <w:tcW w:w="1560" w:type="dxa"/>
            <w:tcBorders>
              <w:top w:val="nil"/>
              <w:left w:val="nil"/>
              <w:bottom w:val="single" w:sz="8" w:space="0" w:color="auto"/>
              <w:right w:val="single" w:sz="8" w:space="0" w:color="auto"/>
            </w:tcBorders>
            <w:shd w:val="clear" w:color="auto" w:fill="auto"/>
            <w:noWrap/>
            <w:hideMark/>
          </w:tcPr>
          <w:p w14:paraId="08DF58A3" w14:textId="65E7D0C6" w:rsidR="00E72142" w:rsidRPr="001968BF" w:rsidRDefault="00E72142" w:rsidP="00851ED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1 450 734 203 </w:t>
            </w:r>
          </w:p>
        </w:tc>
      </w:tr>
      <w:tr w:rsidR="00E72142" w:rsidRPr="001968BF" w14:paraId="6E8EEC96" w14:textId="77777777" w:rsidTr="001968BF">
        <w:trPr>
          <w:trHeight w:val="315"/>
          <w:jc w:val="center"/>
        </w:trPr>
        <w:tc>
          <w:tcPr>
            <w:tcW w:w="361" w:type="dxa"/>
            <w:tcBorders>
              <w:top w:val="nil"/>
              <w:left w:val="single" w:sz="8" w:space="0" w:color="auto"/>
              <w:bottom w:val="single" w:sz="8" w:space="0" w:color="auto"/>
              <w:right w:val="single" w:sz="8" w:space="0" w:color="auto"/>
            </w:tcBorders>
            <w:shd w:val="clear" w:color="auto" w:fill="auto"/>
            <w:noWrap/>
            <w:hideMark/>
          </w:tcPr>
          <w:p w14:paraId="7F6A1C71"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10</w:t>
            </w:r>
          </w:p>
        </w:tc>
        <w:tc>
          <w:tcPr>
            <w:tcW w:w="1288" w:type="dxa"/>
            <w:tcBorders>
              <w:top w:val="nil"/>
              <w:left w:val="nil"/>
              <w:bottom w:val="single" w:sz="8" w:space="0" w:color="auto"/>
              <w:right w:val="single" w:sz="8" w:space="0" w:color="auto"/>
            </w:tcBorders>
            <w:shd w:val="clear" w:color="auto" w:fill="auto"/>
            <w:noWrap/>
            <w:hideMark/>
          </w:tcPr>
          <w:p w14:paraId="24D2126A"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087800500E</w:t>
            </w:r>
          </w:p>
        </w:tc>
        <w:tc>
          <w:tcPr>
            <w:tcW w:w="3019" w:type="dxa"/>
            <w:tcBorders>
              <w:top w:val="nil"/>
              <w:left w:val="nil"/>
              <w:bottom w:val="single" w:sz="8" w:space="0" w:color="auto"/>
              <w:right w:val="single" w:sz="8" w:space="0" w:color="auto"/>
            </w:tcBorders>
            <w:shd w:val="clear" w:color="auto" w:fill="auto"/>
            <w:noWrap/>
            <w:hideMark/>
          </w:tcPr>
          <w:p w14:paraId="2A192D9F"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SOCARCO SARL</w:t>
            </w:r>
          </w:p>
        </w:tc>
        <w:tc>
          <w:tcPr>
            <w:tcW w:w="1103" w:type="dxa"/>
            <w:tcBorders>
              <w:top w:val="nil"/>
              <w:left w:val="nil"/>
              <w:bottom w:val="single" w:sz="8" w:space="0" w:color="auto"/>
              <w:right w:val="single" w:sz="8" w:space="0" w:color="auto"/>
            </w:tcBorders>
            <w:shd w:val="clear" w:color="auto" w:fill="auto"/>
            <w:noWrap/>
            <w:hideMark/>
          </w:tcPr>
          <w:p w14:paraId="22F800AF"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SOCARCO </w:t>
            </w:r>
          </w:p>
        </w:tc>
        <w:tc>
          <w:tcPr>
            <w:tcW w:w="2268" w:type="dxa"/>
            <w:tcBorders>
              <w:top w:val="nil"/>
              <w:left w:val="nil"/>
              <w:bottom w:val="single" w:sz="8" w:space="0" w:color="auto"/>
              <w:right w:val="single" w:sz="8" w:space="0" w:color="auto"/>
            </w:tcBorders>
            <w:shd w:val="clear" w:color="auto" w:fill="auto"/>
            <w:noWrap/>
            <w:hideMark/>
          </w:tcPr>
          <w:p w14:paraId="1F3EFDD6"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Exploitation des carrières</w:t>
            </w:r>
          </w:p>
        </w:tc>
        <w:tc>
          <w:tcPr>
            <w:tcW w:w="1560" w:type="dxa"/>
            <w:tcBorders>
              <w:top w:val="nil"/>
              <w:left w:val="nil"/>
              <w:bottom w:val="single" w:sz="8" w:space="0" w:color="auto"/>
              <w:right w:val="single" w:sz="8" w:space="0" w:color="auto"/>
            </w:tcBorders>
            <w:shd w:val="clear" w:color="auto" w:fill="auto"/>
            <w:noWrap/>
            <w:hideMark/>
          </w:tcPr>
          <w:p w14:paraId="4E9CC06D" w14:textId="096FE69B" w:rsidR="00E72142" w:rsidRPr="001968BF" w:rsidRDefault="00E72142" w:rsidP="00851ED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 348 950 742 </w:t>
            </w:r>
          </w:p>
        </w:tc>
      </w:tr>
      <w:tr w:rsidR="00E72142" w:rsidRPr="001968BF" w14:paraId="11DA8DE3" w14:textId="77777777" w:rsidTr="001968BF">
        <w:trPr>
          <w:trHeight w:val="315"/>
          <w:jc w:val="center"/>
        </w:trPr>
        <w:tc>
          <w:tcPr>
            <w:tcW w:w="361" w:type="dxa"/>
            <w:tcBorders>
              <w:top w:val="nil"/>
              <w:left w:val="single" w:sz="8" w:space="0" w:color="auto"/>
              <w:bottom w:val="single" w:sz="8" w:space="0" w:color="auto"/>
              <w:right w:val="single" w:sz="8" w:space="0" w:color="auto"/>
            </w:tcBorders>
            <w:shd w:val="clear" w:color="auto" w:fill="auto"/>
            <w:noWrap/>
            <w:hideMark/>
          </w:tcPr>
          <w:p w14:paraId="7C173245"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11</w:t>
            </w:r>
          </w:p>
        </w:tc>
        <w:tc>
          <w:tcPr>
            <w:tcW w:w="1288" w:type="dxa"/>
            <w:tcBorders>
              <w:top w:val="nil"/>
              <w:left w:val="nil"/>
              <w:bottom w:val="single" w:sz="8" w:space="0" w:color="auto"/>
              <w:right w:val="single" w:sz="8" w:space="0" w:color="auto"/>
            </w:tcBorders>
            <w:shd w:val="clear" w:color="auto" w:fill="auto"/>
            <w:noWrap/>
            <w:hideMark/>
          </w:tcPr>
          <w:p w14:paraId="20F083F8"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087800504A</w:t>
            </w:r>
          </w:p>
        </w:tc>
        <w:tc>
          <w:tcPr>
            <w:tcW w:w="3019" w:type="dxa"/>
            <w:tcBorders>
              <w:top w:val="nil"/>
              <w:left w:val="nil"/>
              <w:bottom w:val="single" w:sz="8" w:space="0" w:color="auto"/>
              <w:right w:val="single" w:sz="8" w:space="0" w:color="auto"/>
            </w:tcBorders>
            <w:shd w:val="clear" w:color="auto" w:fill="auto"/>
            <w:noWrap/>
            <w:hideMark/>
          </w:tcPr>
          <w:p w14:paraId="46038128" w14:textId="15D7397B" w:rsidR="00E72142" w:rsidRPr="001968BF" w:rsidRDefault="00F24668"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SOCIÉTÉ</w:t>
            </w:r>
            <w:r w:rsidR="00E72142" w:rsidRPr="001968BF">
              <w:rPr>
                <w:rFonts w:ascii="Tw Cen MT" w:hAnsi="Tw Cen MT" w:cs="Calibri"/>
                <w:color w:val="000000"/>
                <w:sz w:val="18"/>
                <w:szCs w:val="18"/>
                <w:lang w:eastAsia="fr-FR"/>
              </w:rPr>
              <w:t xml:space="preserve"> DES MINES D'OR DE KALANA</w:t>
            </w:r>
          </w:p>
        </w:tc>
        <w:tc>
          <w:tcPr>
            <w:tcW w:w="1103" w:type="dxa"/>
            <w:tcBorders>
              <w:top w:val="nil"/>
              <w:left w:val="nil"/>
              <w:bottom w:val="single" w:sz="8" w:space="0" w:color="auto"/>
              <w:right w:val="single" w:sz="8" w:space="0" w:color="auto"/>
            </w:tcBorders>
            <w:shd w:val="clear" w:color="auto" w:fill="auto"/>
            <w:noWrap/>
            <w:hideMark/>
          </w:tcPr>
          <w:p w14:paraId="0F7EC0FD"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SOMIKA </w:t>
            </w:r>
          </w:p>
        </w:tc>
        <w:tc>
          <w:tcPr>
            <w:tcW w:w="2268" w:type="dxa"/>
            <w:tcBorders>
              <w:top w:val="nil"/>
              <w:left w:val="nil"/>
              <w:bottom w:val="single" w:sz="8" w:space="0" w:color="auto"/>
              <w:right w:val="single" w:sz="8" w:space="0" w:color="auto"/>
            </w:tcBorders>
            <w:shd w:val="clear" w:color="auto" w:fill="auto"/>
            <w:noWrap/>
            <w:hideMark/>
          </w:tcPr>
          <w:p w14:paraId="0CBE5B24"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Exploitation Or</w:t>
            </w:r>
          </w:p>
        </w:tc>
        <w:tc>
          <w:tcPr>
            <w:tcW w:w="1560" w:type="dxa"/>
            <w:tcBorders>
              <w:top w:val="nil"/>
              <w:left w:val="nil"/>
              <w:bottom w:val="single" w:sz="8" w:space="0" w:color="auto"/>
              <w:right w:val="single" w:sz="8" w:space="0" w:color="auto"/>
            </w:tcBorders>
            <w:shd w:val="clear" w:color="auto" w:fill="auto"/>
            <w:noWrap/>
            <w:hideMark/>
          </w:tcPr>
          <w:p w14:paraId="7DBB3483" w14:textId="35BA4A1E" w:rsidR="00E72142" w:rsidRPr="001968BF" w:rsidRDefault="00E72142" w:rsidP="00851ED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639 913 583 </w:t>
            </w:r>
          </w:p>
        </w:tc>
      </w:tr>
      <w:tr w:rsidR="00E72142" w:rsidRPr="001968BF" w14:paraId="51A4D02F" w14:textId="77777777" w:rsidTr="001968BF">
        <w:trPr>
          <w:trHeight w:val="315"/>
          <w:jc w:val="center"/>
        </w:trPr>
        <w:tc>
          <w:tcPr>
            <w:tcW w:w="361" w:type="dxa"/>
            <w:tcBorders>
              <w:top w:val="nil"/>
              <w:left w:val="single" w:sz="8" w:space="0" w:color="auto"/>
              <w:bottom w:val="single" w:sz="8" w:space="0" w:color="auto"/>
              <w:right w:val="single" w:sz="8" w:space="0" w:color="auto"/>
            </w:tcBorders>
            <w:shd w:val="clear" w:color="auto" w:fill="auto"/>
            <w:noWrap/>
            <w:hideMark/>
          </w:tcPr>
          <w:p w14:paraId="08820088"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12</w:t>
            </w:r>
          </w:p>
        </w:tc>
        <w:tc>
          <w:tcPr>
            <w:tcW w:w="1288" w:type="dxa"/>
            <w:tcBorders>
              <w:top w:val="nil"/>
              <w:left w:val="nil"/>
              <w:bottom w:val="single" w:sz="8" w:space="0" w:color="auto"/>
              <w:right w:val="single" w:sz="8" w:space="0" w:color="auto"/>
            </w:tcBorders>
            <w:shd w:val="clear" w:color="auto" w:fill="auto"/>
            <w:noWrap/>
            <w:hideMark/>
          </w:tcPr>
          <w:p w14:paraId="7E5B0452"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087800533T</w:t>
            </w:r>
          </w:p>
        </w:tc>
        <w:tc>
          <w:tcPr>
            <w:tcW w:w="3019" w:type="dxa"/>
            <w:tcBorders>
              <w:top w:val="nil"/>
              <w:left w:val="nil"/>
              <w:bottom w:val="single" w:sz="8" w:space="0" w:color="auto"/>
              <w:right w:val="single" w:sz="8" w:space="0" w:color="auto"/>
            </w:tcBorders>
            <w:shd w:val="clear" w:color="auto" w:fill="auto"/>
            <w:noWrap/>
            <w:hideMark/>
          </w:tcPr>
          <w:p w14:paraId="04C1B05C"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NEVSUN LTD</w:t>
            </w:r>
          </w:p>
        </w:tc>
        <w:tc>
          <w:tcPr>
            <w:tcW w:w="1103" w:type="dxa"/>
            <w:tcBorders>
              <w:top w:val="nil"/>
              <w:left w:val="nil"/>
              <w:bottom w:val="single" w:sz="8" w:space="0" w:color="auto"/>
              <w:right w:val="single" w:sz="8" w:space="0" w:color="auto"/>
            </w:tcBorders>
            <w:shd w:val="clear" w:color="auto" w:fill="auto"/>
            <w:noWrap/>
            <w:hideMark/>
          </w:tcPr>
          <w:p w14:paraId="1597628F"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NEVSUN </w:t>
            </w:r>
          </w:p>
        </w:tc>
        <w:tc>
          <w:tcPr>
            <w:tcW w:w="2268" w:type="dxa"/>
            <w:tcBorders>
              <w:top w:val="nil"/>
              <w:left w:val="nil"/>
              <w:bottom w:val="single" w:sz="8" w:space="0" w:color="auto"/>
              <w:right w:val="single" w:sz="8" w:space="0" w:color="auto"/>
            </w:tcBorders>
            <w:shd w:val="clear" w:color="auto" w:fill="auto"/>
            <w:noWrap/>
            <w:hideMark/>
          </w:tcPr>
          <w:p w14:paraId="6BACD712"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Recherche</w:t>
            </w:r>
          </w:p>
        </w:tc>
        <w:tc>
          <w:tcPr>
            <w:tcW w:w="1560" w:type="dxa"/>
            <w:tcBorders>
              <w:top w:val="nil"/>
              <w:left w:val="nil"/>
              <w:bottom w:val="single" w:sz="8" w:space="0" w:color="auto"/>
              <w:right w:val="single" w:sz="8" w:space="0" w:color="auto"/>
            </w:tcBorders>
            <w:shd w:val="clear" w:color="auto" w:fill="auto"/>
            <w:noWrap/>
            <w:hideMark/>
          </w:tcPr>
          <w:p w14:paraId="60C3C68C" w14:textId="1F65B294" w:rsidR="00E72142" w:rsidRPr="001968BF" w:rsidRDefault="00E72142" w:rsidP="00851ED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50 724 116 </w:t>
            </w:r>
          </w:p>
        </w:tc>
      </w:tr>
      <w:tr w:rsidR="00E72142" w:rsidRPr="001968BF" w14:paraId="300EF940" w14:textId="77777777" w:rsidTr="001968BF">
        <w:trPr>
          <w:trHeight w:val="315"/>
          <w:jc w:val="center"/>
        </w:trPr>
        <w:tc>
          <w:tcPr>
            <w:tcW w:w="361" w:type="dxa"/>
            <w:tcBorders>
              <w:top w:val="nil"/>
              <w:left w:val="single" w:sz="8" w:space="0" w:color="auto"/>
              <w:bottom w:val="single" w:sz="8" w:space="0" w:color="auto"/>
              <w:right w:val="single" w:sz="8" w:space="0" w:color="auto"/>
            </w:tcBorders>
            <w:shd w:val="clear" w:color="auto" w:fill="auto"/>
            <w:noWrap/>
            <w:hideMark/>
          </w:tcPr>
          <w:p w14:paraId="3AD3876C"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13</w:t>
            </w:r>
          </w:p>
        </w:tc>
        <w:tc>
          <w:tcPr>
            <w:tcW w:w="1288" w:type="dxa"/>
            <w:tcBorders>
              <w:top w:val="nil"/>
              <w:left w:val="nil"/>
              <w:bottom w:val="single" w:sz="8" w:space="0" w:color="auto"/>
              <w:right w:val="single" w:sz="8" w:space="0" w:color="auto"/>
            </w:tcBorders>
            <w:shd w:val="clear" w:color="auto" w:fill="auto"/>
            <w:noWrap/>
            <w:hideMark/>
          </w:tcPr>
          <w:p w14:paraId="5FFF06BC"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087800566G</w:t>
            </w:r>
          </w:p>
        </w:tc>
        <w:tc>
          <w:tcPr>
            <w:tcW w:w="3019" w:type="dxa"/>
            <w:tcBorders>
              <w:top w:val="nil"/>
              <w:left w:val="nil"/>
              <w:bottom w:val="single" w:sz="8" w:space="0" w:color="auto"/>
              <w:right w:val="single" w:sz="8" w:space="0" w:color="auto"/>
            </w:tcBorders>
            <w:shd w:val="clear" w:color="auto" w:fill="auto"/>
            <w:noWrap/>
            <w:hideMark/>
          </w:tcPr>
          <w:p w14:paraId="55B24598"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MALI MINERAL RESSOURCES SA</w:t>
            </w:r>
          </w:p>
        </w:tc>
        <w:tc>
          <w:tcPr>
            <w:tcW w:w="1103" w:type="dxa"/>
            <w:tcBorders>
              <w:top w:val="nil"/>
              <w:left w:val="nil"/>
              <w:bottom w:val="single" w:sz="8" w:space="0" w:color="auto"/>
              <w:right w:val="single" w:sz="8" w:space="0" w:color="auto"/>
            </w:tcBorders>
            <w:shd w:val="clear" w:color="auto" w:fill="auto"/>
            <w:noWrap/>
            <w:hideMark/>
          </w:tcPr>
          <w:p w14:paraId="3324B641"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MMR </w:t>
            </w:r>
          </w:p>
        </w:tc>
        <w:tc>
          <w:tcPr>
            <w:tcW w:w="2268" w:type="dxa"/>
            <w:tcBorders>
              <w:top w:val="nil"/>
              <w:left w:val="nil"/>
              <w:bottom w:val="single" w:sz="8" w:space="0" w:color="auto"/>
              <w:right w:val="single" w:sz="8" w:space="0" w:color="auto"/>
            </w:tcBorders>
            <w:shd w:val="clear" w:color="auto" w:fill="auto"/>
            <w:noWrap/>
            <w:hideMark/>
          </w:tcPr>
          <w:p w14:paraId="2270B3E2"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Recherche Bauxite</w:t>
            </w:r>
          </w:p>
        </w:tc>
        <w:tc>
          <w:tcPr>
            <w:tcW w:w="1560" w:type="dxa"/>
            <w:tcBorders>
              <w:top w:val="nil"/>
              <w:left w:val="nil"/>
              <w:bottom w:val="single" w:sz="8" w:space="0" w:color="auto"/>
              <w:right w:val="single" w:sz="8" w:space="0" w:color="auto"/>
            </w:tcBorders>
            <w:shd w:val="clear" w:color="auto" w:fill="auto"/>
            <w:noWrap/>
            <w:hideMark/>
          </w:tcPr>
          <w:p w14:paraId="58B19787" w14:textId="6B0F6D6A" w:rsidR="00E72142" w:rsidRPr="001968BF" w:rsidRDefault="00E72142" w:rsidP="00851ED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26 106 533 </w:t>
            </w:r>
          </w:p>
        </w:tc>
      </w:tr>
      <w:tr w:rsidR="00E72142" w:rsidRPr="001968BF" w14:paraId="30D80856" w14:textId="77777777" w:rsidTr="001968BF">
        <w:trPr>
          <w:trHeight w:val="315"/>
          <w:jc w:val="center"/>
        </w:trPr>
        <w:tc>
          <w:tcPr>
            <w:tcW w:w="361" w:type="dxa"/>
            <w:tcBorders>
              <w:top w:val="nil"/>
              <w:left w:val="single" w:sz="8" w:space="0" w:color="auto"/>
              <w:bottom w:val="single" w:sz="8" w:space="0" w:color="auto"/>
              <w:right w:val="single" w:sz="8" w:space="0" w:color="auto"/>
            </w:tcBorders>
            <w:shd w:val="clear" w:color="auto" w:fill="auto"/>
            <w:noWrap/>
            <w:hideMark/>
          </w:tcPr>
          <w:p w14:paraId="497CD29B"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14</w:t>
            </w:r>
          </w:p>
        </w:tc>
        <w:tc>
          <w:tcPr>
            <w:tcW w:w="1288" w:type="dxa"/>
            <w:tcBorders>
              <w:top w:val="nil"/>
              <w:left w:val="nil"/>
              <w:bottom w:val="single" w:sz="8" w:space="0" w:color="auto"/>
              <w:right w:val="single" w:sz="8" w:space="0" w:color="auto"/>
            </w:tcBorders>
            <w:shd w:val="clear" w:color="auto" w:fill="auto"/>
            <w:noWrap/>
            <w:hideMark/>
          </w:tcPr>
          <w:p w14:paraId="54A873A7"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087800681E</w:t>
            </w:r>
          </w:p>
        </w:tc>
        <w:tc>
          <w:tcPr>
            <w:tcW w:w="3019" w:type="dxa"/>
            <w:tcBorders>
              <w:top w:val="nil"/>
              <w:left w:val="nil"/>
              <w:bottom w:val="single" w:sz="8" w:space="0" w:color="auto"/>
              <w:right w:val="single" w:sz="8" w:space="0" w:color="auto"/>
            </w:tcBorders>
            <w:shd w:val="clear" w:color="auto" w:fill="auto"/>
            <w:noWrap/>
            <w:hideMark/>
          </w:tcPr>
          <w:p w14:paraId="5D69A45C"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IAMGOLD EXPLORATION MALI SARL</w:t>
            </w:r>
          </w:p>
        </w:tc>
        <w:tc>
          <w:tcPr>
            <w:tcW w:w="1103" w:type="dxa"/>
            <w:tcBorders>
              <w:top w:val="nil"/>
              <w:left w:val="nil"/>
              <w:bottom w:val="single" w:sz="8" w:space="0" w:color="auto"/>
              <w:right w:val="single" w:sz="8" w:space="0" w:color="auto"/>
            </w:tcBorders>
            <w:shd w:val="clear" w:color="auto" w:fill="auto"/>
            <w:noWrap/>
            <w:hideMark/>
          </w:tcPr>
          <w:p w14:paraId="38D33D55"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IAMGOLD </w:t>
            </w:r>
          </w:p>
        </w:tc>
        <w:tc>
          <w:tcPr>
            <w:tcW w:w="2268" w:type="dxa"/>
            <w:tcBorders>
              <w:top w:val="nil"/>
              <w:left w:val="nil"/>
              <w:bottom w:val="single" w:sz="8" w:space="0" w:color="auto"/>
              <w:right w:val="single" w:sz="8" w:space="0" w:color="auto"/>
            </w:tcBorders>
            <w:shd w:val="clear" w:color="auto" w:fill="auto"/>
            <w:noWrap/>
            <w:hideMark/>
          </w:tcPr>
          <w:p w14:paraId="1AE4AC8A"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Recherche Or</w:t>
            </w:r>
          </w:p>
        </w:tc>
        <w:tc>
          <w:tcPr>
            <w:tcW w:w="1560" w:type="dxa"/>
            <w:tcBorders>
              <w:top w:val="nil"/>
              <w:left w:val="nil"/>
              <w:bottom w:val="single" w:sz="8" w:space="0" w:color="auto"/>
              <w:right w:val="single" w:sz="8" w:space="0" w:color="auto"/>
            </w:tcBorders>
            <w:shd w:val="clear" w:color="auto" w:fill="auto"/>
            <w:noWrap/>
            <w:hideMark/>
          </w:tcPr>
          <w:p w14:paraId="51BBE89F" w14:textId="6382DEA1" w:rsidR="00E72142" w:rsidRPr="001968BF" w:rsidRDefault="00E72142" w:rsidP="00851ED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143 243 427 </w:t>
            </w:r>
          </w:p>
        </w:tc>
      </w:tr>
      <w:tr w:rsidR="00E72142" w:rsidRPr="001968BF" w14:paraId="4B618F2F" w14:textId="77777777" w:rsidTr="001968BF">
        <w:trPr>
          <w:trHeight w:val="315"/>
          <w:jc w:val="center"/>
        </w:trPr>
        <w:tc>
          <w:tcPr>
            <w:tcW w:w="361" w:type="dxa"/>
            <w:tcBorders>
              <w:top w:val="nil"/>
              <w:left w:val="single" w:sz="8" w:space="0" w:color="auto"/>
              <w:bottom w:val="single" w:sz="8" w:space="0" w:color="auto"/>
              <w:right w:val="single" w:sz="8" w:space="0" w:color="auto"/>
            </w:tcBorders>
            <w:shd w:val="clear" w:color="auto" w:fill="auto"/>
            <w:noWrap/>
            <w:hideMark/>
          </w:tcPr>
          <w:p w14:paraId="6AC48649"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15</w:t>
            </w:r>
          </w:p>
        </w:tc>
        <w:tc>
          <w:tcPr>
            <w:tcW w:w="1288" w:type="dxa"/>
            <w:tcBorders>
              <w:top w:val="nil"/>
              <w:left w:val="nil"/>
              <w:bottom w:val="single" w:sz="8" w:space="0" w:color="auto"/>
              <w:right w:val="single" w:sz="8" w:space="0" w:color="auto"/>
            </w:tcBorders>
            <w:shd w:val="clear" w:color="auto" w:fill="auto"/>
            <w:noWrap/>
            <w:hideMark/>
          </w:tcPr>
          <w:p w14:paraId="10607D75"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087800766A</w:t>
            </w:r>
          </w:p>
        </w:tc>
        <w:tc>
          <w:tcPr>
            <w:tcW w:w="3019" w:type="dxa"/>
            <w:tcBorders>
              <w:top w:val="nil"/>
              <w:left w:val="nil"/>
              <w:bottom w:val="single" w:sz="8" w:space="0" w:color="auto"/>
              <w:right w:val="single" w:sz="8" w:space="0" w:color="auto"/>
            </w:tcBorders>
            <w:shd w:val="clear" w:color="auto" w:fill="auto"/>
            <w:noWrap/>
            <w:hideMark/>
          </w:tcPr>
          <w:p w14:paraId="60B9AA5F" w14:textId="2925DDC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SOCIÉTÉ DES MINES DE GOUNKOTO</w:t>
            </w:r>
          </w:p>
        </w:tc>
        <w:tc>
          <w:tcPr>
            <w:tcW w:w="1103" w:type="dxa"/>
            <w:tcBorders>
              <w:top w:val="nil"/>
              <w:left w:val="nil"/>
              <w:bottom w:val="single" w:sz="8" w:space="0" w:color="auto"/>
              <w:right w:val="single" w:sz="8" w:space="0" w:color="auto"/>
            </w:tcBorders>
            <w:shd w:val="clear" w:color="auto" w:fill="auto"/>
            <w:noWrap/>
            <w:hideMark/>
          </w:tcPr>
          <w:p w14:paraId="4DC9F98B"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GOUNKOTO </w:t>
            </w:r>
          </w:p>
        </w:tc>
        <w:tc>
          <w:tcPr>
            <w:tcW w:w="2268" w:type="dxa"/>
            <w:tcBorders>
              <w:top w:val="nil"/>
              <w:left w:val="nil"/>
              <w:bottom w:val="single" w:sz="8" w:space="0" w:color="auto"/>
              <w:right w:val="single" w:sz="8" w:space="0" w:color="auto"/>
            </w:tcBorders>
            <w:shd w:val="clear" w:color="auto" w:fill="auto"/>
            <w:noWrap/>
            <w:hideMark/>
          </w:tcPr>
          <w:p w14:paraId="58772D13"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Exploitation Or</w:t>
            </w:r>
          </w:p>
        </w:tc>
        <w:tc>
          <w:tcPr>
            <w:tcW w:w="1560" w:type="dxa"/>
            <w:tcBorders>
              <w:top w:val="nil"/>
              <w:left w:val="nil"/>
              <w:bottom w:val="single" w:sz="8" w:space="0" w:color="auto"/>
              <w:right w:val="single" w:sz="8" w:space="0" w:color="auto"/>
            </w:tcBorders>
            <w:shd w:val="clear" w:color="auto" w:fill="auto"/>
            <w:noWrap/>
            <w:hideMark/>
          </w:tcPr>
          <w:p w14:paraId="6F091B19" w14:textId="603989F3" w:rsidR="00E72142" w:rsidRPr="001968BF" w:rsidRDefault="00E72142" w:rsidP="00851ED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45 220 569 713 </w:t>
            </w:r>
          </w:p>
        </w:tc>
      </w:tr>
      <w:tr w:rsidR="00E72142" w:rsidRPr="001968BF" w14:paraId="066BEA5E" w14:textId="77777777" w:rsidTr="001968BF">
        <w:trPr>
          <w:trHeight w:val="315"/>
          <w:jc w:val="center"/>
        </w:trPr>
        <w:tc>
          <w:tcPr>
            <w:tcW w:w="361" w:type="dxa"/>
            <w:tcBorders>
              <w:top w:val="nil"/>
              <w:left w:val="single" w:sz="8" w:space="0" w:color="auto"/>
              <w:bottom w:val="single" w:sz="8" w:space="0" w:color="auto"/>
              <w:right w:val="single" w:sz="8" w:space="0" w:color="auto"/>
            </w:tcBorders>
            <w:shd w:val="clear" w:color="auto" w:fill="auto"/>
            <w:noWrap/>
            <w:hideMark/>
          </w:tcPr>
          <w:p w14:paraId="78BED6B6"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16</w:t>
            </w:r>
          </w:p>
        </w:tc>
        <w:tc>
          <w:tcPr>
            <w:tcW w:w="1288" w:type="dxa"/>
            <w:tcBorders>
              <w:top w:val="nil"/>
              <w:left w:val="nil"/>
              <w:bottom w:val="single" w:sz="8" w:space="0" w:color="auto"/>
              <w:right w:val="single" w:sz="8" w:space="0" w:color="auto"/>
            </w:tcBorders>
            <w:shd w:val="clear" w:color="auto" w:fill="auto"/>
            <w:noWrap/>
            <w:hideMark/>
          </w:tcPr>
          <w:p w14:paraId="4C3FFFC0"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087800776J</w:t>
            </w:r>
          </w:p>
        </w:tc>
        <w:tc>
          <w:tcPr>
            <w:tcW w:w="3019" w:type="dxa"/>
            <w:tcBorders>
              <w:top w:val="nil"/>
              <w:left w:val="nil"/>
              <w:bottom w:val="single" w:sz="8" w:space="0" w:color="auto"/>
              <w:right w:val="single" w:sz="8" w:space="0" w:color="auto"/>
            </w:tcBorders>
            <w:shd w:val="clear" w:color="auto" w:fill="auto"/>
            <w:noWrap/>
            <w:hideMark/>
          </w:tcPr>
          <w:p w14:paraId="4E433780"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NAMPALA SA</w:t>
            </w:r>
          </w:p>
        </w:tc>
        <w:tc>
          <w:tcPr>
            <w:tcW w:w="1103" w:type="dxa"/>
            <w:tcBorders>
              <w:top w:val="nil"/>
              <w:left w:val="nil"/>
              <w:bottom w:val="single" w:sz="8" w:space="0" w:color="auto"/>
              <w:right w:val="single" w:sz="8" w:space="0" w:color="auto"/>
            </w:tcBorders>
            <w:shd w:val="clear" w:color="auto" w:fill="auto"/>
            <w:noWrap/>
            <w:hideMark/>
          </w:tcPr>
          <w:p w14:paraId="03B4FFAC"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NAMPALA </w:t>
            </w:r>
          </w:p>
        </w:tc>
        <w:tc>
          <w:tcPr>
            <w:tcW w:w="2268" w:type="dxa"/>
            <w:tcBorders>
              <w:top w:val="nil"/>
              <w:left w:val="nil"/>
              <w:bottom w:val="single" w:sz="8" w:space="0" w:color="auto"/>
              <w:right w:val="single" w:sz="8" w:space="0" w:color="auto"/>
            </w:tcBorders>
            <w:shd w:val="clear" w:color="auto" w:fill="auto"/>
            <w:noWrap/>
            <w:hideMark/>
          </w:tcPr>
          <w:p w14:paraId="51C1189D"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Exploitation Or</w:t>
            </w:r>
          </w:p>
        </w:tc>
        <w:tc>
          <w:tcPr>
            <w:tcW w:w="1560" w:type="dxa"/>
            <w:tcBorders>
              <w:top w:val="nil"/>
              <w:left w:val="nil"/>
              <w:bottom w:val="single" w:sz="8" w:space="0" w:color="auto"/>
              <w:right w:val="single" w:sz="8" w:space="0" w:color="auto"/>
            </w:tcBorders>
            <w:shd w:val="clear" w:color="auto" w:fill="auto"/>
            <w:noWrap/>
            <w:hideMark/>
          </w:tcPr>
          <w:p w14:paraId="77DA2289" w14:textId="5ED89856" w:rsidR="00E72142" w:rsidRPr="001968BF" w:rsidRDefault="00E72142" w:rsidP="00851ED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 2 988 626 931 </w:t>
            </w:r>
          </w:p>
        </w:tc>
      </w:tr>
      <w:tr w:rsidR="00E72142" w:rsidRPr="001968BF" w14:paraId="6837A41C" w14:textId="77777777" w:rsidTr="001968BF">
        <w:trPr>
          <w:trHeight w:val="315"/>
          <w:jc w:val="center"/>
        </w:trPr>
        <w:tc>
          <w:tcPr>
            <w:tcW w:w="361" w:type="dxa"/>
            <w:tcBorders>
              <w:top w:val="nil"/>
              <w:left w:val="single" w:sz="8" w:space="0" w:color="auto"/>
              <w:bottom w:val="single" w:sz="8" w:space="0" w:color="auto"/>
              <w:right w:val="single" w:sz="8" w:space="0" w:color="auto"/>
            </w:tcBorders>
            <w:shd w:val="clear" w:color="auto" w:fill="auto"/>
            <w:noWrap/>
            <w:hideMark/>
          </w:tcPr>
          <w:p w14:paraId="750AD0B7"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17</w:t>
            </w:r>
          </w:p>
        </w:tc>
        <w:tc>
          <w:tcPr>
            <w:tcW w:w="1288" w:type="dxa"/>
            <w:tcBorders>
              <w:top w:val="nil"/>
              <w:left w:val="nil"/>
              <w:bottom w:val="single" w:sz="8" w:space="0" w:color="auto"/>
              <w:right w:val="single" w:sz="8" w:space="0" w:color="auto"/>
            </w:tcBorders>
            <w:shd w:val="clear" w:color="auto" w:fill="auto"/>
            <w:noWrap/>
            <w:hideMark/>
          </w:tcPr>
          <w:p w14:paraId="3AF60201"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087800795T</w:t>
            </w:r>
          </w:p>
        </w:tc>
        <w:tc>
          <w:tcPr>
            <w:tcW w:w="3019" w:type="dxa"/>
            <w:tcBorders>
              <w:top w:val="nil"/>
              <w:left w:val="nil"/>
              <w:bottom w:val="single" w:sz="8" w:space="0" w:color="auto"/>
              <w:right w:val="single" w:sz="8" w:space="0" w:color="auto"/>
            </w:tcBorders>
            <w:shd w:val="clear" w:color="auto" w:fill="auto"/>
            <w:noWrap/>
            <w:hideMark/>
          </w:tcPr>
          <w:p w14:paraId="0AB7AE38" w14:textId="4293F5D9"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SOCIÉTÉ DES MINES DE FINKOLO</w:t>
            </w:r>
          </w:p>
        </w:tc>
        <w:tc>
          <w:tcPr>
            <w:tcW w:w="1103" w:type="dxa"/>
            <w:tcBorders>
              <w:top w:val="nil"/>
              <w:left w:val="nil"/>
              <w:bottom w:val="single" w:sz="8" w:space="0" w:color="auto"/>
              <w:right w:val="single" w:sz="8" w:space="0" w:color="auto"/>
            </w:tcBorders>
            <w:shd w:val="clear" w:color="auto" w:fill="auto"/>
            <w:noWrap/>
            <w:hideMark/>
          </w:tcPr>
          <w:p w14:paraId="43A34341"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SOMIFI.SA </w:t>
            </w:r>
          </w:p>
        </w:tc>
        <w:tc>
          <w:tcPr>
            <w:tcW w:w="2268" w:type="dxa"/>
            <w:tcBorders>
              <w:top w:val="nil"/>
              <w:left w:val="nil"/>
              <w:bottom w:val="single" w:sz="8" w:space="0" w:color="auto"/>
              <w:right w:val="single" w:sz="8" w:space="0" w:color="auto"/>
            </w:tcBorders>
            <w:shd w:val="clear" w:color="auto" w:fill="auto"/>
            <w:noWrap/>
            <w:hideMark/>
          </w:tcPr>
          <w:p w14:paraId="6957F532"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Exploitation Or</w:t>
            </w:r>
          </w:p>
        </w:tc>
        <w:tc>
          <w:tcPr>
            <w:tcW w:w="1560" w:type="dxa"/>
            <w:tcBorders>
              <w:top w:val="nil"/>
              <w:left w:val="nil"/>
              <w:bottom w:val="single" w:sz="8" w:space="0" w:color="auto"/>
              <w:right w:val="single" w:sz="8" w:space="0" w:color="auto"/>
            </w:tcBorders>
            <w:shd w:val="clear" w:color="auto" w:fill="auto"/>
            <w:noWrap/>
            <w:hideMark/>
          </w:tcPr>
          <w:p w14:paraId="6E665E2C" w14:textId="26B60072" w:rsidR="00E72142" w:rsidRPr="001968BF" w:rsidRDefault="00E72142" w:rsidP="00851ED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11 830 421 883 </w:t>
            </w:r>
          </w:p>
        </w:tc>
      </w:tr>
      <w:tr w:rsidR="00E72142" w:rsidRPr="001968BF" w14:paraId="53F95D43" w14:textId="77777777" w:rsidTr="001968BF">
        <w:trPr>
          <w:trHeight w:val="315"/>
          <w:jc w:val="center"/>
        </w:trPr>
        <w:tc>
          <w:tcPr>
            <w:tcW w:w="361" w:type="dxa"/>
            <w:tcBorders>
              <w:top w:val="nil"/>
              <w:left w:val="single" w:sz="8" w:space="0" w:color="auto"/>
              <w:bottom w:val="single" w:sz="8" w:space="0" w:color="auto"/>
              <w:right w:val="single" w:sz="8" w:space="0" w:color="auto"/>
            </w:tcBorders>
            <w:shd w:val="clear" w:color="auto" w:fill="auto"/>
            <w:noWrap/>
            <w:hideMark/>
          </w:tcPr>
          <w:p w14:paraId="399FB631"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18</w:t>
            </w:r>
          </w:p>
        </w:tc>
        <w:tc>
          <w:tcPr>
            <w:tcW w:w="1288" w:type="dxa"/>
            <w:tcBorders>
              <w:top w:val="nil"/>
              <w:left w:val="nil"/>
              <w:bottom w:val="single" w:sz="8" w:space="0" w:color="auto"/>
              <w:right w:val="single" w:sz="8" w:space="0" w:color="auto"/>
            </w:tcBorders>
            <w:shd w:val="clear" w:color="auto" w:fill="auto"/>
            <w:noWrap/>
            <w:hideMark/>
          </w:tcPr>
          <w:p w14:paraId="3F1D3E7B"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087800828P</w:t>
            </w:r>
          </w:p>
        </w:tc>
        <w:tc>
          <w:tcPr>
            <w:tcW w:w="3019" w:type="dxa"/>
            <w:tcBorders>
              <w:top w:val="nil"/>
              <w:left w:val="nil"/>
              <w:bottom w:val="single" w:sz="8" w:space="0" w:color="auto"/>
              <w:right w:val="single" w:sz="8" w:space="0" w:color="auto"/>
            </w:tcBorders>
            <w:shd w:val="clear" w:color="auto" w:fill="auto"/>
            <w:noWrap/>
            <w:hideMark/>
          </w:tcPr>
          <w:p w14:paraId="5FF2D5DD" w14:textId="094D702E"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SOCIÉTÉ DES MINES DE KOMANA</w:t>
            </w:r>
          </w:p>
        </w:tc>
        <w:tc>
          <w:tcPr>
            <w:tcW w:w="1103" w:type="dxa"/>
            <w:tcBorders>
              <w:top w:val="nil"/>
              <w:left w:val="nil"/>
              <w:bottom w:val="single" w:sz="8" w:space="0" w:color="auto"/>
              <w:right w:val="single" w:sz="8" w:space="0" w:color="auto"/>
            </w:tcBorders>
            <w:shd w:val="clear" w:color="auto" w:fill="auto"/>
            <w:noWrap/>
            <w:hideMark/>
          </w:tcPr>
          <w:p w14:paraId="02036FAF"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SMK </w:t>
            </w:r>
          </w:p>
        </w:tc>
        <w:tc>
          <w:tcPr>
            <w:tcW w:w="2268" w:type="dxa"/>
            <w:tcBorders>
              <w:top w:val="nil"/>
              <w:left w:val="nil"/>
              <w:bottom w:val="single" w:sz="8" w:space="0" w:color="auto"/>
              <w:right w:val="single" w:sz="8" w:space="0" w:color="auto"/>
            </w:tcBorders>
            <w:shd w:val="clear" w:color="auto" w:fill="auto"/>
            <w:noWrap/>
            <w:hideMark/>
          </w:tcPr>
          <w:p w14:paraId="58E02B5E"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Exploitation Or</w:t>
            </w:r>
          </w:p>
        </w:tc>
        <w:tc>
          <w:tcPr>
            <w:tcW w:w="1560" w:type="dxa"/>
            <w:tcBorders>
              <w:top w:val="nil"/>
              <w:left w:val="nil"/>
              <w:bottom w:val="single" w:sz="8" w:space="0" w:color="auto"/>
              <w:right w:val="single" w:sz="8" w:space="0" w:color="auto"/>
            </w:tcBorders>
            <w:shd w:val="clear" w:color="auto" w:fill="auto"/>
            <w:noWrap/>
            <w:hideMark/>
          </w:tcPr>
          <w:p w14:paraId="2AECA818" w14:textId="7EBD9D7A" w:rsidR="00E72142" w:rsidRPr="001968BF" w:rsidRDefault="00E72142" w:rsidP="00851ED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6 031 025 362 </w:t>
            </w:r>
          </w:p>
        </w:tc>
      </w:tr>
      <w:tr w:rsidR="00E72142" w:rsidRPr="001968BF" w14:paraId="43CB1F13" w14:textId="77777777" w:rsidTr="001968BF">
        <w:trPr>
          <w:trHeight w:val="315"/>
          <w:jc w:val="center"/>
        </w:trPr>
        <w:tc>
          <w:tcPr>
            <w:tcW w:w="361" w:type="dxa"/>
            <w:tcBorders>
              <w:top w:val="nil"/>
              <w:left w:val="single" w:sz="8" w:space="0" w:color="auto"/>
              <w:bottom w:val="single" w:sz="8" w:space="0" w:color="auto"/>
              <w:right w:val="single" w:sz="8" w:space="0" w:color="auto"/>
            </w:tcBorders>
            <w:shd w:val="clear" w:color="auto" w:fill="auto"/>
            <w:noWrap/>
            <w:hideMark/>
          </w:tcPr>
          <w:p w14:paraId="207BA431"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19</w:t>
            </w:r>
          </w:p>
        </w:tc>
        <w:tc>
          <w:tcPr>
            <w:tcW w:w="1288" w:type="dxa"/>
            <w:tcBorders>
              <w:top w:val="nil"/>
              <w:left w:val="nil"/>
              <w:bottom w:val="single" w:sz="8" w:space="0" w:color="auto"/>
              <w:right w:val="single" w:sz="8" w:space="0" w:color="auto"/>
            </w:tcBorders>
            <w:shd w:val="clear" w:color="auto" w:fill="auto"/>
            <w:noWrap/>
            <w:hideMark/>
          </w:tcPr>
          <w:p w14:paraId="42569EE7"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087800848K</w:t>
            </w:r>
          </w:p>
        </w:tc>
        <w:tc>
          <w:tcPr>
            <w:tcW w:w="3019" w:type="dxa"/>
            <w:tcBorders>
              <w:top w:val="nil"/>
              <w:left w:val="nil"/>
              <w:bottom w:val="single" w:sz="8" w:space="0" w:color="auto"/>
              <w:right w:val="single" w:sz="8" w:space="0" w:color="auto"/>
            </w:tcBorders>
            <w:shd w:val="clear" w:color="auto" w:fill="auto"/>
            <w:noWrap/>
            <w:hideMark/>
          </w:tcPr>
          <w:p w14:paraId="101AD91D"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FEKOLA-SA</w:t>
            </w:r>
          </w:p>
        </w:tc>
        <w:tc>
          <w:tcPr>
            <w:tcW w:w="1103" w:type="dxa"/>
            <w:tcBorders>
              <w:top w:val="nil"/>
              <w:left w:val="nil"/>
              <w:bottom w:val="single" w:sz="8" w:space="0" w:color="auto"/>
              <w:right w:val="single" w:sz="8" w:space="0" w:color="auto"/>
            </w:tcBorders>
            <w:shd w:val="clear" w:color="auto" w:fill="auto"/>
            <w:noWrap/>
            <w:hideMark/>
          </w:tcPr>
          <w:p w14:paraId="7107F52A"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FEKOLA </w:t>
            </w:r>
          </w:p>
        </w:tc>
        <w:tc>
          <w:tcPr>
            <w:tcW w:w="2268" w:type="dxa"/>
            <w:tcBorders>
              <w:top w:val="nil"/>
              <w:left w:val="nil"/>
              <w:bottom w:val="single" w:sz="8" w:space="0" w:color="auto"/>
              <w:right w:val="single" w:sz="8" w:space="0" w:color="auto"/>
            </w:tcBorders>
            <w:shd w:val="clear" w:color="auto" w:fill="auto"/>
            <w:noWrap/>
            <w:hideMark/>
          </w:tcPr>
          <w:p w14:paraId="59553EF9"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Exploitation Or</w:t>
            </w:r>
          </w:p>
        </w:tc>
        <w:tc>
          <w:tcPr>
            <w:tcW w:w="1560" w:type="dxa"/>
            <w:tcBorders>
              <w:top w:val="nil"/>
              <w:left w:val="nil"/>
              <w:bottom w:val="single" w:sz="8" w:space="0" w:color="auto"/>
              <w:right w:val="single" w:sz="8" w:space="0" w:color="auto"/>
            </w:tcBorders>
            <w:shd w:val="clear" w:color="auto" w:fill="auto"/>
            <w:noWrap/>
            <w:hideMark/>
          </w:tcPr>
          <w:p w14:paraId="365DB3E5" w14:textId="13826A71" w:rsidR="00E72142" w:rsidRPr="001968BF" w:rsidRDefault="00E72142" w:rsidP="00851ED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106 433 165 042 </w:t>
            </w:r>
          </w:p>
        </w:tc>
      </w:tr>
      <w:tr w:rsidR="00E72142" w:rsidRPr="001968BF" w14:paraId="3B8DDA84" w14:textId="77777777" w:rsidTr="001968BF">
        <w:trPr>
          <w:trHeight w:val="315"/>
          <w:jc w:val="center"/>
        </w:trPr>
        <w:tc>
          <w:tcPr>
            <w:tcW w:w="361" w:type="dxa"/>
            <w:tcBorders>
              <w:top w:val="nil"/>
              <w:left w:val="single" w:sz="8" w:space="0" w:color="auto"/>
              <w:bottom w:val="single" w:sz="8" w:space="0" w:color="auto"/>
              <w:right w:val="single" w:sz="8" w:space="0" w:color="auto"/>
            </w:tcBorders>
            <w:shd w:val="clear" w:color="auto" w:fill="auto"/>
            <w:noWrap/>
            <w:hideMark/>
          </w:tcPr>
          <w:p w14:paraId="6273EF4C"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20</w:t>
            </w:r>
          </w:p>
        </w:tc>
        <w:tc>
          <w:tcPr>
            <w:tcW w:w="1288" w:type="dxa"/>
            <w:tcBorders>
              <w:top w:val="nil"/>
              <w:left w:val="nil"/>
              <w:bottom w:val="single" w:sz="8" w:space="0" w:color="auto"/>
              <w:right w:val="single" w:sz="8" w:space="0" w:color="auto"/>
            </w:tcBorders>
            <w:shd w:val="clear" w:color="auto" w:fill="auto"/>
            <w:noWrap/>
            <w:hideMark/>
          </w:tcPr>
          <w:p w14:paraId="14B016D2"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087800382N</w:t>
            </w:r>
          </w:p>
        </w:tc>
        <w:tc>
          <w:tcPr>
            <w:tcW w:w="3019" w:type="dxa"/>
            <w:tcBorders>
              <w:top w:val="nil"/>
              <w:left w:val="nil"/>
              <w:bottom w:val="single" w:sz="8" w:space="0" w:color="auto"/>
              <w:right w:val="single" w:sz="8" w:space="0" w:color="auto"/>
            </w:tcBorders>
            <w:shd w:val="clear" w:color="auto" w:fill="auto"/>
            <w:noWrap/>
            <w:hideMark/>
          </w:tcPr>
          <w:p w14:paraId="42683275"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YATELA SA</w:t>
            </w:r>
          </w:p>
        </w:tc>
        <w:tc>
          <w:tcPr>
            <w:tcW w:w="1103" w:type="dxa"/>
            <w:tcBorders>
              <w:top w:val="nil"/>
              <w:left w:val="nil"/>
              <w:bottom w:val="single" w:sz="8" w:space="0" w:color="auto"/>
              <w:right w:val="single" w:sz="8" w:space="0" w:color="auto"/>
            </w:tcBorders>
            <w:shd w:val="clear" w:color="auto" w:fill="auto"/>
            <w:noWrap/>
            <w:hideMark/>
          </w:tcPr>
          <w:p w14:paraId="326486E0"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YATELA </w:t>
            </w:r>
          </w:p>
        </w:tc>
        <w:tc>
          <w:tcPr>
            <w:tcW w:w="2268" w:type="dxa"/>
            <w:tcBorders>
              <w:top w:val="nil"/>
              <w:left w:val="nil"/>
              <w:bottom w:val="single" w:sz="8" w:space="0" w:color="auto"/>
              <w:right w:val="single" w:sz="8" w:space="0" w:color="auto"/>
            </w:tcBorders>
            <w:shd w:val="clear" w:color="auto" w:fill="auto"/>
            <w:noWrap/>
            <w:hideMark/>
          </w:tcPr>
          <w:p w14:paraId="55970715"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Exploitation Or</w:t>
            </w:r>
          </w:p>
        </w:tc>
        <w:tc>
          <w:tcPr>
            <w:tcW w:w="1560" w:type="dxa"/>
            <w:tcBorders>
              <w:top w:val="nil"/>
              <w:left w:val="nil"/>
              <w:bottom w:val="single" w:sz="8" w:space="0" w:color="auto"/>
              <w:right w:val="single" w:sz="8" w:space="0" w:color="auto"/>
            </w:tcBorders>
            <w:shd w:val="clear" w:color="auto" w:fill="auto"/>
            <w:noWrap/>
            <w:hideMark/>
          </w:tcPr>
          <w:p w14:paraId="1DF783F4" w14:textId="604F5FA3" w:rsidR="00E72142" w:rsidRPr="001968BF" w:rsidRDefault="00E72142" w:rsidP="00851ED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 106 245 869 </w:t>
            </w:r>
          </w:p>
        </w:tc>
      </w:tr>
      <w:tr w:rsidR="00E72142" w:rsidRPr="001968BF" w14:paraId="07B40190" w14:textId="77777777" w:rsidTr="001968BF">
        <w:trPr>
          <w:trHeight w:val="315"/>
          <w:jc w:val="center"/>
        </w:trPr>
        <w:tc>
          <w:tcPr>
            <w:tcW w:w="361" w:type="dxa"/>
            <w:tcBorders>
              <w:top w:val="nil"/>
              <w:left w:val="single" w:sz="8" w:space="0" w:color="auto"/>
              <w:bottom w:val="single" w:sz="8" w:space="0" w:color="auto"/>
              <w:right w:val="single" w:sz="8" w:space="0" w:color="auto"/>
            </w:tcBorders>
            <w:shd w:val="clear" w:color="auto" w:fill="auto"/>
            <w:noWrap/>
            <w:hideMark/>
          </w:tcPr>
          <w:p w14:paraId="4C04E09B"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21</w:t>
            </w:r>
          </w:p>
        </w:tc>
        <w:tc>
          <w:tcPr>
            <w:tcW w:w="1288" w:type="dxa"/>
            <w:tcBorders>
              <w:top w:val="nil"/>
              <w:left w:val="nil"/>
              <w:bottom w:val="single" w:sz="8" w:space="0" w:color="auto"/>
              <w:right w:val="single" w:sz="8" w:space="0" w:color="auto"/>
            </w:tcBorders>
            <w:shd w:val="clear" w:color="auto" w:fill="auto"/>
            <w:noWrap/>
            <w:hideMark/>
          </w:tcPr>
          <w:p w14:paraId="72296E4D"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087800709Y</w:t>
            </w:r>
          </w:p>
        </w:tc>
        <w:tc>
          <w:tcPr>
            <w:tcW w:w="3019" w:type="dxa"/>
            <w:tcBorders>
              <w:top w:val="nil"/>
              <w:left w:val="nil"/>
              <w:bottom w:val="single" w:sz="8" w:space="0" w:color="auto"/>
              <w:right w:val="single" w:sz="8" w:space="0" w:color="auto"/>
            </w:tcBorders>
            <w:shd w:val="clear" w:color="auto" w:fill="auto"/>
            <w:noWrap/>
            <w:hideMark/>
          </w:tcPr>
          <w:p w14:paraId="3A797191" w14:textId="097B243F"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RAZEL MALI SARL</w:t>
            </w:r>
          </w:p>
        </w:tc>
        <w:tc>
          <w:tcPr>
            <w:tcW w:w="1103" w:type="dxa"/>
            <w:tcBorders>
              <w:top w:val="nil"/>
              <w:left w:val="nil"/>
              <w:bottom w:val="single" w:sz="8" w:space="0" w:color="auto"/>
              <w:right w:val="single" w:sz="8" w:space="0" w:color="auto"/>
            </w:tcBorders>
            <w:shd w:val="clear" w:color="auto" w:fill="auto"/>
            <w:noWrap/>
            <w:hideMark/>
          </w:tcPr>
          <w:p w14:paraId="6006893D"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RAZEL </w:t>
            </w:r>
          </w:p>
        </w:tc>
        <w:tc>
          <w:tcPr>
            <w:tcW w:w="2268" w:type="dxa"/>
            <w:tcBorders>
              <w:top w:val="nil"/>
              <w:left w:val="nil"/>
              <w:bottom w:val="single" w:sz="8" w:space="0" w:color="auto"/>
              <w:right w:val="single" w:sz="8" w:space="0" w:color="auto"/>
            </w:tcBorders>
            <w:shd w:val="clear" w:color="auto" w:fill="auto"/>
            <w:noWrap/>
            <w:hideMark/>
          </w:tcPr>
          <w:p w14:paraId="75CBC086"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Exploitation des carrières</w:t>
            </w:r>
          </w:p>
        </w:tc>
        <w:tc>
          <w:tcPr>
            <w:tcW w:w="1560" w:type="dxa"/>
            <w:tcBorders>
              <w:top w:val="nil"/>
              <w:left w:val="nil"/>
              <w:bottom w:val="single" w:sz="8" w:space="0" w:color="auto"/>
              <w:right w:val="single" w:sz="8" w:space="0" w:color="auto"/>
            </w:tcBorders>
            <w:shd w:val="clear" w:color="auto" w:fill="auto"/>
            <w:noWrap/>
            <w:hideMark/>
          </w:tcPr>
          <w:p w14:paraId="24A5CCF1" w14:textId="5BBDB765" w:rsidR="00E72142" w:rsidRPr="001968BF" w:rsidRDefault="00E72142" w:rsidP="00851ED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5 000 000 </w:t>
            </w:r>
          </w:p>
        </w:tc>
      </w:tr>
      <w:tr w:rsidR="00E72142" w:rsidRPr="001968BF" w14:paraId="7B1EDCE9" w14:textId="77777777" w:rsidTr="001968BF">
        <w:trPr>
          <w:trHeight w:val="315"/>
          <w:jc w:val="center"/>
        </w:trPr>
        <w:tc>
          <w:tcPr>
            <w:tcW w:w="361" w:type="dxa"/>
            <w:tcBorders>
              <w:top w:val="nil"/>
              <w:left w:val="single" w:sz="8" w:space="0" w:color="auto"/>
              <w:bottom w:val="single" w:sz="8" w:space="0" w:color="auto"/>
              <w:right w:val="single" w:sz="8" w:space="0" w:color="auto"/>
            </w:tcBorders>
            <w:shd w:val="clear" w:color="auto" w:fill="auto"/>
            <w:noWrap/>
            <w:hideMark/>
          </w:tcPr>
          <w:p w14:paraId="1FAC93C8"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22</w:t>
            </w:r>
          </w:p>
        </w:tc>
        <w:tc>
          <w:tcPr>
            <w:tcW w:w="1288" w:type="dxa"/>
            <w:tcBorders>
              <w:top w:val="nil"/>
              <w:left w:val="nil"/>
              <w:bottom w:val="single" w:sz="8" w:space="0" w:color="auto"/>
              <w:right w:val="single" w:sz="8" w:space="0" w:color="auto"/>
            </w:tcBorders>
            <w:shd w:val="clear" w:color="auto" w:fill="auto"/>
            <w:noWrap/>
            <w:hideMark/>
          </w:tcPr>
          <w:p w14:paraId="3AAE286A"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087800180A</w:t>
            </w:r>
          </w:p>
        </w:tc>
        <w:tc>
          <w:tcPr>
            <w:tcW w:w="3019" w:type="dxa"/>
            <w:tcBorders>
              <w:top w:val="nil"/>
              <w:left w:val="nil"/>
              <w:bottom w:val="single" w:sz="8" w:space="0" w:color="auto"/>
              <w:right w:val="single" w:sz="8" w:space="0" w:color="auto"/>
            </w:tcBorders>
            <w:shd w:val="clear" w:color="auto" w:fill="auto"/>
            <w:noWrap/>
            <w:hideMark/>
          </w:tcPr>
          <w:p w14:paraId="46512C4B"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BARRICK GOLD MALI SARL</w:t>
            </w:r>
          </w:p>
        </w:tc>
        <w:tc>
          <w:tcPr>
            <w:tcW w:w="1103" w:type="dxa"/>
            <w:tcBorders>
              <w:top w:val="nil"/>
              <w:left w:val="nil"/>
              <w:bottom w:val="single" w:sz="8" w:space="0" w:color="auto"/>
              <w:right w:val="single" w:sz="8" w:space="0" w:color="auto"/>
            </w:tcBorders>
            <w:shd w:val="clear" w:color="auto" w:fill="auto"/>
            <w:noWrap/>
            <w:hideMark/>
          </w:tcPr>
          <w:p w14:paraId="331D2585"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RANDGOLD </w:t>
            </w:r>
          </w:p>
        </w:tc>
        <w:tc>
          <w:tcPr>
            <w:tcW w:w="2268" w:type="dxa"/>
            <w:tcBorders>
              <w:top w:val="nil"/>
              <w:left w:val="nil"/>
              <w:bottom w:val="single" w:sz="8" w:space="0" w:color="auto"/>
              <w:right w:val="single" w:sz="8" w:space="0" w:color="auto"/>
            </w:tcBorders>
            <w:shd w:val="clear" w:color="auto" w:fill="auto"/>
            <w:noWrap/>
            <w:hideMark/>
          </w:tcPr>
          <w:p w14:paraId="003524DB"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Recherche Or</w:t>
            </w:r>
          </w:p>
        </w:tc>
        <w:tc>
          <w:tcPr>
            <w:tcW w:w="1560" w:type="dxa"/>
            <w:tcBorders>
              <w:top w:val="nil"/>
              <w:left w:val="nil"/>
              <w:bottom w:val="single" w:sz="8" w:space="0" w:color="auto"/>
              <w:right w:val="single" w:sz="8" w:space="0" w:color="auto"/>
            </w:tcBorders>
            <w:shd w:val="clear" w:color="auto" w:fill="auto"/>
            <w:noWrap/>
            <w:hideMark/>
          </w:tcPr>
          <w:p w14:paraId="11D38841" w14:textId="41ABCE01" w:rsidR="00E72142" w:rsidRPr="001968BF" w:rsidRDefault="00E72142" w:rsidP="00851ED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439 449 459 </w:t>
            </w:r>
          </w:p>
        </w:tc>
      </w:tr>
      <w:tr w:rsidR="00E72142" w:rsidRPr="001968BF" w14:paraId="29FA06B7" w14:textId="77777777" w:rsidTr="001968BF">
        <w:trPr>
          <w:trHeight w:val="315"/>
          <w:jc w:val="center"/>
        </w:trPr>
        <w:tc>
          <w:tcPr>
            <w:tcW w:w="361" w:type="dxa"/>
            <w:tcBorders>
              <w:top w:val="nil"/>
              <w:left w:val="single" w:sz="8" w:space="0" w:color="auto"/>
              <w:bottom w:val="single" w:sz="8" w:space="0" w:color="auto"/>
              <w:right w:val="single" w:sz="8" w:space="0" w:color="auto"/>
            </w:tcBorders>
            <w:shd w:val="clear" w:color="auto" w:fill="auto"/>
            <w:noWrap/>
            <w:hideMark/>
          </w:tcPr>
          <w:p w14:paraId="6A0DC0CC"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23</w:t>
            </w:r>
          </w:p>
        </w:tc>
        <w:tc>
          <w:tcPr>
            <w:tcW w:w="1288" w:type="dxa"/>
            <w:tcBorders>
              <w:top w:val="nil"/>
              <w:left w:val="nil"/>
              <w:bottom w:val="single" w:sz="8" w:space="0" w:color="auto"/>
              <w:right w:val="single" w:sz="8" w:space="0" w:color="auto"/>
            </w:tcBorders>
            <w:shd w:val="clear" w:color="auto" w:fill="auto"/>
            <w:noWrap/>
            <w:hideMark/>
          </w:tcPr>
          <w:p w14:paraId="2CAA4294"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087800617C</w:t>
            </w:r>
          </w:p>
        </w:tc>
        <w:tc>
          <w:tcPr>
            <w:tcW w:w="3019" w:type="dxa"/>
            <w:tcBorders>
              <w:top w:val="nil"/>
              <w:left w:val="nil"/>
              <w:bottom w:val="single" w:sz="8" w:space="0" w:color="auto"/>
              <w:right w:val="single" w:sz="8" w:space="0" w:color="auto"/>
            </w:tcBorders>
            <w:shd w:val="clear" w:color="auto" w:fill="auto"/>
            <w:noWrap/>
            <w:hideMark/>
          </w:tcPr>
          <w:p w14:paraId="1AC8F3E5"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HYDROMA (Ex PETROMA)</w:t>
            </w:r>
          </w:p>
        </w:tc>
        <w:tc>
          <w:tcPr>
            <w:tcW w:w="1103" w:type="dxa"/>
            <w:tcBorders>
              <w:top w:val="nil"/>
              <w:left w:val="nil"/>
              <w:bottom w:val="single" w:sz="8" w:space="0" w:color="auto"/>
              <w:right w:val="single" w:sz="8" w:space="0" w:color="auto"/>
            </w:tcBorders>
            <w:shd w:val="clear" w:color="auto" w:fill="auto"/>
            <w:noWrap/>
            <w:hideMark/>
          </w:tcPr>
          <w:p w14:paraId="2A4160A6"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HYDROMA</w:t>
            </w:r>
          </w:p>
        </w:tc>
        <w:tc>
          <w:tcPr>
            <w:tcW w:w="2268" w:type="dxa"/>
            <w:tcBorders>
              <w:top w:val="nil"/>
              <w:left w:val="nil"/>
              <w:bottom w:val="single" w:sz="8" w:space="0" w:color="auto"/>
              <w:right w:val="single" w:sz="8" w:space="0" w:color="auto"/>
            </w:tcBorders>
            <w:shd w:val="clear" w:color="auto" w:fill="auto"/>
            <w:noWrap/>
            <w:hideMark/>
          </w:tcPr>
          <w:p w14:paraId="29258C95"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Recherche Pétrolière</w:t>
            </w:r>
          </w:p>
        </w:tc>
        <w:tc>
          <w:tcPr>
            <w:tcW w:w="1560" w:type="dxa"/>
            <w:tcBorders>
              <w:top w:val="nil"/>
              <w:left w:val="nil"/>
              <w:bottom w:val="single" w:sz="8" w:space="0" w:color="auto"/>
              <w:right w:val="single" w:sz="8" w:space="0" w:color="auto"/>
            </w:tcBorders>
            <w:shd w:val="clear" w:color="auto" w:fill="auto"/>
            <w:noWrap/>
            <w:hideMark/>
          </w:tcPr>
          <w:p w14:paraId="208F0686" w14:textId="00EE5080" w:rsidR="00E72142" w:rsidRPr="001968BF" w:rsidRDefault="00E72142" w:rsidP="00851ED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232 935 000 </w:t>
            </w:r>
          </w:p>
        </w:tc>
      </w:tr>
      <w:tr w:rsidR="00E72142" w:rsidRPr="001968BF" w14:paraId="477DFDA2" w14:textId="77777777" w:rsidTr="001968BF">
        <w:trPr>
          <w:trHeight w:val="79"/>
          <w:jc w:val="center"/>
        </w:trPr>
        <w:tc>
          <w:tcPr>
            <w:tcW w:w="361" w:type="dxa"/>
            <w:tcBorders>
              <w:top w:val="nil"/>
              <w:left w:val="single" w:sz="8" w:space="0" w:color="auto"/>
              <w:bottom w:val="single" w:sz="8" w:space="0" w:color="auto"/>
              <w:right w:val="single" w:sz="8" w:space="0" w:color="auto"/>
            </w:tcBorders>
            <w:shd w:val="clear" w:color="auto" w:fill="auto"/>
            <w:noWrap/>
            <w:hideMark/>
          </w:tcPr>
          <w:p w14:paraId="77E0719E"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24</w:t>
            </w:r>
          </w:p>
        </w:tc>
        <w:tc>
          <w:tcPr>
            <w:tcW w:w="1288" w:type="dxa"/>
            <w:tcBorders>
              <w:top w:val="nil"/>
              <w:left w:val="nil"/>
              <w:bottom w:val="single" w:sz="8" w:space="0" w:color="auto"/>
              <w:right w:val="single" w:sz="8" w:space="0" w:color="auto"/>
            </w:tcBorders>
            <w:shd w:val="clear" w:color="auto" w:fill="auto"/>
            <w:noWrap/>
            <w:hideMark/>
          </w:tcPr>
          <w:p w14:paraId="7873C41D" w14:textId="77777777" w:rsidR="00E72142" w:rsidRPr="001968BF" w:rsidRDefault="00E72142" w:rsidP="00E7214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081127797Y</w:t>
            </w:r>
          </w:p>
        </w:tc>
        <w:tc>
          <w:tcPr>
            <w:tcW w:w="3019" w:type="dxa"/>
            <w:tcBorders>
              <w:top w:val="nil"/>
              <w:left w:val="nil"/>
              <w:bottom w:val="single" w:sz="8" w:space="0" w:color="auto"/>
              <w:right w:val="single" w:sz="8" w:space="0" w:color="auto"/>
            </w:tcBorders>
            <w:shd w:val="clear" w:color="auto" w:fill="auto"/>
            <w:noWrap/>
            <w:hideMark/>
          </w:tcPr>
          <w:p w14:paraId="0C378759"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KOFI SA</w:t>
            </w:r>
          </w:p>
        </w:tc>
        <w:tc>
          <w:tcPr>
            <w:tcW w:w="1103" w:type="dxa"/>
            <w:tcBorders>
              <w:top w:val="nil"/>
              <w:left w:val="nil"/>
              <w:bottom w:val="single" w:sz="8" w:space="0" w:color="auto"/>
              <w:right w:val="single" w:sz="8" w:space="0" w:color="auto"/>
            </w:tcBorders>
            <w:shd w:val="clear" w:color="auto" w:fill="auto"/>
            <w:noWrap/>
            <w:hideMark/>
          </w:tcPr>
          <w:p w14:paraId="495009B8"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KOFI.SA </w:t>
            </w:r>
          </w:p>
        </w:tc>
        <w:tc>
          <w:tcPr>
            <w:tcW w:w="2268" w:type="dxa"/>
            <w:tcBorders>
              <w:top w:val="nil"/>
              <w:left w:val="nil"/>
              <w:bottom w:val="single" w:sz="8" w:space="0" w:color="auto"/>
              <w:right w:val="single" w:sz="8" w:space="0" w:color="auto"/>
            </w:tcBorders>
            <w:shd w:val="clear" w:color="auto" w:fill="auto"/>
            <w:noWrap/>
            <w:hideMark/>
          </w:tcPr>
          <w:p w14:paraId="1E91AE03" w14:textId="77777777" w:rsidR="00E72142" w:rsidRPr="001968BF" w:rsidRDefault="00E72142" w:rsidP="00E72142">
            <w:pPr>
              <w:rPr>
                <w:rFonts w:ascii="Tw Cen MT" w:hAnsi="Tw Cen MT" w:cs="Calibri"/>
                <w:color w:val="000000"/>
                <w:sz w:val="18"/>
                <w:szCs w:val="18"/>
                <w:lang w:eastAsia="fr-FR"/>
              </w:rPr>
            </w:pPr>
            <w:r w:rsidRPr="001968BF">
              <w:rPr>
                <w:rFonts w:ascii="Tw Cen MT" w:hAnsi="Tw Cen MT" w:cs="Calibri"/>
                <w:color w:val="000000"/>
                <w:sz w:val="18"/>
                <w:szCs w:val="18"/>
                <w:lang w:eastAsia="fr-FR"/>
              </w:rPr>
              <w:t>Exploitation Or</w:t>
            </w:r>
          </w:p>
        </w:tc>
        <w:tc>
          <w:tcPr>
            <w:tcW w:w="1560" w:type="dxa"/>
            <w:tcBorders>
              <w:top w:val="nil"/>
              <w:left w:val="nil"/>
              <w:bottom w:val="single" w:sz="8" w:space="0" w:color="auto"/>
              <w:right w:val="single" w:sz="8" w:space="0" w:color="auto"/>
            </w:tcBorders>
            <w:shd w:val="clear" w:color="auto" w:fill="auto"/>
            <w:noWrap/>
            <w:hideMark/>
          </w:tcPr>
          <w:p w14:paraId="55CD7E95" w14:textId="77777777" w:rsidR="00E72142" w:rsidRPr="001968BF" w:rsidRDefault="00E72142" w:rsidP="00851ED2">
            <w:pPr>
              <w:jc w:val="right"/>
              <w:rPr>
                <w:rFonts w:ascii="Tw Cen MT" w:hAnsi="Tw Cen MT" w:cs="Calibri"/>
                <w:color w:val="000000"/>
                <w:sz w:val="18"/>
                <w:szCs w:val="18"/>
                <w:lang w:eastAsia="fr-FR"/>
              </w:rPr>
            </w:pPr>
            <w:r w:rsidRPr="001968BF">
              <w:rPr>
                <w:rFonts w:ascii="Tw Cen MT" w:hAnsi="Tw Cen MT" w:cs="Calibri"/>
                <w:color w:val="000000"/>
                <w:sz w:val="18"/>
                <w:szCs w:val="18"/>
                <w:lang w:eastAsia="fr-FR"/>
              </w:rPr>
              <w:t xml:space="preserve">                        -   </w:t>
            </w:r>
          </w:p>
        </w:tc>
      </w:tr>
      <w:tr w:rsidR="00E72142" w:rsidRPr="001968BF" w14:paraId="1E2CA80C" w14:textId="77777777" w:rsidTr="001968BF">
        <w:trPr>
          <w:trHeight w:val="315"/>
          <w:jc w:val="center"/>
        </w:trPr>
        <w:tc>
          <w:tcPr>
            <w:tcW w:w="361" w:type="dxa"/>
            <w:tcBorders>
              <w:top w:val="nil"/>
              <w:left w:val="single" w:sz="8" w:space="0" w:color="auto"/>
              <w:bottom w:val="single" w:sz="8" w:space="0" w:color="auto"/>
              <w:right w:val="single" w:sz="8" w:space="0" w:color="auto"/>
            </w:tcBorders>
            <w:shd w:val="clear" w:color="000000" w:fill="00B0F0"/>
            <w:noWrap/>
            <w:hideMark/>
          </w:tcPr>
          <w:p w14:paraId="47781215" w14:textId="77777777" w:rsidR="00E72142" w:rsidRPr="001968BF" w:rsidRDefault="00E72142" w:rsidP="00E72142">
            <w:pPr>
              <w:jc w:val="right"/>
              <w:rPr>
                <w:rFonts w:ascii="Tw Cen MT" w:hAnsi="Tw Cen MT" w:cs="Calibri"/>
                <w:b/>
                <w:bCs/>
                <w:color w:val="FFFFFF"/>
                <w:sz w:val="18"/>
                <w:szCs w:val="18"/>
                <w:lang w:eastAsia="fr-FR"/>
              </w:rPr>
            </w:pPr>
            <w:r w:rsidRPr="001968BF">
              <w:rPr>
                <w:rFonts w:ascii="Tw Cen MT" w:hAnsi="Tw Cen MT" w:cs="Calibri"/>
                <w:b/>
                <w:bCs/>
                <w:color w:val="FFFFFF"/>
                <w:sz w:val="18"/>
                <w:szCs w:val="18"/>
                <w:lang w:eastAsia="fr-FR"/>
              </w:rPr>
              <w:t> </w:t>
            </w:r>
          </w:p>
        </w:tc>
        <w:tc>
          <w:tcPr>
            <w:tcW w:w="1288" w:type="dxa"/>
            <w:tcBorders>
              <w:top w:val="nil"/>
              <w:left w:val="nil"/>
              <w:bottom w:val="single" w:sz="8" w:space="0" w:color="auto"/>
              <w:right w:val="single" w:sz="8" w:space="0" w:color="auto"/>
            </w:tcBorders>
            <w:shd w:val="clear" w:color="000000" w:fill="00B0F0"/>
            <w:noWrap/>
            <w:hideMark/>
          </w:tcPr>
          <w:p w14:paraId="645A8E7C" w14:textId="77777777" w:rsidR="00E72142" w:rsidRPr="001968BF" w:rsidRDefault="00E72142" w:rsidP="00E72142">
            <w:pPr>
              <w:jc w:val="right"/>
              <w:rPr>
                <w:rFonts w:ascii="Tw Cen MT" w:hAnsi="Tw Cen MT" w:cs="Calibri"/>
                <w:b/>
                <w:bCs/>
                <w:color w:val="FFFFFF"/>
                <w:sz w:val="18"/>
                <w:szCs w:val="18"/>
                <w:lang w:eastAsia="fr-FR"/>
              </w:rPr>
            </w:pPr>
            <w:r w:rsidRPr="001968BF">
              <w:rPr>
                <w:rFonts w:ascii="Tw Cen MT" w:hAnsi="Tw Cen MT" w:cs="Calibri"/>
                <w:b/>
                <w:bCs/>
                <w:color w:val="FFFFFF"/>
                <w:sz w:val="18"/>
                <w:szCs w:val="18"/>
                <w:lang w:eastAsia="fr-FR"/>
              </w:rPr>
              <w:t> </w:t>
            </w:r>
          </w:p>
        </w:tc>
        <w:tc>
          <w:tcPr>
            <w:tcW w:w="3019" w:type="dxa"/>
            <w:tcBorders>
              <w:top w:val="nil"/>
              <w:left w:val="nil"/>
              <w:bottom w:val="single" w:sz="8" w:space="0" w:color="auto"/>
              <w:right w:val="single" w:sz="8" w:space="0" w:color="auto"/>
            </w:tcBorders>
            <w:shd w:val="clear" w:color="000000" w:fill="00B0F0"/>
            <w:noWrap/>
            <w:hideMark/>
          </w:tcPr>
          <w:p w14:paraId="0119299B" w14:textId="698D1706" w:rsidR="00E72142" w:rsidRPr="001968BF" w:rsidRDefault="00E72142" w:rsidP="00E72142">
            <w:pPr>
              <w:rPr>
                <w:rFonts w:ascii="Tw Cen MT" w:hAnsi="Tw Cen MT" w:cs="Calibri"/>
                <w:b/>
                <w:bCs/>
                <w:color w:val="FFFFFF"/>
                <w:sz w:val="18"/>
                <w:szCs w:val="18"/>
                <w:lang w:eastAsia="fr-FR"/>
              </w:rPr>
            </w:pPr>
            <w:r w:rsidRPr="001968BF">
              <w:rPr>
                <w:rFonts w:ascii="Tw Cen MT" w:hAnsi="Tw Cen MT" w:cs="Calibri"/>
                <w:b/>
                <w:bCs/>
                <w:color w:val="FFFFFF"/>
                <w:sz w:val="18"/>
                <w:szCs w:val="18"/>
                <w:lang w:eastAsia="fr-FR"/>
              </w:rPr>
              <w:t>SOUS TOTAL PÉRIMÈTRE 2018</w:t>
            </w:r>
          </w:p>
        </w:tc>
        <w:tc>
          <w:tcPr>
            <w:tcW w:w="1103" w:type="dxa"/>
            <w:tcBorders>
              <w:top w:val="nil"/>
              <w:left w:val="nil"/>
              <w:bottom w:val="single" w:sz="8" w:space="0" w:color="auto"/>
              <w:right w:val="single" w:sz="8" w:space="0" w:color="auto"/>
            </w:tcBorders>
            <w:shd w:val="clear" w:color="000000" w:fill="00B0F0"/>
            <w:noWrap/>
            <w:hideMark/>
          </w:tcPr>
          <w:p w14:paraId="3D5DCAC4" w14:textId="77777777" w:rsidR="00E72142" w:rsidRPr="001968BF" w:rsidRDefault="00E72142" w:rsidP="00E72142">
            <w:pPr>
              <w:rPr>
                <w:rFonts w:ascii="Tw Cen MT" w:hAnsi="Tw Cen MT" w:cs="Calibri"/>
                <w:b/>
                <w:bCs/>
                <w:color w:val="FFFFFF"/>
                <w:sz w:val="18"/>
                <w:szCs w:val="18"/>
                <w:lang w:eastAsia="fr-FR"/>
              </w:rPr>
            </w:pPr>
            <w:r w:rsidRPr="001968BF">
              <w:rPr>
                <w:rFonts w:ascii="Tw Cen MT" w:hAnsi="Tw Cen MT" w:cs="Calibri"/>
                <w:b/>
                <w:bCs/>
                <w:color w:val="FFFFFF"/>
                <w:sz w:val="18"/>
                <w:szCs w:val="18"/>
                <w:lang w:eastAsia="fr-FR"/>
              </w:rPr>
              <w:t> </w:t>
            </w:r>
          </w:p>
        </w:tc>
        <w:tc>
          <w:tcPr>
            <w:tcW w:w="2268" w:type="dxa"/>
            <w:tcBorders>
              <w:top w:val="nil"/>
              <w:left w:val="nil"/>
              <w:bottom w:val="single" w:sz="8" w:space="0" w:color="auto"/>
              <w:right w:val="single" w:sz="8" w:space="0" w:color="auto"/>
            </w:tcBorders>
            <w:shd w:val="clear" w:color="000000" w:fill="00B0F0"/>
            <w:noWrap/>
            <w:hideMark/>
          </w:tcPr>
          <w:p w14:paraId="5238A888" w14:textId="77777777" w:rsidR="00E72142" w:rsidRPr="001968BF" w:rsidRDefault="00E72142" w:rsidP="00E72142">
            <w:pPr>
              <w:rPr>
                <w:rFonts w:ascii="Tw Cen MT" w:hAnsi="Tw Cen MT" w:cs="Calibri"/>
                <w:b/>
                <w:bCs/>
                <w:color w:val="FFFFFF"/>
                <w:sz w:val="18"/>
                <w:szCs w:val="18"/>
                <w:lang w:eastAsia="fr-FR"/>
              </w:rPr>
            </w:pPr>
            <w:r w:rsidRPr="001968BF">
              <w:rPr>
                <w:rFonts w:ascii="Tw Cen MT" w:hAnsi="Tw Cen MT" w:cs="Calibri"/>
                <w:b/>
                <w:bCs/>
                <w:color w:val="FFFFFF"/>
                <w:sz w:val="18"/>
                <w:szCs w:val="18"/>
                <w:lang w:eastAsia="fr-FR"/>
              </w:rPr>
              <w:t> </w:t>
            </w:r>
          </w:p>
        </w:tc>
        <w:tc>
          <w:tcPr>
            <w:tcW w:w="1560" w:type="dxa"/>
            <w:tcBorders>
              <w:top w:val="nil"/>
              <w:left w:val="nil"/>
              <w:bottom w:val="single" w:sz="8" w:space="0" w:color="auto"/>
              <w:right w:val="single" w:sz="8" w:space="0" w:color="auto"/>
            </w:tcBorders>
            <w:shd w:val="clear" w:color="000000" w:fill="00B0F0"/>
            <w:noWrap/>
            <w:hideMark/>
          </w:tcPr>
          <w:p w14:paraId="62A63ADA" w14:textId="1AA0E4CF" w:rsidR="00E72142" w:rsidRPr="001968BF" w:rsidRDefault="00E72142" w:rsidP="00A255CD">
            <w:pPr>
              <w:rPr>
                <w:rFonts w:ascii="Tw Cen MT" w:hAnsi="Tw Cen MT" w:cs="Calibri"/>
                <w:b/>
                <w:bCs/>
                <w:color w:val="FFFFFF"/>
                <w:sz w:val="18"/>
                <w:szCs w:val="18"/>
                <w:lang w:eastAsia="fr-FR"/>
              </w:rPr>
            </w:pPr>
            <w:r w:rsidRPr="001968BF">
              <w:rPr>
                <w:rFonts w:ascii="Tw Cen MT" w:hAnsi="Tw Cen MT" w:cs="Calibri"/>
                <w:b/>
                <w:bCs/>
                <w:color w:val="FFFFFF"/>
                <w:sz w:val="18"/>
                <w:szCs w:val="18"/>
                <w:lang w:eastAsia="fr-FR"/>
              </w:rPr>
              <w:t xml:space="preserve">335 545 127 811 </w:t>
            </w:r>
          </w:p>
        </w:tc>
      </w:tr>
    </w:tbl>
    <w:p w14:paraId="1F2BED21" w14:textId="6AEBFCEC" w:rsidR="00E72142" w:rsidRPr="00E72142" w:rsidRDefault="00E72142" w:rsidP="00A255CD">
      <w:pPr>
        <w:spacing w:after="120" w:line="276" w:lineRule="auto"/>
        <w:jc w:val="both"/>
        <w:rPr>
          <w:rFonts w:ascii="Tw Cen MT" w:hAnsi="Tw Cen MT"/>
          <w:sz w:val="26"/>
          <w:szCs w:val="26"/>
        </w:rPr>
      </w:pPr>
      <w:r w:rsidRPr="00851ED2">
        <w:rPr>
          <w:rFonts w:ascii="Tw Cen MT" w:hAnsi="Tw Cen MT"/>
          <w:b/>
          <w:bCs/>
          <w:sz w:val="26"/>
          <w:szCs w:val="26"/>
        </w:rPr>
        <w:t>NB :</w:t>
      </w:r>
      <w:r>
        <w:rPr>
          <w:rFonts w:ascii="Tw Cen MT" w:hAnsi="Tw Cen MT"/>
          <w:sz w:val="26"/>
          <w:szCs w:val="26"/>
        </w:rPr>
        <w:t xml:space="preserve"> Les organismes collecteurs n’ont déclaré aucun paiement de la société Koffi SA au titre de l’année 2019.</w:t>
      </w:r>
    </w:p>
    <w:p w14:paraId="1A3E274B" w14:textId="24E14A92" w:rsidR="00097647" w:rsidRDefault="00434319" w:rsidP="0048041A">
      <w:pPr>
        <w:pStyle w:val="Paragraphedeliste"/>
        <w:numPr>
          <w:ilvl w:val="0"/>
          <w:numId w:val="19"/>
        </w:numPr>
        <w:spacing w:before="240" w:after="240"/>
        <w:outlineLvl w:val="1"/>
        <w:rPr>
          <w:rFonts w:ascii="Tw Cen MT" w:hAnsi="Tw Cen MT"/>
          <w:b/>
          <w:iCs/>
          <w:sz w:val="26"/>
          <w:szCs w:val="26"/>
        </w:rPr>
      </w:pPr>
      <w:bookmarkStart w:id="50" w:name="_Toc89811001"/>
      <w:bookmarkStart w:id="51" w:name="_Toc89811119"/>
      <w:bookmarkStart w:id="52" w:name="_Toc89811393"/>
      <w:bookmarkStart w:id="53" w:name="_Toc90999726"/>
      <w:r>
        <w:rPr>
          <w:rFonts w:ascii="Tw Cen MT" w:hAnsi="Tw Cen MT"/>
          <w:b/>
          <w:iCs/>
          <w:sz w:val="26"/>
          <w:szCs w:val="26"/>
        </w:rPr>
        <w:t xml:space="preserve">Détermination du seuil </w:t>
      </w:r>
      <w:bookmarkEnd w:id="50"/>
      <w:bookmarkEnd w:id="51"/>
      <w:bookmarkEnd w:id="52"/>
      <w:r w:rsidR="00972C1B">
        <w:rPr>
          <w:rFonts w:ascii="Tw Cen MT" w:hAnsi="Tw Cen MT"/>
          <w:b/>
          <w:iCs/>
          <w:sz w:val="26"/>
          <w:szCs w:val="26"/>
        </w:rPr>
        <w:t>de matérialité</w:t>
      </w:r>
      <w:bookmarkEnd w:id="53"/>
    </w:p>
    <w:p w14:paraId="00C441A2" w14:textId="37E76051" w:rsidR="00E72142" w:rsidRDefault="00972C1B" w:rsidP="00E72142">
      <w:pPr>
        <w:spacing w:after="240" w:line="276" w:lineRule="auto"/>
        <w:jc w:val="both"/>
        <w:rPr>
          <w:rFonts w:ascii="Tw Cen MT" w:hAnsi="Tw Cen MT"/>
          <w:sz w:val="26"/>
          <w:szCs w:val="26"/>
        </w:rPr>
      </w:pPr>
      <w:bookmarkStart w:id="54" w:name="_Toc89811002"/>
      <w:bookmarkStart w:id="55" w:name="_Toc89811120"/>
      <w:bookmarkStart w:id="56" w:name="_Toc89811394"/>
      <w:r>
        <w:rPr>
          <w:rFonts w:ascii="Tw Cen MT" w:hAnsi="Tw Cen MT"/>
          <w:sz w:val="26"/>
          <w:szCs w:val="26"/>
        </w:rPr>
        <w:t>En 2019, l</w:t>
      </w:r>
      <w:r w:rsidR="00E72142">
        <w:rPr>
          <w:rFonts w:ascii="Tw Cen MT" w:hAnsi="Tw Cen MT"/>
          <w:sz w:val="26"/>
          <w:szCs w:val="26"/>
        </w:rPr>
        <w:t>es</w:t>
      </w:r>
      <w:r w:rsidR="00CF5E15">
        <w:rPr>
          <w:rFonts w:ascii="Tw Cen MT" w:hAnsi="Tw Cen MT"/>
          <w:sz w:val="26"/>
          <w:szCs w:val="26"/>
        </w:rPr>
        <w:t xml:space="preserve"> organismes collecteurs gouvernementaux ont </w:t>
      </w:r>
      <w:r>
        <w:rPr>
          <w:rFonts w:ascii="Tw Cen MT" w:hAnsi="Tw Cen MT"/>
          <w:sz w:val="26"/>
          <w:szCs w:val="26"/>
        </w:rPr>
        <w:t xml:space="preserve">déclaré avoir reçu des paiements de FCFA </w:t>
      </w:r>
      <w:r w:rsidR="00DC3330" w:rsidRPr="00DC3330">
        <w:rPr>
          <w:rFonts w:ascii="Tw Cen MT" w:hAnsi="Tw Cen MT"/>
          <w:sz w:val="26"/>
          <w:szCs w:val="26"/>
        </w:rPr>
        <w:t>390 626 613 640</w:t>
      </w:r>
      <w:r>
        <w:rPr>
          <w:rFonts w:ascii="Tw Cen MT" w:hAnsi="Tw Cen MT"/>
          <w:sz w:val="26"/>
          <w:szCs w:val="26"/>
        </w:rPr>
        <w:t xml:space="preserve"> provenant de </w:t>
      </w:r>
      <w:r w:rsidR="00473B45">
        <w:rPr>
          <w:rFonts w:ascii="Tw Cen MT" w:hAnsi="Tw Cen MT"/>
          <w:sz w:val="26"/>
          <w:szCs w:val="26"/>
        </w:rPr>
        <w:t>231</w:t>
      </w:r>
      <w:r>
        <w:rPr>
          <w:rFonts w:ascii="Tw Cen MT" w:hAnsi="Tw Cen MT"/>
          <w:sz w:val="26"/>
          <w:szCs w:val="26"/>
        </w:rPr>
        <w:t xml:space="preserve"> sociétés </w:t>
      </w:r>
      <w:r w:rsidR="00473B45">
        <w:rPr>
          <w:rFonts w:ascii="Tw Cen MT" w:hAnsi="Tw Cen MT"/>
          <w:sz w:val="26"/>
          <w:szCs w:val="26"/>
        </w:rPr>
        <w:t>du secteur extractif (y compris les sous-traitants)</w:t>
      </w:r>
      <w:r>
        <w:rPr>
          <w:rFonts w:ascii="Tw Cen MT" w:hAnsi="Tw Cen MT"/>
          <w:sz w:val="26"/>
          <w:szCs w:val="26"/>
        </w:rPr>
        <w:t xml:space="preserve">. </w:t>
      </w:r>
    </w:p>
    <w:bookmarkEnd w:id="54"/>
    <w:bookmarkEnd w:id="55"/>
    <w:bookmarkEnd w:id="56"/>
    <w:p w14:paraId="3D6F242D" w14:textId="1B97C5D8" w:rsidR="00972C1B" w:rsidRDefault="00972C1B" w:rsidP="00851ED2">
      <w:pPr>
        <w:spacing w:after="240" w:line="276" w:lineRule="auto"/>
        <w:jc w:val="both"/>
        <w:rPr>
          <w:rFonts w:ascii="Tw Cen MT" w:hAnsi="Tw Cen MT"/>
          <w:sz w:val="26"/>
          <w:szCs w:val="26"/>
        </w:rPr>
      </w:pPr>
      <w:r w:rsidRPr="00446933">
        <w:rPr>
          <w:rFonts w:ascii="Tw Cen MT" w:hAnsi="Tw Cen MT"/>
          <w:sz w:val="26"/>
          <w:szCs w:val="26"/>
        </w:rPr>
        <w:t xml:space="preserve">En appliquant </w:t>
      </w:r>
      <w:r w:rsidR="00473B45">
        <w:rPr>
          <w:rFonts w:ascii="Tw Cen MT" w:hAnsi="Tw Cen MT"/>
          <w:sz w:val="26"/>
          <w:szCs w:val="26"/>
        </w:rPr>
        <w:t>le</w:t>
      </w:r>
      <w:r w:rsidRPr="00446933">
        <w:rPr>
          <w:rFonts w:ascii="Tw Cen MT" w:hAnsi="Tw Cen MT"/>
          <w:sz w:val="26"/>
          <w:szCs w:val="26"/>
        </w:rPr>
        <w:t xml:space="preserve"> seuil de matérialité de FCFA 100 000 000 et le principe de continuité, </w:t>
      </w:r>
      <w:r w:rsidR="00473B45">
        <w:rPr>
          <w:rFonts w:ascii="Tw Cen MT" w:hAnsi="Tw Cen MT"/>
          <w:sz w:val="26"/>
          <w:szCs w:val="26"/>
        </w:rPr>
        <w:t>le tableau d’analyse du seuil de matérialité se présente comme suit :</w:t>
      </w:r>
    </w:p>
    <w:p w14:paraId="288DB8D3" w14:textId="32C619EF" w:rsidR="00A255CD" w:rsidRPr="00A255CD" w:rsidRDefault="00A255CD" w:rsidP="00A255CD">
      <w:pPr>
        <w:pStyle w:val="Lgende"/>
        <w:spacing w:after="0"/>
        <w:rPr>
          <w:rFonts w:ascii="Tw Cen MT" w:hAnsi="Tw Cen MT"/>
          <w:b/>
          <w:bCs/>
          <w:i w:val="0"/>
          <w:iCs w:val="0"/>
          <w:color w:val="auto"/>
          <w:sz w:val="24"/>
          <w:szCs w:val="24"/>
        </w:rPr>
      </w:pPr>
      <w:bookmarkStart w:id="57" w:name="_Toc90995627"/>
      <w:r w:rsidRPr="00A255CD">
        <w:rPr>
          <w:rFonts w:ascii="Tw Cen MT" w:hAnsi="Tw Cen MT"/>
          <w:b/>
          <w:bCs/>
          <w:i w:val="0"/>
          <w:iCs w:val="0"/>
          <w:color w:val="auto"/>
          <w:sz w:val="24"/>
          <w:szCs w:val="24"/>
        </w:rPr>
        <w:t xml:space="preserve">Tableau </w:t>
      </w:r>
      <w:r w:rsidRPr="00A255CD">
        <w:rPr>
          <w:rFonts w:ascii="Tw Cen MT" w:hAnsi="Tw Cen MT"/>
          <w:b/>
          <w:bCs/>
          <w:i w:val="0"/>
          <w:iCs w:val="0"/>
          <w:color w:val="auto"/>
          <w:sz w:val="24"/>
          <w:szCs w:val="24"/>
        </w:rPr>
        <w:fldChar w:fldCharType="begin"/>
      </w:r>
      <w:r w:rsidRPr="00A255CD">
        <w:rPr>
          <w:rFonts w:ascii="Tw Cen MT" w:hAnsi="Tw Cen MT"/>
          <w:b/>
          <w:bCs/>
          <w:i w:val="0"/>
          <w:iCs w:val="0"/>
          <w:color w:val="auto"/>
          <w:sz w:val="24"/>
          <w:szCs w:val="24"/>
        </w:rPr>
        <w:instrText xml:space="preserve"> SEQ Tableau \* ARABIC </w:instrText>
      </w:r>
      <w:r w:rsidRPr="00A255CD">
        <w:rPr>
          <w:rFonts w:ascii="Tw Cen MT" w:hAnsi="Tw Cen MT"/>
          <w:b/>
          <w:bCs/>
          <w:i w:val="0"/>
          <w:iCs w:val="0"/>
          <w:color w:val="auto"/>
          <w:sz w:val="24"/>
          <w:szCs w:val="24"/>
        </w:rPr>
        <w:fldChar w:fldCharType="separate"/>
      </w:r>
      <w:r w:rsidR="00A54243">
        <w:rPr>
          <w:rFonts w:ascii="Tw Cen MT" w:hAnsi="Tw Cen MT"/>
          <w:b/>
          <w:bCs/>
          <w:i w:val="0"/>
          <w:iCs w:val="0"/>
          <w:noProof/>
          <w:color w:val="auto"/>
          <w:sz w:val="24"/>
          <w:szCs w:val="24"/>
        </w:rPr>
        <w:t>5</w:t>
      </w:r>
      <w:r w:rsidRPr="00A255CD">
        <w:rPr>
          <w:rFonts w:ascii="Tw Cen MT" w:hAnsi="Tw Cen MT"/>
          <w:b/>
          <w:bCs/>
          <w:i w:val="0"/>
          <w:iCs w:val="0"/>
          <w:color w:val="auto"/>
          <w:sz w:val="24"/>
          <w:szCs w:val="24"/>
        </w:rPr>
        <w:fldChar w:fldCharType="end"/>
      </w:r>
      <w:r w:rsidRPr="00A255CD">
        <w:rPr>
          <w:rFonts w:ascii="Tw Cen MT" w:hAnsi="Tw Cen MT"/>
          <w:b/>
          <w:bCs/>
          <w:i w:val="0"/>
          <w:iCs w:val="0"/>
          <w:color w:val="auto"/>
          <w:sz w:val="24"/>
          <w:szCs w:val="24"/>
        </w:rPr>
        <w:t> : Tableau d’analyse de la matérialité</w:t>
      </w:r>
      <w:bookmarkEnd w:id="57"/>
    </w:p>
    <w:tbl>
      <w:tblPr>
        <w:tblW w:w="9412" w:type="dxa"/>
        <w:tblCellMar>
          <w:left w:w="70" w:type="dxa"/>
          <w:right w:w="70" w:type="dxa"/>
        </w:tblCellMar>
        <w:tblLook w:val="04A0" w:firstRow="1" w:lastRow="0" w:firstColumn="1" w:lastColumn="0" w:noHBand="0" w:noVBand="1"/>
      </w:tblPr>
      <w:tblGrid>
        <w:gridCol w:w="2977"/>
        <w:gridCol w:w="993"/>
        <w:gridCol w:w="1870"/>
        <w:gridCol w:w="915"/>
        <w:gridCol w:w="1751"/>
        <w:gridCol w:w="906"/>
      </w:tblGrid>
      <w:tr w:rsidR="00446933" w:rsidRPr="00851ED2" w14:paraId="6FD76E02" w14:textId="77777777" w:rsidTr="00851ED2">
        <w:trPr>
          <w:trHeight w:val="339"/>
        </w:trPr>
        <w:tc>
          <w:tcPr>
            <w:tcW w:w="2977" w:type="dxa"/>
            <w:tcBorders>
              <w:top w:val="nil"/>
              <w:left w:val="nil"/>
              <w:bottom w:val="nil"/>
              <w:right w:val="nil"/>
            </w:tcBorders>
            <w:shd w:val="clear" w:color="000000" w:fill="00B0F0"/>
            <w:noWrap/>
            <w:vAlign w:val="center"/>
            <w:hideMark/>
          </w:tcPr>
          <w:p w14:paraId="345E90F2" w14:textId="615D0647" w:rsidR="00446933" w:rsidRPr="00446933" w:rsidRDefault="000A2474" w:rsidP="00446933">
            <w:pPr>
              <w:jc w:val="center"/>
              <w:rPr>
                <w:rFonts w:ascii="Tw Cen MT" w:hAnsi="Tw Cen MT" w:cs="Calibri"/>
                <w:b/>
                <w:bCs/>
                <w:color w:val="FFFFFF"/>
                <w:lang w:eastAsia="fr-FR"/>
              </w:rPr>
            </w:pPr>
            <w:r>
              <w:rPr>
                <w:rFonts w:ascii="Tw Cen MT" w:hAnsi="Tw Cen MT" w:cs="Calibri"/>
                <w:b/>
                <w:bCs/>
                <w:color w:val="FFFFFF"/>
                <w:lang w:eastAsia="fr-FR"/>
              </w:rPr>
              <w:t>Sociétés</w:t>
            </w:r>
            <w:r w:rsidR="00446933" w:rsidRPr="00446933">
              <w:rPr>
                <w:rFonts w:ascii="Tw Cen MT" w:hAnsi="Tw Cen MT" w:cs="Calibri"/>
                <w:b/>
                <w:bCs/>
                <w:color w:val="FFFFFF"/>
                <w:lang w:eastAsia="fr-FR"/>
              </w:rPr>
              <w:t xml:space="preserve"> extractives</w:t>
            </w:r>
          </w:p>
        </w:tc>
        <w:tc>
          <w:tcPr>
            <w:tcW w:w="993" w:type="dxa"/>
            <w:tcBorders>
              <w:top w:val="nil"/>
              <w:left w:val="nil"/>
              <w:bottom w:val="nil"/>
              <w:right w:val="nil"/>
            </w:tcBorders>
            <w:shd w:val="clear" w:color="000000" w:fill="00B0F0"/>
            <w:noWrap/>
            <w:vAlign w:val="center"/>
            <w:hideMark/>
          </w:tcPr>
          <w:p w14:paraId="2AEB6404" w14:textId="77777777"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Nombre</w:t>
            </w:r>
          </w:p>
        </w:tc>
        <w:tc>
          <w:tcPr>
            <w:tcW w:w="2785" w:type="dxa"/>
            <w:gridSpan w:val="2"/>
            <w:tcBorders>
              <w:top w:val="nil"/>
              <w:left w:val="nil"/>
              <w:bottom w:val="nil"/>
              <w:right w:val="nil"/>
            </w:tcBorders>
            <w:shd w:val="clear" w:color="000000" w:fill="00B0F0"/>
            <w:noWrap/>
            <w:vAlign w:val="center"/>
            <w:hideMark/>
          </w:tcPr>
          <w:p w14:paraId="2368A799" w14:textId="77777777"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Montant des paiements</w:t>
            </w:r>
          </w:p>
        </w:tc>
        <w:tc>
          <w:tcPr>
            <w:tcW w:w="2657" w:type="dxa"/>
            <w:gridSpan w:val="2"/>
            <w:tcBorders>
              <w:top w:val="nil"/>
              <w:left w:val="nil"/>
              <w:bottom w:val="nil"/>
              <w:right w:val="nil"/>
            </w:tcBorders>
            <w:shd w:val="clear" w:color="000000" w:fill="00B0F0"/>
            <w:noWrap/>
            <w:vAlign w:val="center"/>
            <w:hideMark/>
          </w:tcPr>
          <w:p w14:paraId="00F270A0" w14:textId="77777777"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Cumul</w:t>
            </w:r>
          </w:p>
        </w:tc>
      </w:tr>
      <w:tr w:rsidR="00446933" w:rsidRPr="00851ED2" w14:paraId="6E1A1B75" w14:textId="77777777" w:rsidTr="00851ED2">
        <w:trPr>
          <w:trHeight w:val="66"/>
        </w:trPr>
        <w:tc>
          <w:tcPr>
            <w:tcW w:w="2977" w:type="dxa"/>
            <w:tcBorders>
              <w:top w:val="nil"/>
              <w:left w:val="nil"/>
              <w:bottom w:val="nil"/>
              <w:right w:val="nil"/>
            </w:tcBorders>
            <w:shd w:val="clear" w:color="000000" w:fill="00B0F0"/>
            <w:noWrap/>
            <w:vAlign w:val="center"/>
            <w:hideMark/>
          </w:tcPr>
          <w:p w14:paraId="36A4324C" w14:textId="77777777"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 </w:t>
            </w:r>
          </w:p>
        </w:tc>
        <w:tc>
          <w:tcPr>
            <w:tcW w:w="993" w:type="dxa"/>
            <w:tcBorders>
              <w:top w:val="nil"/>
              <w:left w:val="nil"/>
              <w:bottom w:val="nil"/>
              <w:right w:val="nil"/>
            </w:tcBorders>
            <w:shd w:val="clear" w:color="000000" w:fill="00B0F0"/>
            <w:noWrap/>
            <w:vAlign w:val="center"/>
            <w:hideMark/>
          </w:tcPr>
          <w:p w14:paraId="542A5E75" w14:textId="77777777"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 </w:t>
            </w:r>
          </w:p>
        </w:tc>
        <w:tc>
          <w:tcPr>
            <w:tcW w:w="1870" w:type="dxa"/>
            <w:tcBorders>
              <w:top w:val="nil"/>
              <w:left w:val="nil"/>
              <w:bottom w:val="nil"/>
              <w:right w:val="nil"/>
            </w:tcBorders>
            <w:shd w:val="clear" w:color="000000" w:fill="00B0F0"/>
            <w:noWrap/>
            <w:vAlign w:val="center"/>
            <w:hideMark/>
          </w:tcPr>
          <w:p w14:paraId="787687F7" w14:textId="0692E9DC"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 xml:space="preserve">En FCFA </w:t>
            </w:r>
          </w:p>
        </w:tc>
        <w:tc>
          <w:tcPr>
            <w:tcW w:w="915" w:type="dxa"/>
            <w:tcBorders>
              <w:top w:val="nil"/>
              <w:left w:val="nil"/>
              <w:bottom w:val="nil"/>
              <w:right w:val="nil"/>
            </w:tcBorders>
            <w:shd w:val="clear" w:color="000000" w:fill="00B0F0"/>
            <w:vAlign w:val="center"/>
            <w:hideMark/>
          </w:tcPr>
          <w:p w14:paraId="764B0A49" w14:textId="77777777"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w:t>
            </w:r>
          </w:p>
        </w:tc>
        <w:tc>
          <w:tcPr>
            <w:tcW w:w="1751" w:type="dxa"/>
            <w:tcBorders>
              <w:top w:val="nil"/>
              <w:left w:val="nil"/>
              <w:bottom w:val="nil"/>
              <w:right w:val="nil"/>
            </w:tcBorders>
            <w:shd w:val="clear" w:color="000000" w:fill="00B0F0"/>
            <w:noWrap/>
            <w:vAlign w:val="center"/>
            <w:hideMark/>
          </w:tcPr>
          <w:p w14:paraId="37D68097" w14:textId="35303490"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 xml:space="preserve">En FCFA </w:t>
            </w:r>
          </w:p>
        </w:tc>
        <w:tc>
          <w:tcPr>
            <w:tcW w:w="906" w:type="dxa"/>
            <w:tcBorders>
              <w:top w:val="nil"/>
              <w:left w:val="nil"/>
              <w:bottom w:val="nil"/>
              <w:right w:val="nil"/>
            </w:tcBorders>
            <w:shd w:val="clear" w:color="000000" w:fill="00B0F0"/>
            <w:vAlign w:val="center"/>
            <w:hideMark/>
          </w:tcPr>
          <w:p w14:paraId="3B0FF440" w14:textId="77777777"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w:t>
            </w:r>
          </w:p>
        </w:tc>
      </w:tr>
      <w:tr w:rsidR="00446933" w:rsidRPr="00851ED2" w14:paraId="40E139AF" w14:textId="77777777" w:rsidTr="001968BF">
        <w:trPr>
          <w:trHeight w:val="180"/>
        </w:trPr>
        <w:tc>
          <w:tcPr>
            <w:tcW w:w="2977" w:type="dxa"/>
            <w:tcBorders>
              <w:top w:val="nil"/>
              <w:left w:val="nil"/>
              <w:bottom w:val="nil"/>
              <w:right w:val="nil"/>
            </w:tcBorders>
            <w:shd w:val="clear" w:color="auto" w:fill="auto"/>
            <w:noWrap/>
            <w:vAlign w:val="center"/>
            <w:hideMark/>
          </w:tcPr>
          <w:p w14:paraId="7A9C3A08" w14:textId="77777777" w:rsidR="00446933" w:rsidRPr="00446933" w:rsidRDefault="00446933" w:rsidP="00446933">
            <w:pPr>
              <w:jc w:val="center"/>
              <w:rPr>
                <w:rFonts w:ascii="Tw Cen MT" w:hAnsi="Tw Cen MT" w:cs="Calibri"/>
                <w:b/>
                <w:bCs/>
                <w:color w:val="FFFFFF"/>
                <w:lang w:eastAsia="fr-FR"/>
              </w:rPr>
            </w:pPr>
          </w:p>
        </w:tc>
        <w:tc>
          <w:tcPr>
            <w:tcW w:w="993" w:type="dxa"/>
            <w:tcBorders>
              <w:top w:val="nil"/>
              <w:left w:val="nil"/>
              <w:bottom w:val="nil"/>
              <w:right w:val="nil"/>
            </w:tcBorders>
            <w:shd w:val="clear" w:color="auto" w:fill="auto"/>
            <w:noWrap/>
            <w:vAlign w:val="center"/>
            <w:hideMark/>
          </w:tcPr>
          <w:p w14:paraId="566B3FB6" w14:textId="77777777" w:rsidR="00446933" w:rsidRPr="00851ED2" w:rsidRDefault="00446933" w:rsidP="00446933">
            <w:pPr>
              <w:jc w:val="center"/>
              <w:rPr>
                <w:rFonts w:ascii="Tw Cen MT" w:hAnsi="Tw Cen MT" w:cs="Times New Roman"/>
                <w:lang w:eastAsia="fr-FR"/>
              </w:rPr>
            </w:pPr>
          </w:p>
        </w:tc>
        <w:tc>
          <w:tcPr>
            <w:tcW w:w="1870" w:type="dxa"/>
            <w:tcBorders>
              <w:top w:val="nil"/>
              <w:left w:val="nil"/>
              <w:bottom w:val="nil"/>
              <w:right w:val="nil"/>
            </w:tcBorders>
            <w:shd w:val="clear" w:color="auto" w:fill="auto"/>
            <w:noWrap/>
            <w:vAlign w:val="center"/>
            <w:hideMark/>
          </w:tcPr>
          <w:p w14:paraId="6B781E3A" w14:textId="77777777" w:rsidR="00446933" w:rsidRPr="00851ED2" w:rsidRDefault="00446933" w:rsidP="00446933">
            <w:pPr>
              <w:jc w:val="center"/>
              <w:rPr>
                <w:rFonts w:ascii="Tw Cen MT" w:hAnsi="Tw Cen MT" w:cs="Times New Roman"/>
                <w:lang w:eastAsia="fr-FR"/>
              </w:rPr>
            </w:pPr>
          </w:p>
        </w:tc>
        <w:tc>
          <w:tcPr>
            <w:tcW w:w="915" w:type="dxa"/>
            <w:tcBorders>
              <w:top w:val="nil"/>
              <w:left w:val="nil"/>
              <w:bottom w:val="nil"/>
              <w:right w:val="nil"/>
            </w:tcBorders>
            <w:shd w:val="clear" w:color="auto" w:fill="auto"/>
            <w:noWrap/>
            <w:vAlign w:val="center"/>
            <w:hideMark/>
          </w:tcPr>
          <w:p w14:paraId="7A2C9399" w14:textId="77777777" w:rsidR="00446933" w:rsidRPr="00851ED2" w:rsidRDefault="00446933" w:rsidP="00446933">
            <w:pPr>
              <w:jc w:val="center"/>
              <w:rPr>
                <w:rFonts w:ascii="Tw Cen MT" w:hAnsi="Tw Cen MT" w:cs="Times New Roman"/>
                <w:lang w:eastAsia="fr-FR"/>
              </w:rPr>
            </w:pPr>
          </w:p>
        </w:tc>
        <w:tc>
          <w:tcPr>
            <w:tcW w:w="1751" w:type="dxa"/>
            <w:tcBorders>
              <w:top w:val="nil"/>
              <w:left w:val="nil"/>
              <w:bottom w:val="nil"/>
              <w:right w:val="nil"/>
            </w:tcBorders>
            <w:shd w:val="clear" w:color="auto" w:fill="auto"/>
            <w:noWrap/>
            <w:vAlign w:val="center"/>
            <w:hideMark/>
          </w:tcPr>
          <w:p w14:paraId="1B275097" w14:textId="77777777" w:rsidR="00446933" w:rsidRPr="00851ED2" w:rsidRDefault="00446933" w:rsidP="00446933">
            <w:pPr>
              <w:jc w:val="center"/>
              <w:rPr>
                <w:rFonts w:ascii="Tw Cen MT" w:hAnsi="Tw Cen MT" w:cs="Times New Roman"/>
                <w:lang w:eastAsia="fr-FR"/>
              </w:rPr>
            </w:pPr>
          </w:p>
        </w:tc>
        <w:tc>
          <w:tcPr>
            <w:tcW w:w="906" w:type="dxa"/>
            <w:tcBorders>
              <w:top w:val="nil"/>
              <w:left w:val="nil"/>
              <w:bottom w:val="nil"/>
              <w:right w:val="nil"/>
            </w:tcBorders>
            <w:shd w:val="clear" w:color="auto" w:fill="auto"/>
            <w:noWrap/>
            <w:vAlign w:val="center"/>
            <w:hideMark/>
          </w:tcPr>
          <w:p w14:paraId="4E4B7C02" w14:textId="77777777" w:rsidR="00446933" w:rsidRPr="00851ED2" w:rsidRDefault="00446933" w:rsidP="00446933">
            <w:pPr>
              <w:jc w:val="center"/>
              <w:rPr>
                <w:rFonts w:ascii="Tw Cen MT" w:hAnsi="Tw Cen MT" w:cs="Times New Roman"/>
                <w:lang w:eastAsia="fr-FR"/>
              </w:rPr>
            </w:pPr>
          </w:p>
        </w:tc>
      </w:tr>
      <w:tr w:rsidR="00446933" w:rsidRPr="00851ED2" w14:paraId="07553E00" w14:textId="77777777" w:rsidTr="00851ED2">
        <w:trPr>
          <w:trHeight w:val="255"/>
        </w:trPr>
        <w:tc>
          <w:tcPr>
            <w:tcW w:w="2977" w:type="dxa"/>
            <w:tcBorders>
              <w:top w:val="nil"/>
              <w:left w:val="nil"/>
              <w:bottom w:val="nil"/>
              <w:right w:val="nil"/>
            </w:tcBorders>
            <w:shd w:val="clear" w:color="auto" w:fill="auto"/>
            <w:hideMark/>
          </w:tcPr>
          <w:p w14:paraId="1B6ECA10" w14:textId="1B5BCD79" w:rsidR="00446933" w:rsidRPr="00446933" w:rsidRDefault="000A2474" w:rsidP="00446933">
            <w:pPr>
              <w:rPr>
                <w:rFonts w:ascii="Tw Cen MT" w:hAnsi="Tw Cen MT" w:cs="Calibri"/>
                <w:color w:val="000000"/>
                <w:lang w:eastAsia="fr-FR"/>
              </w:rPr>
            </w:pPr>
            <w:r>
              <w:rPr>
                <w:rFonts w:ascii="Tw Cen MT" w:hAnsi="Tw Cen MT" w:cs="Calibri"/>
                <w:color w:val="000000"/>
                <w:lang w:eastAsia="fr-FR"/>
              </w:rPr>
              <w:t>Sociétés</w:t>
            </w:r>
            <w:r w:rsidR="00446933" w:rsidRPr="00446933">
              <w:rPr>
                <w:rFonts w:ascii="Tw Cen MT" w:hAnsi="Tw Cen MT" w:cs="Calibri"/>
                <w:color w:val="000000"/>
                <w:lang w:eastAsia="fr-FR"/>
              </w:rPr>
              <w:t xml:space="preserve"> extractives retenues dans le Périmètre </w:t>
            </w:r>
            <w:r w:rsidR="00473B45">
              <w:rPr>
                <w:rFonts w:ascii="Tw Cen MT" w:hAnsi="Tw Cen MT" w:cs="Calibri"/>
                <w:color w:val="000000"/>
                <w:lang w:eastAsia="fr-FR"/>
              </w:rPr>
              <w:t xml:space="preserve">ITIE </w:t>
            </w:r>
            <w:r w:rsidR="00446933" w:rsidRPr="00446933">
              <w:rPr>
                <w:rFonts w:ascii="Tw Cen MT" w:hAnsi="Tw Cen MT" w:cs="Calibri"/>
                <w:color w:val="000000"/>
                <w:lang w:eastAsia="fr-FR"/>
              </w:rPr>
              <w:t>2018</w:t>
            </w:r>
          </w:p>
        </w:tc>
        <w:tc>
          <w:tcPr>
            <w:tcW w:w="993" w:type="dxa"/>
            <w:tcBorders>
              <w:top w:val="nil"/>
              <w:left w:val="nil"/>
              <w:bottom w:val="nil"/>
              <w:right w:val="nil"/>
            </w:tcBorders>
            <w:shd w:val="clear" w:color="auto" w:fill="auto"/>
            <w:noWrap/>
            <w:hideMark/>
          </w:tcPr>
          <w:p w14:paraId="044A9957" w14:textId="77777777" w:rsidR="00446933" w:rsidRPr="00446933" w:rsidRDefault="00446933" w:rsidP="00446933">
            <w:pPr>
              <w:jc w:val="center"/>
              <w:rPr>
                <w:rFonts w:ascii="Tw Cen MT" w:hAnsi="Tw Cen MT" w:cs="Calibri"/>
                <w:color w:val="000000"/>
                <w:lang w:eastAsia="fr-FR"/>
              </w:rPr>
            </w:pPr>
            <w:r w:rsidRPr="00446933">
              <w:rPr>
                <w:rFonts w:ascii="Tw Cen MT" w:hAnsi="Tw Cen MT" w:cs="Calibri"/>
                <w:color w:val="000000"/>
                <w:lang w:eastAsia="fr-FR"/>
              </w:rPr>
              <w:t>24</w:t>
            </w:r>
          </w:p>
        </w:tc>
        <w:tc>
          <w:tcPr>
            <w:tcW w:w="1870" w:type="dxa"/>
            <w:tcBorders>
              <w:top w:val="nil"/>
              <w:left w:val="nil"/>
              <w:bottom w:val="nil"/>
              <w:right w:val="nil"/>
            </w:tcBorders>
            <w:shd w:val="clear" w:color="auto" w:fill="auto"/>
            <w:noWrap/>
            <w:hideMark/>
          </w:tcPr>
          <w:p w14:paraId="3CE943B2" w14:textId="77777777" w:rsidR="00446933" w:rsidRPr="00446933" w:rsidRDefault="00446933" w:rsidP="00446933">
            <w:pPr>
              <w:rPr>
                <w:rFonts w:ascii="Tw Cen MT" w:hAnsi="Tw Cen MT" w:cs="Calibri"/>
                <w:color w:val="000000"/>
                <w:lang w:eastAsia="fr-FR"/>
              </w:rPr>
            </w:pPr>
            <w:r w:rsidRPr="00446933">
              <w:rPr>
                <w:rFonts w:ascii="Tw Cen MT" w:hAnsi="Tw Cen MT" w:cs="Calibri"/>
                <w:color w:val="000000"/>
                <w:lang w:eastAsia="fr-FR"/>
              </w:rPr>
              <w:t xml:space="preserve">    335 545 127 811 </w:t>
            </w:r>
          </w:p>
        </w:tc>
        <w:tc>
          <w:tcPr>
            <w:tcW w:w="915" w:type="dxa"/>
            <w:tcBorders>
              <w:top w:val="nil"/>
              <w:left w:val="nil"/>
              <w:bottom w:val="nil"/>
              <w:right w:val="nil"/>
            </w:tcBorders>
            <w:shd w:val="clear" w:color="auto" w:fill="auto"/>
            <w:noWrap/>
            <w:hideMark/>
          </w:tcPr>
          <w:p w14:paraId="5BD6DA21" w14:textId="77777777" w:rsidR="00446933" w:rsidRPr="00446933" w:rsidRDefault="00446933" w:rsidP="00446933">
            <w:pPr>
              <w:jc w:val="right"/>
              <w:rPr>
                <w:rFonts w:ascii="Tw Cen MT" w:hAnsi="Tw Cen MT" w:cs="Calibri"/>
                <w:color w:val="000000"/>
                <w:lang w:eastAsia="fr-FR"/>
              </w:rPr>
            </w:pPr>
            <w:r w:rsidRPr="00446933">
              <w:rPr>
                <w:rFonts w:ascii="Tw Cen MT" w:hAnsi="Tw Cen MT" w:cs="Calibri"/>
                <w:color w:val="000000"/>
                <w:lang w:eastAsia="fr-FR"/>
              </w:rPr>
              <w:t>97,86%</w:t>
            </w:r>
          </w:p>
        </w:tc>
        <w:tc>
          <w:tcPr>
            <w:tcW w:w="1751" w:type="dxa"/>
            <w:tcBorders>
              <w:top w:val="nil"/>
              <w:left w:val="nil"/>
              <w:bottom w:val="nil"/>
              <w:right w:val="nil"/>
            </w:tcBorders>
            <w:shd w:val="clear" w:color="auto" w:fill="auto"/>
            <w:noWrap/>
            <w:hideMark/>
          </w:tcPr>
          <w:p w14:paraId="5C7B155A" w14:textId="77777777" w:rsidR="00446933" w:rsidRPr="00446933" w:rsidRDefault="00446933" w:rsidP="00446933">
            <w:pPr>
              <w:rPr>
                <w:rFonts w:ascii="Tw Cen MT" w:hAnsi="Tw Cen MT" w:cs="Calibri"/>
                <w:color w:val="000000"/>
                <w:lang w:eastAsia="fr-FR"/>
              </w:rPr>
            </w:pPr>
            <w:r w:rsidRPr="00446933">
              <w:rPr>
                <w:rFonts w:ascii="Tw Cen MT" w:hAnsi="Tw Cen MT" w:cs="Calibri"/>
                <w:color w:val="000000"/>
                <w:lang w:eastAsia="fr-FR"/>
              </w:rPr>
              <w:t xml:space="preserve"> 335 545 127 811 </w:t>
            </w:r>
          </w:p>
        </w:tc>
        <w:tc>
          <w:tcPr>
            <w:tcW w:w="906" w:type="dxa"/>
            <w:tcBorders>
              <w:top w:val="nil"/>
              <w:left w:val="nil"/>
              <w:bottom w:val="nil"/>
              <w:right w:val="nil"/>
            </w:tcBorders>
            <w:shd w:val="clear" w:color="auto" w:fill="auto"/>
            <w:noWrap/>
            <w:hideMark/>
          </w:tcPr>
          <w:p w14:paraId="78EF1713" w14:textId="77777777" w:rsidR="00446933" w:rsidRPr="00446933" w:rsidRDefault="00446933" w:rsidP="00446933">
            <w:pPr>
              <w:jc w:val="right"/>
              <w:rPr>
                <w:rFonts w:ascii="Tw Cen MT" w:hAnsi="Tw Cen MT" w:cs="Calibri"/>
                <w:color w:val="000000"/>
                <w:lang w:eastAsia="fr-FR"/>
              </w:rPr>
            </w:pPr>
            <w:r w:rsidRPr="00446933">
              <w:rPr>
                <w:rFonts w:ascii="Tw Cen MT" w:hAnsi="Tw Cen MT" w:cs="Calibri"/>
                <w:color w:val="000000"/>
                <w:lang w:eastAsia="fr-FR"/>
              </w:rPr>
              <w:t>97,86%</w:t>
            </w:r>
          </w:p>
        </w:tc>
      </w:tr>
      <w:tr w:rsidR="00446933" w:rsidRPr="00851ED2" w14:paraId="5BF0413B" w14:textId="77777777" w:rsidTr="00851ED2">
        <w:trPr>
          <w:trHeight w:val="127"/>
        </w:trPr>
        <w:tc>
          <w:tcPr>
            <w:tcW w:w="2977" w:type="dxa"/>
            <w:tcBorders>
              <w:top w:val="nil"/>
              <w:left w:val="nil"/>
              <w:bottom w:val="nil"/>
              <w:right w:val="nil"/>
            </w:tcBorders>
            <w:shd w:val="clear" w:color="auto" w:fill="auto"/>
            <w:hideMark/>
          </w:tcPr>
          <w:p w14:paraId="6C38307B" w14:textId="77777777" w:rsidR="00446933" w:rsidRPr="00446933" w:rsidRDefault="00446933" w:rsidP="00446933">
            <w:pPr>
              <w:jc w:val="right"/>
              <w:rPr>
                <w:rFonts w:ascii="Tw Cen MT" w:hAnsi="Tw Cen MT" w:cs="Calibri"/>
                <w:color w:val="000000"/>
                <w:lang w:eastAsia="fr-FR"/>
              </w:rPr>
            </w:pPr>
          </w:p>
        </w:tc>
        <w:tc>
          <w:tcPr>
            <w:tcW w:w="993" w:type="dxa"/>
            <w:tcBorders>
              <w:top w:val="nil"/>
              <w:left w:val="nil"/>
              <w:bottom w:val="nil"/>
              <w:right w:val="nil"/>
            </w:tcBorders>
            <w:shd w:val="clear" w:color="auto" w:fill="auto"/>
            <w:noWrap/>
            <w:hideMark/>
          </w:tcPr>
          <w:p w14:paraId="42A8DE83" w14:textId="77777777" w:rsidR="00446933" w:rsidRPr="00851ED2" w:rsidRDefault="00446933" w:rsidP="00446933">
            <w:pPr>
              <w:rPr>
                <w:rFonts w:ascii="Tw Cen MT" w:hAnsi="Tw Cen MT" w:cs="Times New Roman"/>
                <w:lang w:eastAsia="fr-FR"/>
              </w:rPr>
            </w:pPr>
          </w:p>
        </w:tc>
        <w:tc>
          <w:tcPr>
            <w:tcW w:w="1870" w:type="dxa"/>
            <w:tcBorders>
              <w:top w:val="nil"/>
              <w:left w:val="nil"/>
              <w:bottom w:val="nil"/>
              <w:right w:val="nil"/>
            </w:tcBorders>
            <w:shd w:val="clear" w:color="auto" w:fill="auto"/>
            <w:noWrap/>
            <w:hideMark/>
          </w:tcPr>
          <w:p w14:paraId="636D1CEE" w14:textId="77777777" w:rsidR="00446933" w:rsidRPr="00851ED2" w:rsidRDefault="00446933" w:rsidP="00446933">
            <w:pPr>
              <w:jc w:val="center"/>
              <w:rPr>
                <w:rFonts w:ascii="Tw Cen MT" w:hAnsi="Tw Cen MT" w:cs="Times New Roman"/>
                <w:lang w:eastAsia="fr-FR"/>
              </w:rPr>
            </w:pPr>
          </w:p>
        </w:tc>
        <w:tc>
          <w:tcPr>
            <w:tcW w:w="915" w:type="dxa"/>
            <w:tcBorders>
              <w:top w:val="nil"/>
              <w:left w:val="nil"/>
              <w:bottom w:val="nil"/>
              <w:right w:val="nil"/>
            </w:tcBorders>
            <w:shd w:val="clear" w:color="auto" w:fill="auto"/>
            <w:noWrap/>
            <w:hideMark/>
          </w:tcPr>
          <w:p w14:paraId="6BFBD264" w14:textId="77777777" w:rsidR="00446933" w:rsidRPr="00851ED2" w:rsidRDefault="00446933" w:rsidP="00446933">
            <w:pPr>
              <w:rPr>
                <w:rFonts w:ascii="Tw Cen MT" w:hAnsi="Tw Cen MT" w:cs="Times New Roman"/>
                <w:lang w:eastAsia="fr-FR"/>
              </w:rPr>
            </w:pPr>
          </w:p>
        </w:tc>
        <w:tc>
          <w:tcPr>
            <w:tcW w:w="1751" w:type="dxa"/>
            <w:tcBorders>
              <w:top w:val="nil"/>
              <w:left w:val="nil"/>
              <w:bottom w:val="nil"/>
              <w:right w:val="nil"/>
            </w:tcBorders>
            <w:shd w:val="clear" w:color="auto" w:fill="auto"/>
            <w:noWrap/>
            <w:hideMark/>
          </w:tcPr>
          <w:p w14:paraId="36C330CD" w14:textId="77777777" w:rsidR="00446933" w:rsidRPr="00851ED2" w:rsidRDefault="00446933" w:rsidP="00446933">
            <w:pPr>
              <w:rPr>
                <w:rFonts w:ascii="Tw Cen MT" w:hAnsi="Tw Cen MT" w:cs="Times New Roman"/>
                <w:lang w:eastAsia="fr-FR"/>
              </w:rPr>
            </w:pPr>
          </w:p>
        </w:tc>
        <w:tc>
          <w:tcPr>
            <w:tcW w:w="906" w:type="dxa"/>
            <w:tcBorders>
              <w:top w:val="nil"/>
              <w:left w:val="nil"/>
              <w:bottom w:val="nil"/>
              <w:right w:val="nil"/>
            </w:tcBorders>
            <w:shd w:val="clear" w:color="auto" w:fill="auto"/>
            <w:noWrap/>
            <w:hideMark/>
          </w:tcPr>
          <w:p w14:paraId="793406A8" w14:textId="77777777" w:rsidR="00446933" w:rsidRPr="00851ED2" w:rsidRDefault="00446933" w:rsidP="00446933">
            <w:pPr>
              <w:rPr>
                <w:rFonts w:ascii="Tw Cen MT" w:hAnsi="Tw Cen MT" w:cs="Times New Roman"/>
                <w:lang w:eastAsia="fr-FR"/>
              </w:rPr>
            </w:pPr>
          </w:p>
        </w:tc>
      </w:tr>
      <w:tr w:rsidR="00446933" w:rsidRPr="00851ED2" w14:paraId="0C8FC904" w14:textId="77777777" w:rsidTr="00851ED2">
        <w:trPr>
          <w:trHeight w:val="510"/>
        </w:trPr>
        <w:tc>
          <w:tcPr>
            <w:tcW w:w="2977" w:type="dxa"/>
            <w:tcBorders>
              <w:top w:val="nil"/>
              <w:left w:val="nil"/>
              <w:bottom w:val="nil"/>
              <w:right w:val="nil"/>
            </w:tcBorders>
            <w:shd w:val="clear" w:color="auto" w:fill="auto"/>
            <w:hideMark/>
          </w:tcPr>
          <w:p w14:paraId="2B036B59" w14:textId="29367D77" w:rsidR="00446933" w:rsidRPr="00446933" w:rsidRDefault="000A2474" w:rsidP="00446933">
            <w:pPr>
              <w:rPr>
                <w:rFonts w:ascii="Tw Cen MT" w:hAnsi="Tw Cen MT" w:cs="Calibri"/>
                <w:color w:val="000000"/>
                <w:lang w:eastAsia="fr-FR"/>
              </w:rPr>
            </w:pPr>
            <w:r>
              <w:rPr>
                <w:rFonts w:ascii="Tw Cen MT" w:hAnsi="Tw Cen MT" w:cs="Calibri"/>
                <w:color w:val="000000"/>
                <w:lang w:eastAsia="fr-FR"/>
              </w:rPr>
              <w:t>Société</w:t>
            </w:r>
            <w:r w:rsidRPr="00446933">
              <w:rPr>
                <w:rFonts w:ascii="Tw Cen MT" w:hAnsi="Tw Cen MT" w:cs="Calibri"/>
                <w:color w:val="000000"/>
                <w:lang w:eastAsia="fr-FR"/>
              </w:rPr>
              <w:t>s extractives</w:t>
            </w:r>
            <w:r w:rsidR="00446933" w:rsidRPr="00446933">
              <w:rPr>
                <w:rFonts w:ascii="Tw Cen MT" w:hAnsi="Tw Cen MT" w:cs="Calibri"/>
                <w:color w:val="000000"/>
                <w:lang w:eastAsia="fr-FR"/>
              </w:rPr>
              <w:t xml:space="preserve"> dont les paiements ont atteint le seuil de FCFA 100 Millions en 2019</w:t>
            </w:r>
          </w:p>
        </w:tc>
        <w:tc>
          <w:tcPr>
            <w:tcW w:w="993" w:type="dxa"/>
            <w:tcBorders>
              <w:top w:val="nil"/>
              <w:left w:val="nil"/>
              <w:bottom w:val="nil"/>
              <w:right w:val="nil"/>
            </w:tcBorders>
            <w:shd w:val="clear" w:color="auto" w:fill="auto"/>
            <w:noWrap/>
            <w:hideMark/>
          </w:tcPr>
          <w:p w14:paraId="3D39F2EC" w14:textId="77777777" w:rsidR="00446933" w:rsidRPr="00446933" w:rsidRDefault="00446933" w:rsidP="00446933">
            <w:pPr>
              <w:jc w:val="center"/>
              <w:rPr>
                <w:rFonts w:ascii="Tw Cen MT" w:hAnsi="Tw Cen MT" w:cs="Calibri"/>
                <w:color w:val="000000"/>
                <w:lang w:eastAsia="fr-FR"/>
              </w:rPr>
            </w:pPr>
            <w:r w:rsidRPr="00446933">
              <w:rPr>
                <w:rFonts w:ascii="Tw Cen MT" w:hAnsi="Tw Cen MT" w:cs="Calibri"/>
                <w:color w:val="000000"/>
                <w:lang w:eastAsia="fr-FR"/>
              </w:rPr>
              <w:t>2</w:t>
            </w:r>
          </w:p>
        </w:tc>
        <w:tc>
          <w:tcPr>
            <w:tcW w:w="1870" w:type="dxa"/>
            <w:tcBorders>
              <w:top w:val="nil"/>
              <w:left w:val="nil"/>
              <w:bottom w:val="nil"/>
              <w:right w:val="nil"/>
            </w:tcBorders>
            <w:shd w:val="clear" w:color="auto" w:fill="auto"/>
            <w:noWrap/>
            <w:hideMark/>
          </w:tcPr>
          <w:p w14:paraId="73292D69" w14:textId="77777777" w:rsidR="00446933" w:rsidRPr="00446933" w:rsidRDefault="00446933" w:rsidP="00446933">
            <w:pPr>
              <w:rPr>
                <w:rFonts w:ascii="Tw Cen MT" w:hAnsi="Tw Cen MT" w:cs="Calibri"/>
                <w:color w:val="000000"/>
                <w:lang w:eastAsia="fr-FR"/>
              </w:rPr>
            </w:pPr>
            <w:r w:rsidRPr="00446933">
              <w:rPr>
                <w:rFonts w:ascii="Tw Cen MT" w:hAnsi="Tw Cen MT" w:cs="Calibri"/>
                <w:color w:val="000000"/>
                <w:lang w:eastAsia="fr-FR"/>
              </w:rPr>
              <w:t xml:space="preserve">        6 145 231 690 </w:t>
            </w:r>
          </w:p>
        </w:tc>
        <w:tc>
          <w:tcPr>
            <w:tcW w:w="915" w:type="dxa"/>
            <w:tcBorders>
              <w:top w:val="nil"/>
              <w:left w:val="nil"/>
              <w:bottom w:val="nil"/>
              <w:right w:val="nil"/>
            </w:tcBorders>
            <w:shd w:val="clear" w:color="auto" w:fill="auto"/>
            <w:noWrap/>
            <w:hideMark/>
          </w:tcPr>
          <w:p w14:paraId="0DC001A5" w14:textId="77777777" w:rsidR="00446933" w:rsidRPr="00446933" w:rsidRDefault="00446933" w:rsidP="00446933">
            <w:pPr>
              <w:jc w:val="right"/>
              <w:rPr>
                <w:rFonts w:ascii="Tw Cen MT" w:hAnsi="Tw Cen MT" w:cs="Calibri"/>
                <w:color w:val="000000"/>
                <w:lang w:eastAsia="fr-FR"/>
              </w:rPr>
            </w:pPr>
            <w:r w:rsidRPr="00446933">
              <w:rPr>
                <w:rFonts w:ascii="Tw Cen MT" w:hAnsi="Tw Cen MT" w:cs="Calibri"/>
                <w:color w:val="000000"/>
                <w:lang w:eastAsia="fr-FR"/>
              </w:rPr>
              <w:t>1,79%</w:t>
            </w:r>
          </w:p>
        </w:tc>
        <w:tc>
          <w:tcPr>
            <w:tcW w:w="1751" w:type="dxa"/>
            <w:tcBorders>
              <w:top w:val="nil"/>
              <w:left w:val="nil"/>
              <w:bottom w:val="nil"/>
              <w:right w:val="nil"/>
            </w:tcBorders>
            <w:shd w:val="clear" w:color="auto" w:fill="auto"/>
            <w:noWrap/>
            <w:hideMark/>
          </w:tcPr>
          <w:p w14:paraId="1A0BCB05" w14:textId="77777777" w:rsidR="00446933" w:rsidRPr="00446933" w:rsidRDefault="00446933" w:rsidP="00446933">
            <w:pPr>
              <w:rPr>
                <w:rFonts w:ascii="Tw Cen MT" w:hAnsi="Tw Cen MT" w:cs="Calibri"/>
                <w:color w:val="000000"/>
                <w:lang w:eastAsia="fr-FR"/>
              </w:rPr>
            </w:pPr>
            <w:r w:rsidRPr="00446933">
              <w:rPr>
                <w:rFonts w:ascii="Tw Cen MT" w:hAnsi="Tw Cen MT" w:cs="Calibri"/>
                <w:color w:val="000000"/>
                <w:lang w:eastAsia="fr-FR"/>
              </w:rPr>
              <w:t xml:space="preserve"> </w:t>
            </w:r>
            <w:bookmarkStart w:id="58" w:name="_Hlk90915428"/>
            <w:r w:rsidRPr="00446933">
              <w:rPr>
                <w:rFonts w:ascii="Tw Cen MT" w:hAnsi="Tw Cen MT" w:cs="Calibri"/>
                <w:color w:val="000000"/>
                <w:lang w:eastAsia="fr-FR"/>
              </w:rPr>
              <w:t xml:space="preserve">341 690 359 501 </w:t>
            </w:r>
            <w:bookmarkEnd w:id="58"/>
          </w:p>
        </w:tc>
        <w:tc>
          <w:tcPr>
            <w:tcW w:w="906" w:type="dxa"/>
            <w:tcBorders>
              <w:top w:val="nil"/>
              <w:left w:val="nil"/>
              <w:bottom w:val="nil"/>
              <w:right w:val="nil"/>
            </w:tcBorders>
            <w:shd w:val="clear" w:color="auto" w:fill="auto"/>
            <w:noWrap/>
            <w:hideMark/>
          </w:tcPr>
          <w:p w14:paraId="51783B82" w14:textId="77777777" w:rsidR="00446933" w:rsidRPr="00446933" w:rsidRDefault="00446933" w:rsidP="00446933">
            <w:pPr>
              <w:jc w:val="right"/>
              <w:rPr>
                <w:rFonts w:ascii="Tw Cen MT" w:hAnsi="Tw Cen MT" w:cs="Calibri"/>
                <w:color w:val="000000"/>
                <w:lang w:eastAsia="fr-FR"/>
              </w:rPr>
            </w:pPr>
            <w:r w:rsidRPr="00446933">
              <w:rPr>
                <w:rFonts w:ascii="Tw Cen MT" w:hAnsi="Tw Cen MT" w:cs="Calibri"/>
                <w:color w:val="000000"/>
                <w:lang w:eastAsia="fr-FR"/>
              </w:rPr>
              <w:t>99,65%</w:t>
            </w:r>
          </w:p>
        </w:tc>
      </w:tr>
      <w:tr w:rsidR="00446933" w:rsidRPr="00851ED2" w14:paraId="4F4B44F9" w14:textId="77777777" w:rsidTr="001968BF">
        <w:trPr>
          <w:trHeight w:val="199"/>
        </w:trPr>
        <w:tc>
          <w:tcPr>
            <w:tcW w:w="2977" w:type="dxa"/>
            <w:tcBorders>
              <w:top w:val="nil"/>
              <w:left w:val="nil"/>
              <w:bottom w:val="nil"/>
              <w:right w:val="nil"/>
            </w:tcBorders>
            <w:shd w:val="clear" w:color="auto" w:fill="auto"/>
            <w:hideMark/>
          </w:tcPr>
          <w:p w14:paraId="031F4951" w14:textId="77777777" w:rsidR="00446933" w:rsidRPr="00446933" w:rsidRDefault="00446933" w:rsidP="00446933">
            <w:pPr>
              <w:jc w:val="right"/>
              <w:rPr>
                <w:rFonts w:ascii="Tw Cen MT" w:hAnsi="Tw Cen MT" w:cs="Calibri"/>
                <w:color w:val="000000"/>
                <w:lang w:eastAsia="fr-FR"/>
              </w:rPr>
            </w:pPr>
          </w:p>
        </w:tc>
        <w:tc>
          <w:tcPr>
            <w:tcW w:w="993" w:type="dxa"/>
            <w:tcBorders>
              <w:top w:val="nil"/>
              <w:left w:val="nil"/>
              <w:bottom w:val="nil"/>
              <w:right w:val="nil"/>
            </w:tcBorders>
            <w:shd w:val="clear" w:color="auto" w:fill="auto"/>
            <w:noWrap/>
            <w:hideMark/>
          </w:tcPr>
          <w:p w14:paraId="624C5801" w14:textId="77777777" w:rsidR="00446933" w:rsidRPr="00851ED2" w:rsidRDefault="00446933" w:rsidP="00446933">
            <w:pPr>
              <w:rPr>
                <w:rFonts w:ascii="Tw Cen MT" w:hAnsi="Tw Cen MT" w:cs="Times New Roman"/>
                <w:lang w:eastAsia="fr-FR"/>
              </w:rPr>
            </w:pPr>
          </w:p>
        </w:tc>
        <w:tc>
          <w:tcPr>
            <w:tcW w:w="1870" w:type="dxa"/>
            <w:tcBorders>
              <w:top w:val="nil"/>
              <w:left w:val="nil"/>
              <w:bottom w:val="nil"/>
              <w:right w:val="nil"/>
            </w:tcBorders>
            <w:shd w:val="clear" w:color="auto" w:fill="auto"/>
            <w:noWrap/>
            <w:hideMark/>
          </w:tcPr>
          <w:p w14:paraId="25D90552" w14:textId="77777777" w:rsidR="00446933" w:rsidRPr="00851ED2" w:rsidRDefault="00446933" w:rsidP="00446933">
            <w:pPr>
              <w:jc w:val="center"/>
              <w:rPr>
                <w:rFonts w:ascii="Tw Cen MT" w:hAnsi="Tw Cen MT" w:cs="Times New Roman"/>
                <w:lang w:eastAsia="fr-FR"/>
              </w:rPr>
            </w:pPr>
          </w:p>
        </w:tc>
        <w:tc>
          <w:tcPr>
            <w:tcW w:w="915" w:type="dxa"/>
            <w:tcBorders>
              <w:top w:val="nil"/>
              <w:left w:val="nil"/>
              <w:bottom w:val="nil"/>
              <w:right w:val="nil"/>
            </w:tcBorders>
            <w:shd w:val="clear" w:color="auto" w:fill="auto"/>
            <w:noWrap/>
            <w:hideMark/>
          </w:tcPr>
          <w:p w14:paraId="11ADD4F0" w14:textId="77777777" w:rsidR="00446933" w:rsidRPr="00851ED2" w:rsidRDefault="00446933" w:rsidP="00446933">
            <w:pPr>
              <w:rPr>
                <w:rFonts w:ascii="Tw Cen MT" w:hAnsi="Tw Cen MT" w:cs="Times New Roman"/>
                <w:lang w:eastAsia="fr-FR"/>
              </w:rPr>
            </w:pPr>
          </w:p>
        </w:tc>
        <w:tc>
          <w:tcPr>
            <w:tcW w:w="1751" w:type="dxa"/>
            <w:tcBorders>
              <w:top w:val="nil"/>
              <w:left w:val="nil"/>
              <w:bottom w:val="nil"/>
              <w:right w:val="nil"/>
            </w:tcBorders>
            <w:shd w:val="clear" w:color="auto" w:fill="auto"/>
            <w:noWrap/>
            <w:hideMark/>
          </w:tcPr>
          <w:p w14:paraId="54CEACDD" w14:textId="77777777" w:rsidR="00446933" w:rsidRPr="00851ED2" w:rsidRDefault="00446933" w:rsidP="00446933">
            <w:pPr>
              <w:rPr>
                <w:rFonts w:ascii="Tw Cen MT" w:hAnsi="Tw Cen MT" w:cs="Times New Roman"/>
                <w:lang w:eastAsia="fr-FR"/>
              </w:rPr>
            </w:pPr>
          </w:p>
        </w:tc>
        <w:tc>
          <w:tcPr>
            <w:tcW w:w="906" w:type="dxa"/>
            <w:tcBorders>
              <w:top w:val="nil"/>
              <w:left w:val="nil"/>
              <w:bottom w:val="nil"/>
              <w:right w:val="nil"/>
            </w:tcBorders>
            <w:shd w:val="clear" w:color="auto" w:fill="auto"/>
            <w:noWrap/>
            <w:hideMark/>
          </w:tcPr>
          <w:p w14:paraId="17CA8489" w14:textId="77777777" w:rsidR="00446933" w:rsidRPr="00851ED2" w:rsidRDefault="00446933" w:rsidP="00446933">
            <w:pPr>
              <w:rPr>
                <w:rFonts w:ascii="Tw Cen MT" w:hAnsi="Tw Cen MT" w:cs="Times New Roman"/>
                <w:lang w:eastAsia="fr-FR"/>
              </w:rPr>
            </w:pPr>
          </w:p>
        </w:tc>
      </w:tr>
      <w:tr w:rsidR="00446933" w:rsidRPr="00851ED2" w14:paraId="3506AB8C" w14:textId="77777777" w:rsidTr="00851ED2">
        <w:trPr>
          <w:trHeight w:val="510"/>
        </w:trPr>
        <w:tc>
          <w:tcPr>
            <w:tcW w:w="2977" w:type="dxa"/>
            <w:tcBorders>
              <w:top w:val="nil"/>
              <w:left w:val="nil"/>
              <w:bottom w:val="nil"/>
              <w:right w:val="nil"/>
            </w:tcBorders>
            <w:shd w:val="clear" w:color="auto" w:fill="auto"/>
            <w:hideMark/>
          </w:tcPr>
          <w:p w14:paraId="15A1F00F" w14:textId="0B3A6918" w:rsidR="00446933" w:rsidRPr="00446933" w:rsidRDefault="000A2474" w:rsidP="00446933">
            <w:pPr>
              <w:rPr>
                <w:rFonts w:ascii="Tw Cen MT" w:hAnsi="Tw Cen MT" w:cs="Calibri"/>
                <w:color w:val="000000"/>
                <w:lang w:eastAsia="fr-FR"/>
              </w:rPr>
            </w:pPr>
            <w:r>
              <w:rPr>
                <w:rFonts w:ascii="Tw Cen MT" w:hAnsi="Tw Cen MT" w:cs="Calibri"/>
                <w:color w:val="000000"/>
                <w:lang w:eastAsia="fr-FR"/>
              </w:rPr>
              <w:t>Sociétés</w:t>
            </w:r>
            <w:r w:rsidR="00446933" w:rsidRPr="00446933">
              <w:rPr>
                <w:rFonts w:ascii="Tw Cen MT" w:hAnsi="Tw Cen MT" w:cs="Calibri"/>
                <w:color w:val="000000"/>
                <w:lang w:eastAsia="fr-FR"/>
              </w:rPr>
              <w:t xml:space="preserve"> extractives dont les paiements sont inférieurs au seuil de FCFA 100 Millions en 2019</w:t>
            </w:r>
          </w:p>
        </w:tc>
        <w:tc>
          <w:tcPr>
            <w:tcW w:w="993" w:type="dxa"/>
            <w:tcBorders>
              <w:top w:val="nil"/>
              <w:left w:val="nil"/>
              <w:bottom w:val="nil"/>
              <w:right w:val="nil"/>
            </w:tcBorders>
            <w:shd w:val="clear" w:color="auto" w:fill="auto"/>
            <w:noWrap/>
            <w:hideMark/>
          </w:tcPr>
          <w:p w14:paraId="00831CA3" w14:textId="77777777" w:rsidR="00446933" w:rsidRPr="00446933" w:rsidRDefault="00446933" w:rsidP="00446933">
            <w:pPr>
              <w:jc w:val="center"/>
              <w:rPr>
                <w:rFonts w:ascii="Tw Cen MT" w:hAnsi="Tw Cen MT" w:cs="Calibri"/>
                <w:color w:val="000000"/>
                <w:lang w:eastAsia="fr-FR"/>
              </w:rPr>
            </w:pPr>
            <w:r w:rsidRPr="00446933">
              <w:rPr>
                <w:rFonts w:ascii="Tw Cen MT" w:hAnsi="Tw Cen MT" w:cs="Calibri"/>
                <w:color w:val="000000"/>
                <w:lang w:eastAsia="fr-FR"/>
              </w:rPr>
              <w:t>172</w:t>
            </w:r>
          </w:p>
        </w:tc>
        <w:tc>
          <w:tcPr>
            <w:tcW w:w="1870" w:type="dxa"/>
            <w:tcBorders>
              <w:top w:val="nil"/>
              <w:left w:val="nil"/>
              <w:bottom w:val="nil"/>
              <w:right w:val="nil"/>
            </w:tcBorders>
            <w:shd w:val="clear" w:color="auto" w:fill="auto"/>
            <w:noWrap/>
            <w:hideMark/>
          </w:tcPr>
          <w:p w14:paraId="40EE3AA2" w14:textId="77777777" w:rsidR="00446933" w:rsidRPr="00446933" w:rsidRDefault="00446933" w:rsidP="00446933">
            <w:pPr>
              <w:rPr>
                <w:rFonts w:ascii="Tw Cen MT" w:hAnsi="Tw Cen MT" w:cs="Calibri"/>
                <w:color w:val="000000"/>
                <w:lang w:eastAsia="fr-FR"/>
              </w:rPr>
            </w:pPr>
            <w:r w:rsidRPr="00446933">
              <w:rPr>
                <w:rFonts w:ascii="Tw Cen MT" w:hAnsi="Tw Cen MT" w:cs="Calibri"/>
                <w:color w:val="000000"/>
                <w:lang w:eastAsia="fr-FR"/>
              </w:rPr>
              <w:t xml:space="preserve">        1 186 186 033 </w:t>
            </w:r>
          </w:p>
        </w:tc>
        <w:tc>
          <w:tcPr>
            <w:tcW w:w="915" w:type="dxa"/>
            <w:tcBorders>
              <w:top w:val="nil"/>
              <w:left w:val="nil"/>
              <w:bottom w:val="nil"/>
              <w:right w:val="nil"/>
            </w:tcBorders>
            <w:shd w:val="clear" w:color="auto" w:fill="auto"/>
            <w:noWrap/>
            <w:hideMark/>
          </w:tcPr>
          <w:p w14:paraId="0E4C3325" w14:textId="77777777" w:rsidR="00446933" w:rsidRPr="00446933" w:rsidRDefault="00446933" w:rsidP="00446933">
            <w:pPr>
              <w:jc w:val="right"/>
              <w:rPr>
                <w:rFonts w:ascii="Tw Cen MT" w:hAnsi="Tw Cen MT" w:cs="Calibri"/>
                <w:color w:val="000000"/>
                <w:lang w:eastAsia="fr-FR"/>
              </w:rPr>
            </w:pPr>
            <w:r w:rsidRPr="00446933">
              <w:rPr>
                <w:rFonts w:ascii="Tw Cen MT" w:hAnsi="Tw Cen MT" w:cs="Calibri"/>
                <w:color w:val="000000"/>
                <w:lang w:eastAsia="fr-FR"/>
              </w:rPr>
              <w:t>0,35%</w:t>
            </w:r>
          </w:p>
        </w:tc>
        <w:tc>
          <w:tcPr>
            <w:tcW w:w="1751" w:type="dxa"/>
            <w:tcBorders>
              <w:top w:val="nil"/>
              <w:left w:val="nil"/>
              <w:bottom w:val="nil"/>
              <w:right w:val="nil"/>
            </w:tcBorders>
            <w:shd w:val="clear" w:color="auto" w:fill="auto"/>
            <w:noWrap/>
            <w:hideMark/>
          </w:tcPr>
          <w:p w14:paraId="1C52CCAA" w14:textId="77777777" w:rsidR="00446933" w:rsidRPr="00446933" w:rsidRDefault="00446933" w:rsidP="00446933">
            <w:pPr>
              <w:rPr>
                <w:rFonts w:ascii="Tw Cen MT" w:hAnsi="Tw Cen MT" w:cs="Calibri"/>
                <w:color w:val="000000"/>
                <w:lang w:eastAsia="fr-FR"/>
              </w:rPr>
            </w:pPr>
            <w:r w:rsidRPr="00446933">
              <w:rPr>
                <w:rFonts w:ascii="Tw Cen MT" w:hAnsi="Tw Cen MT" w:cs="Calibri"/>
                <w:color w:val="000000"/>
                <w:lang w:eastAsia="fr-FR"/>
              </w:rPr>
              <w:t xml:space="preserve"> 342 876 545 534 </w:t>
            </w:r>
          </w:p>
        </w:tc>
        <w:tc>
          <w:tcPr>
            <w:tcW w:w="906" w:type="dxa"/>
            <w:tcBorders>
              <w:top w:val="nil"/>
              <w:left w:val="nil"/>
              <w:bottom w:val="nil"/>
              <w:right w:val="nil"/>
            </w:tcBorders>
            <w:shd w:val="clear" w:color="auto" w:fill="auto"/>
            <w:noWrap/>
            <w:hideMark/>
          </w:tcPr>
          <w:p w14:paraId="2F824E68" w14:textId="77777777" w:rsidR="00446933" w:rsidRPr="00446933" w:rsidRDefault="00446933" w:rsidP="00446933">
            <w:pPr>
              <w:jc w:val="right"/>
              <w:rPr>
                <w:rFonts w:ascii="Tw Cen MT" w:hAnsi="Tw Cen MT" w:cs="Calibri"/>
                <w:color w:val="000000"/>
                <w:lang w:eastAsia="fr-FR"/>
              </w:rPr>
            </w:pPr>
            <w:r w:rsidRPr="00446933">
              <w:rPr>
                <w:rFonts w:ascii="Tw Cen MT" w:hAnsi="Tw Cen MT" w:cs="Calibri"/>
                <w:color w:val="000000"/>
                <w:lang w:eastAsia="fr-FR"/>
              </w:rPr>
              <w:t>100,00%</w:t>
            </w:r>
          </w:p>
        </w:tc>
      </w:tr>
      <w:tr w:rsidR="00446933" w:rsidRPr="00851ED2" w14:paraId="07AB6336" w14:textId="77777777" w:rsidTr="001968BF">
        <w:trPr>
          <w:trHeight w:val="198"/>
        </w:trPr>
        <w:tc>
          <w:tcPr>
            <w:tcW w:w="2977" w:type="dxa"/>
            <w:tcBorders>
              <w:top w:val="nil"/>
              <w:left w:val="nil"/>
              <w:bottom w:val="nil"/>
              <w:right w:val="nil"/>
            </w:tcBorders>
            <w:shd w:val="clear" w:color="auto" w:fill="auto"/>
            <w:vAlign w:val="bottom"/>
            <w:hideMark/>
          </w:tcPr>
          <w:p w14:paraId="5BEFE370" w14:textId="77777777" w:rsidR="00446933" w:rsidRPr="00446933" w:rsidRDefault="00446933" w:rsidP="00446933">
            <w:pPr>
              <w:jc w:val="right"/>
              <w:rPr>
                <w:rFonts w:ascii="Tw Cen MT" w:hAnsi="Tw Cen MT" w:cs="Calibri"/>
                <w:color w:val="000000"/>
                <w:lang w:eastAsia="fr-FR"/>
              </w:rPr>
            </w:pPr>
          </w:p>
        </w:tc>
        <w:tc>
          <w:tcPr>
            <w:tcW w:w="993" w:type="dxa"/>
            <w:tcBorders>
              <w:top w:val="nil"/>
              <w:left w:val="nil"/>
              <w:bottom w:val="nil"/>
              <w:right w:val="nil"/>
            </w:tcBorders>
            <w:shd w:val="clear" w:color="auto" w:fill="auto"/>
            <w:noWrap/>
            <w:vAlign w:val="bottom"/>
            <w:hideMark/>
          </w:tcPr>
          <w:p w14:paraId="1CF527C4" w14:textId="77777777" w:rsidR="00446933" w:rsidRPr="00851ED2" w:rsidRDefault="00446933" w:rsidP="00446933">
            <w:pPr>
              <w:rPr>
                <w:rFonts w:ascii="Tw Cen MT" w:hAnsi="Tw Cen MT" w:cs="Times New Roman"/>
                <w:lang w:eastAsia="fr-FR"/>
              </w:rPr>
            </w:pPr>
          </w:p>
        </w:tc>
        <w:tc>
          <w:tcPr>
            <w:tcW w:w="1870" w:type="dxa"/>
            <w:tcBorders>
              <w:top w:val="nil"/>
              <w:left w:val="nil"/>
              <w:bottom w:val="nil"/>
              <w:right w:val="nil"/>
            </w:tcBorders>
            <w:shd w:val="clear" w:color="auto" w:fill="auto"/>
            <w:noWrap/>
            <w:vAlign w:val="bottom"/>
            <w:hideMark/>
          </w:tcPr>
          <w:p w14:paraId="04034926" w14:textId="77777777" w:rsidR="00446933" w:rsidRPr="00851ED2" w:rsidRDefault="00446933" w:rsidP="00446933">
            <w:pPr>
              <w:jc w:val="center"/>
              <w:rPr>
                <w:rFonts w:ascii="Tw Cen MT" w:hAnsi="Tw Cen MT" w:cs="Times New Roman"/>
                <w:lang w:eastAsia="fr-FR"/>
              </w:rPr>
            </w:pPr>
          </w:p>
        </w:tc>
        <w:tc>
          <w:tcPr>
            <w:tcW w:w="915" w:type="dxa"/>
            <w:tcBorders>
              <w:top w:val="nil"/>
              <w:left w:val="nil"/>
              <w:bottom w:val="nil"/>
              <w:right w:val="nil"/>
            </w:tcBorders>
            <w:shd w:val="clear" w:color="auto" w:fill="auto"/>
            <w:noWrap/>
            <w:vAlign w:val="bottom"/>
            <w:hideMark/>
          </w:tcPr>
          <w:p w14:paraId="0D19DA19" w14:textId="77777777" w:rsidR="00446933" w:rsidRPr="00851ED2" w:rsidRDefault="00446933" w:rsidP="00446933">
            <w:pPr>
              <w:rPr>
                <w:rFonts w:ascii="Tw Cen MT" w:hAnsi="Tw Cen MT" w:cs="Times New Roman"/>
                <w:lang w:eastAsia="fr-FR"/>
              </w:rPr>
            </w:pPr>
          </w:p>
        </w:tc>
        <w:tc>
          <w:tcPr>
            <w:tcW w:w="1751" w:type="dxa"/>
            <w:tcBorders>
              <w:top w:val="nil"/>
              <w:left w:val="nil"/>
              <w:bottom w:val="nil"/>
              <w:right w:val="nil"/>
            </w:tcBorders>
            <w:shd w:val="clear" w:color="auto" w:fill="auto"/>
            <w:noWrap/>
            <w:vAlign w:val="bottom"/>
            <w:hideMark/>
          </w:tcPr>
          <w:p w14:paraId="33D0B9C3" w14:textId="77777777" w:rsidR="00446933" w:rsidRPr="00851ED2" w:rsidRDefault="00446933" w:rsidP="00446933">
            <w:pPr>
              <w:rPr>
                <w:rFonts w:ascii="Tw Cen MT" w:hAnsi="Tw Cen MT" w:cs="Times New Roman"/>
                <w:lang w:eastAsia="fr-FR"/>
              </w:rPr>
            </w:pPr>
          </w:p>
        </w:tc>
        <w:tc>
          <w:tcPr>
            <w:tcW w:w="906" w:type="dxa"/>
            <w:tcBorders>
              <w:top w:val="nil"/>
              <w:left w:val="nil"/>
              <w:bottom w:val="nil"/>
              <w:right w:val="nil"/>
            </w:tcBorders>
            <w:shd w:val="clear" w:color="auto" w:fill="auto"/>
            <w:noWrap/>
            <w:vAlign w:val="bottom"/>
            <w:hideMark/>
          </w:tcPr>
          <w:p w14:paraId="69734F05" w14:textId="77777777" w:rsidR="00446933" w:rsidRPr="00851ED2" w:rsidRDefault="00446933" w:rsidP="00446933">
            <w:pPr>
              <w:rPr>
                <w:rFonts w:ascii="Tw Cen MT" w:hAnsi="Tw Cen MT" w:cs="Times New Roman"/>
                <w:lang w:eastAsia="fr-FR"/>
              </w:rPr>
            </w:pPr>
          </w:p>
        </w:tc>
      </w:tr>
      <w:tr w:rsidR="00446933" w:rsidRPr="00851ED2" w14:paraId="585FF13E" w14:textId="77777777" w:rsidTr="00851ED2">
        <w:trPr>
          <w:trHeight w:val="255"/>
        </w:trPr>
        <w:tc>
          <w:tcPr>
            <w:tcW w:w="2977" w:type="dxa"/>
            <w:tcBorders>
              <w:top w:val="nil"/>
              <w:left w:val="nil"/>
              <w:bottom w:val="nil"/>
              <w:right w:val="nil"/>
            </w:tcBorders>
            <w:shd w:val="clear" w:color="000000" w:fill="00B0F0"/>
            <w:noWrap/>
            <w:vAlign w:val="bottom"/>
            <w:hideMark/>
          </w:tcPr>
          <w:p w14:paraId="5509D3C6" w14:textId="3EDE10CC"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Total sociétés extractives</w:t>
            </w:r>
          </w:p>
        </w:tc>
        <w:tc>
          <w:tcPr>
            <w:tcW w:w="993" w:type="dxa"/>
            <w:tcBorders>
              <w:top w:val="nil"/>
              <w:left w:val="nil"/>
              <w:bottom w:val="nil"/>
              <w:right w:val="nil"/>
            </w:tcBorders>
            <w:shd w:val="clear" w:color="000000" w:fill="00B0F0"/>
            <w:noWrap/>
            <w:vAlign w:val="bottom"/>
            <w:hideMark/>
          </w:tcPr>
          <w:p w14:paraId="750E45DE" w14:textId="77777777"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198</w:t>
            </w:r>
          </w:p>
        </w:tc>
        <w:tc>
          <w:tcPr>
            <w:tcW w:w="1870" w:type="dxa"/>
            <w:tcBorders>
              <w:top w:val="nil"/>
              <w:left w:val="nil"/>
              <w:bottom w:val="nil"/>
              <w:right w:val="nil"/>
            </w:tcBorders>
            <w:shd w:val="clear" w:color="000000" w:fill="00B0F0"/>
            <w:noWrap/>
            <w:vAlign w:val="bottom"/>
            <w:hideMark/>
          </w:tcPr>
          <w:p w14:paraId="3F9B47EA" w14:textId="27DCCFAF"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 xml:space="preserve">    342 876 545 534 </w:t>
            </w:r>
          </w:p>
        </w:tc>
        <w:tc>
          <w:tcPr>
            <w:tcW w:w="915" w:type="dxa"/>
            <w:tcBorders>
              <w:top w:val="nil"/>
              <w:left w:val="nil"/>
              <w:bottom w:val="nil"/>
              <w:right w:val="nil"/>
            </w:tcBorders>
            <w:shd w:val="clear" w:color="000000" w:fill="00B0F0"/>
            <w:noWrap/>
            <w:vAlign w:val="bottom"/>
            <w:hideMark/>
          </w:tcPr>
          <w:p w14:paraId="4322B5FF" w14:textId="649BE6B7"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100%</w:t>
            </w:r>
          </w:p>
        </w:tc>
        <w:tc>
          <w:tcPr>
            <w:tcW w:w="1751" w:type="dxa"/>
            <w:tcBorders>
              <w:top w:val="nil"/>
              <w:left w:val="nil"/>
              <w:bottom w:val="nil"/>
              <w:right w:val="nil"/>
            </w:tcBorders>
            <w:shd w:val="clear" w:color="000000" w:fill="00B0F0"/>
            <w:noWrap/>
            <w:vAlign w:val="bottom"/>
            <w:hideMark/>
          </w:tcPr>
          <w:p w14:paraId="25ACD73F" w14:textId="77777777"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 </w:t>
            </w:r>
          </w:p>
        </w:tc>
        <w:tc>
          <w:tcPr>
            <w:tcW w:w="906" w:type="dxa"/>
            <w:tcBorders>
              <w:top w:val="nil"/>
              <w:left w:val="nil"/>
              <w:bottom w:val="nil"/>
              <w:right w:val="nil"/>
            </w:tcBorders>
            <w:shd w:val="clear" w:color="000000" w:fill="00B0F0"/>
            <w:noWrap/>
            <w:vAlign w:val="bottom"/>
            <w:hideMark/>
          </w:tcPr>
          <w:p w14:paraId="72CA5D08" w14:textId="77777777"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 </w:t>
            </w:r>
          </w:p>
        </w:tc>
      </w:tr>
      <w:tr w:rsidR="00446933" w:rsidRPr="00851ED2" w14:paraId="4226BCE6" w14:textId="77777777" w:rsidTr="00851ED2">
        <w:trPr>
          <w:trHeight w:val="167"/>
        </w:trPr>
        <w:tc>
          <w:tcPr>
            <w:tcW w:w="2977" w:type="dxa"/>
            <w:tcBorders>
              <w:top w:val="nil"/>
              <w:left w:val="nil"/>
              <w:bottom w:val="nil"/>
              <w:right w:val="nil"/>
            </w:tcBorders>
            <w:shd w:val="clear" w:color="auto" w:fill="auto"/>
            <w:noWrap/>
            <w:vAlign w:val="bottom"/>
            <w:hideMark/>
          </w:tcPr>
          <w:p w14:paraId="73B6C2BE" w14:textId="77777777" w:rsidR="00446933" w:rsidRPr="00446933" w:rsidRDefault="00446933" w:rsidP="00446933">
            <w:pPr>
              <w:jc w:val="center"/>
              <w:rPr>
                <w:rFonts w:ascii="Tw Cen MT" w:hAnsi="Tw Cen MT" w:cs="Calibri"/>
                <w:b/>
                <w:bCs/>
                <w:color w:val="FFFFFF"/>
                <w:lang w:eastAsia="fr-FR"/>
              </w:rPr>
            </w:pPr>
          </w:p>
        </w:tc>
        <w:tc>
          <w:tcPr>
            <w:tcW w:w="993" w:type="dxa"/>
            <w:tcBorders>
              <w:top w:val="nil"/>
              <w:left w:val="nil"/>
              <w:bottom w:val="nil"/>
              <w:right w:val="nil"/>
            </w:tcBorders>
            <w:shd w:val="clear" w:color="auto" w:fill="auto"/>
            <w:noWrap/>
            <w:vAlign w:val="bottom"/>
            <w:hideMark/>
          </w:tcPr>
          <w:p w14:paraId="4559F074" w14:textId="77777777" w:rsidR="00446933" w:rsidRPr="00851ED2" w:rsidRDefault="00446933" w:rsidP="00446933">
            <w:pPr>
              <w:rPr>
                <w:rFonts w:ascii="Tw Cen MT" w:hAnsi="Tw Cen MT" w:cs="Times New Roman"/>
                <w:lang w:eastAsia="fr-FR"/>
              </w:rPr>
            </w:pPr>
          </w:p>
        </w:tc>
        <w:tc>
          <w:tcPr>
            <w:tcW w:w="1870" w:type="dxa"/>
            <w:tcBorders>
              <w:top w:val="nil"/>
              <w:left w:val="nil"/>
              <w:bottom w:val="nil"/>
              <w:right w:val="nil"/>
            </w:tcBorders>
            <w:shd w:val="clear" w:color="auto" w:fill="auto"/>
            <w:noWrap/>
            <w:vAlign w:val="bottom"/>
            <w:hideMark/>
          </w:tcPr>
          <w:p w14:paraId="266A6EAE" w14:textId="77777777" w:rsidR="00446933" w:rsidRPr="00851ED2" w:rsidRDefault="00446933" w:rsidP="00446933">
            <w:pPr>
              <w:jc w:val="center"/>
              <w:rPr>
                <w:rFonts w:ascii="Tw Cen MT" w:hAnsi="Tw Cen MT" w:cs="Times New Roman"/>
                <w:lang w:eastAsia="fr-FR"/>
              </w:rPr>
            </w:pPr>
          </w:p>
        </w:tc>
        <w:tc>
          <w:tcPr>
            <w:tcW w:w="915" w:type="dxa"/>
            <w:tcBorders>
              <w:top w:val="nil"/>
              <w:left w:val="nil"/>
              <w:bottom w:val="nil"/>
              <w:right w:val="nil"/>
            </w:tcBorders>
            <w:shd w:val="clear" w:color="auto" w:fill="auto"/>
            <w:noWrap/>
            <w:vAlign w:val="bottom"/>
            <w:hideMark/>
          </w:tcPr>
          <w:p w14:paraId="5C24C933" w14:textId="77777777" w:rsidR="00446933" w:rsidRPr="00851ED2" w:rsidRDefault="00446933" w:rsidP="00446933">
            <w:pPr>
              <w:rPr>
                <w:rFonts w:ascii="Tw Cen MT" w:hAnsi="Tw Cen MT" w:cs="Times New Roman"/>
                <w:lang w:eastAsia="fr-FR"/>
              </w:rPr>
            </w:pPr>
          </w:p>
        </w:tc>
        <w:tc>
          <w:tcPr>
            <w:tcW w:w="1751" w:type="dxa"/>
            <w:tcBorders>
              <w:top w:val="nil"/>
              <w:left w:val="nil"/>
              <w:bottom w:val="nil"/>
              <w:right w:val="nil"/>
            </w:tcBorders>
            <w:shd w:val="clear" w:color="auto" w:fill="auto"/>
            <w:noWrap/>
            <w:vAlign w:val="bottom"/>
            <w:hideMark/>
          </w:tcPr>
          <w:p w14:paraId="0A478804" w14:textId="77777777" w:rsidR="00446933" w:rsidRPr="00851ED2" w:rsidRDefault="00446933" w:rsidP="00446933">
            <w:pPr>
              <w:rPr>
                <w:rFonts w:ascii="Tw Cen MT" w:hAnsi="Tw Cen MT" w:cs="Times New Roman"/>
                <w:lang w:eastAsia="fr-FR"/>
              </w:rPr>
            </w:pPr>
          </w:p>
        </w:tc>
        <w:tc>
          <w:tcPr>
            <w:tcW w:w="906" w:type="dxa"/>
            <w:tcBorders>
              <w:top w:val="nil"/>
              <w:left w:val="nil"/>
              <w:bottom w:val="nil"/>
              <w:right w:val="nil"/>
            </w:tcBorders>
            <w:shd w:val="clear" w:color="auto" w:fill="auto"/>
            <w:noWrap/>
            <w:vAlign w:val="bottom"/>
            <w:hideMark/>
          </w:tcPr>
          <w:p w14:paraId="7539B6CD" w14:textId="77777777" w:rsidR="00446933" w:rsidRPr="00851ED2" w:rsidRDefault="00446933" w:rsidP="00446933">
            <w:pPr>
              <w:rPr>
                <w:rFonts w:ascii="Tw Cen MT" w:hAnsi="Tw Cen MT" w:cs="Times New Roman"/>
                <w:lang w:eastAsia="fr-FR"/>
              </w:rPr>
            </w:pPr>
          </w:p>
        </w:tc>
      </w:tr>
      <w:tr w:rsidR="00446933" w:rsidRPr="00851ED2" w14:paraId="6CE38F34" w14:textId="77777777" w:rsidTr="00A255CD">
        <w:trPr>
          <w:trHeight w:val="136"/>
        </w:trPr>
        <w:tc>
          <w:tcPr>
            <w:tcW w:w="2977" w:type="dxa"/>
            <w:tcBorders>
              <w:top w:val="nil"/>
              <w:left w:val="nil"/>
              <w:bottom w:val="nil"/>
              <w:right w:val="nil"/>
            </w:tcBorders>
            <w:shd w:val="clear" w:color="000000" w:fill="00B0F0"/>
            <w:noWrap/>
            <w:vAlign w:val="bottom"/>
            <w:hideMark/>
          </w:tcPr>
          <w:p w14:paraId="6329A915" w14:textId="2BDDF59D"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Sous-traitants</w:t>
            </w:r>
          </w:p>
        </w:tc>
        <w:tc>
          <w:tcPr>
            <w:tcW w:w="993" w:type="dxa"/>
            <w:tcBorders>
              <w:top w:val="nil"/>
              <w:left w:val="nil"/>
              <w:bottom w:val="nil"/>
              <w:right w:val="nil"/>
            </w:tcBorders>
            <w:shd w:val="clear" w:color="000000" w:fill="00B0F0"/>
            <w:noWrap/>
            <w:vAlign w:val="bottom"/>
            <w:hideMark/>
          </w:tcPr>
          <w:p w14:paraId="50486930" w14:textId="77777777"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33</w:t>
            </w:r>
          </w:p>
        </w:tc>
        <w:tc>
          <w:tcPr>
            <w:tcW w:w="1870" w:type="dxa"/>
            <w:tcBorders>
              <w:top w:val="nil"/>
              <w:left w:val="nil"/>
              <w:bottom w:val="nil"/>
              <w:right w:val="nil"/>
            </w:tcBorders>
            <w:shd w:val="clear" w:color="000000" w:fill="00B0F0"/>
            <w:noWrap/>
            <w:vAlign w:val="bottom"/>
            <w:hideMark/>
          </w:tcPr>
          <w:p w14:paraId="04F8391F" w14:textId="7953FC7B" w:rsidR="00446933" w:rsidRPr="00446933" w:rsidRDefault="00446933" w:rsidP="00851ED2">
            <w:pPr>
              <w:jc w:val="right"/>
              <w:rPr>
                <w:rFonts w:ascii="Tw Cen MT" w:hAnsi="Tw Cen MT" w:cs="Calibri"/>
                <w:b/>
                <w:bCs/>
                <w:color w:val="FFFFFF"/>
                <w:lang w:eastAsia="fr-FR"/>
              </w:rPr>
            </w:pPr>
            <w:r w:rsidRPr="00446933">
              <w:rPr>
                <w:rFonts w:ascii="Tw Cen MT" w:hAnsi="Tw Cen MT" w:cs="Calibri"/>
                <w:b/>
                <w:bCs/>
                <w:color w:val="FFFFFF"/>
                <w:lang w:eastAsia="fr-FR"/>
              </w:rPr>
              <w:t>47 750 068 106</w:t>
            </w:r>
          </w:p>
        </w:tc>
        <w:tc>
          <w:tcPr>
            <w:tcW w:w="915" w:type="dxa"/>
            <w:tcBorders>
              <w:top w:val="nil"/>
              <w:left w:val="nil"/>
              <w:bottom w:val="nil"/>
              <w:right w:val="nil"/>
            </w:tcBorders>
            <w:shd w:val="clear" w:color="000000" w:fill="00B0F0"/>
            <w:noWrap/>
            <w:vAlign w:val="bottom"/>
            <w:hideMark/>
          </w:tcPr>
          <w:p w14:paraId="41B41634" w14:textId="77777777"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 </w:t>
            </w:r>
          </w:p>
        </w:tc>
        <w:tc>
          <w:tcPr>
            <w:tcW w:w="1751" w:type="dxa"/>
            <w:tcBorders>
              <w:top w:val="nil"/>
              <w:left w:val="nil"/>
              <w:bottom w:val="nil"/>
              <w:right w:val="nil"/>
            </w:tcBorders>
            <w:shd w:val="clear" w:color="000000" w:fill="00B0F0"/>
            <w:noWrap/>
            <w:vAlign w:val="bottom"/>
            <w:hideMark/>
          </w:tcPr>
          <w:p w14:paraId="34C4AEB8" w14:textId="77777777"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 </w:t>
            </w:r>
          </w:p>
        </w:tc>
        <w:tc>
          <w:tcPr>
            <w:tcW w:w="906" w:type="dxa"/>
            <w:tcBorders>
              <w:top w:val="nil"/>
              <w:left w:val="nil"/>
              <w:bottom w:val="nil"/>
              <w:right w:val="nil"/>
            </w:tcBorders>
            <w:shd w:val="clear" w:color="000000" w:fill="00B0F0"/>
            <w:noWrap/>
            <w:vAlign w:val="bottom"/>
            <w:hideMark/>
          </w:tcPr>
          <w:p w14:paraId="786F9CE9" w14:textId="77777777"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 </w:t>
            </w:r>
          </w:p>
        </w:tc>
      </w:tr>
      <w:tr w:rsidR="00446933" w:rsidRPr="00851ED2" w14:paraId="1385787C" w14:textId="77777777" w:rsidTr="00851ED2">
        <w:trPr>
          <w:trHeight w:val="130"/>
        </w:trPr>
        <w:tc>
          <w:tcPr>
            <w:tcW w:w="2977" w:type="dxa"/>
            <w:tcBorders>
              <w:top w:val="nil"/>
              <w:left w:val="nil"/>
              <w:bottom w:val="nil"/>
              <w:right w:val="nil"/>
            </w:tcBorders>
            <w:shd w:val="clear" w:color="auto" w:fill="auto"/>
            <w:noWrap/>
            <w:vAlign w:val="bottom"/>
            <w:hideMark/>
          </w:tcPr>
          <w:p w14:paraId="70F9A1C4" w14:textId="77777777" w:rsidR="00446933" w:rsidRPr="00446933" w:rsidRDefault="00446933" w:rsidP="00446933">
            <w:pPr>
              <w:jc w:val="center"/>
              <w:rPr>
                <w:rFonts w:ascii="Tw Cen MT" w:hAnsi="Tw Cen MT" w:cs="Calibri"/>
                <w:b/>
                <w:bCs/>
                <w:color w:val="FFFFFF"/>
                <w:lang w:eastAsia="fr-FR"/>
              </w:rPr>
            </w:pPr>
          </w:p>
        </w:tc>
        <w:tc>
          <w:tcPr>
            <w:tcW w:w="993" w:type="dxa"/>
            <w:tcBorders>
              <w:top w:val="nil"/>
              <w:left w:val="nil"/>
              <w:bottom w:val="nil"/>
              <w:right w:val="nil"/>
            </w:tcBorders>
            <w:shd w:val="clear" w:color="auto" w:fill="auto"/>
            <w:noWrap/>
            <w:vAlign w:val="bottom"/>
            <w:hideMark/>
          </w:tcPr>
          <w:p w14:paraId="33BFE15A" w14:textId="77777777" w:rsidR="00446933" w:rsidRPr="00851ED2" w:rsidRDefault="00446933" w:rsidP="00446933">
            <w:pPr>
              <w:rPr>
                <w:rFonts w:ascii="Tw Cen MT" w:hAnsi="Tw Cen MT" w:cs="Times New Roman"/>
                <w:lang w:eastAsia="fr-FR"/>
              </w:rPr>
            </w:pPr>
          </w:p>
        </w:tc>
        <w:tc>
          <w:tcPr>
            <w:tcW w:w="1870" w:type="dxa"/>
            <w:tcBorders>
              <w:top w:val="nil"/>
              <w:left w:val="nil"/>
              <w:bottom w:val="nil"/>
              <w:right w:val="nil"/>
            </w:tcBorders>
            <w:shd w:val="clear" w:color="auto" w:fill="auto"/>
            <w:noWrap/>
            <w:vAlign w:val="bottom"/>
            <w:hideMark/>
          </w:tcPr>
          <w:p w14:paraId="63350AFE" w14:textId="77777777" w:rsidR="00446933" w:rsidRPr="00851ED2" w:rsidRDefault="00446933" w:rsidP="00446933">
            <w:pPr>
              <w:jc w:val="center"/>
              <w:rPr>
                <w:rFonts w:ascii="Tw Cen MT" w:hAnsi="Tw Cen MT" w:cs="Times New Roman"/>
                <w:lang w:eastAsia="fr-FR"/>
              </w:rPr>
            </w:pPr>
          </w:p>
        </w:tc>
        <w:tc>
          <w:tcPr>
            <w:tcW w:w="915" w:type="dxa"/>
            <w:tcBorders>
              <w:top w:val="nil"/>
              <w:left w:val="nil"/>
              <w:bottom w:val="nil"/>
              <w:right w:val="nil"/>
            </w:tcBorders>
            <w:shd w:val="clear" w:color="auto" w:fill="auto"/>
            <w:noWrap/>
            <w:vAlign w:val="bottom"/>
            <w:hideMark/>
          </w:tcPr>
          <w:p w14:paraId="04F38F30" w14:textId="77777777" w:rsidR="00446933" w:rsidRPr="00851ED2" w:rsidRDefault="00446933" w:rsidP="00446933">
            <w:pPr>
              <w:rPr>
                <w:rFonts w:ascii="Tw Cen MT" w:hAnsi="Tw Cen MT" w:cs="Times New Roman"/>
                <w:lang w:eastAsia="fr-FR"/>
              </w:rPr>
            </w:pPr>
          </w:p>
        </w:tc>
        <w:tc>
          <w:tcPr>
            <w:tcW w:w="1751" w:type="dxa"/>
            <w:tcBorders>
              <w:top w:val="nil"/>
              <w:left w:val="nil"/>
              <w:bottom w:val="nil"/>
              <w:right w:val="nil"/>
            </w:tcBorders>
            <w:shd w:val="clear" w:color="auto" w:fill="auto"/>
            <w:noWrap/>
            <w:vAlign w:val="bottom"/>
            <w:hideMark/>
          </w:tcPr>
          <w:p w14:paraId="0EC8E0E8" w14:textId="77777777" w:rsidR="00446933" w:rsidRPr="00851ED2" w:rsidRDefault="00446933" w:rsidP="00446933">
            <w:pPr>
              <w:rPr>
                <w:rFonts w:ascii="Tw Cen MT" w:hAnsi="Tw Cen MT" w:cs="Times New Roman"/>
                <w:lang w:eastAsia="fr-FR"/>
              </w:rPr>
            </w:pPr>
          </w:p>
        </w:tc>
        <w:tc>
          <w:tcPr>
            <w:tcW w:w="906" w:type="dxa"/>
            <w:tcBorders>
              <w:top w:val="nil"/>
              <w:left w:val="nil"/>
              <w:bottom w:val="nil"/>
              <w:right w:val="nil"/>
            </w:tcBorders>
            <w:shd w:val="clear" w:color="auto" w:fill="auto"/>
            <w:noWrap/>
            <w:vAlign w:val="bottom"/>
            <w:hideMark/>
          </w:tcPr>
          <w:p w14:paraId="4B68EE29" w14:textId="77777777" w:rsidR="00446933" w:rsidRPr="00851ED2" w:rsidRDefault="00446933" w:rsidP="00446933">
            <w:pPr>
              <w:rPr>
                <w:rFonts w:ascii="Tw Cen MT" w:hAnsi="Tw Cen MT" w:cs="Times New Roman"/>
                <w:lang w:eastAsia="fr-FR"/>
              </w:rPr>
            </w:pPr>
          </w:p>
        </w:tc>
      </w:tr>
      <w:tr w:rsidR="00446933" w:rsidRPr="00851ED2" w14:paraId="3DC9096F" w14:textId="77777777" w:rsidTr="00851ED2">
        <w:trPr>
          <w:trHeight w:val="255"/>
        </w:trPr>
        <w:tc>
          <w:tcPr>
            <w:tcW w:w="2977" w:type="dxa"/>
            <w:tcBorders>
              <w:top w:val="nil"/>
              <w:left w:val="nil"/>
              <w:bottom w:val="nil"/>
              <w:right w:val="nil"/>
            </w:tcBorders>
            <w:shd w:val="clear" w:color="000000" w:fill="00B0F0"/>
            <w:noWrap/>
            <w:vAlign w:val="bottom"/>
            <w:hideMark/>
          </w:tcPr>
          <w:p w14:paraId="026BDB82" w14:textId="738FF0CD"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Total secteur extractif</w:t>
            </w:r>
          </w:p>
        </w:tc>
        <w:tc>
          <w:tcPr>
            <w:tcW w:w="993" w:type="dxa"/>
            <w:tcBorders>
              <w:top w:val="nil"/>
              <w:left w:val="nil"/>
              <w:bottom w:val="nil"/>
              <w:right w:val="nil"/>
            </w:tcBorders>
            <w:shd w:val="clear" w:color="000000" w:fill="00B0F0"/>
            <w:noWrap/>
            <w:vAlign w:val="bottom"/>
            <w:hideMark/>
          </w:tcPr>
          <w:p w14:paraId="7ED0AF03" w14:textId="77777777"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231</w:t>
            </w:r>
          </w:p>
        </w:tc>
        <w:tc>
          <w:tcPr>
            <w:tcW w:w="1870" w:type="dxa"/>
            <w:tcBorders>
              <w:top w:val="nil"/>
              <w:left w:val="nil"/>
              <w:bottom w:val="nil"/>
              <w:right w:val="nil"/>
            </w:tcBorders>
            <w:shd w:val="clear" w:color="000000" w:fill="00B0F0"/>
            <w:noWrap/>
            <w:vAlign w:val="bottom"/>
            <w:hideMark/>
          </w:tcPr>
          <w:p w14:paraId="26D70D6A" w14:textId="3D246173"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 xml:space="preserve">     390 626 613 640 </w:t>
            </w:r>
          </w:p>
        </w:tc>
        <w:tc>
          <w:tcPr>
            <w:tcW w:w="915" w:type="dxa"/>
            <w:tcBorders>
              <w:top w:val="nil"/>
              <w:left w:val="nil"/>
              <w:bottom w:val="nil"/>
              <w:right w:val="nil"/>
            </w:tcBorders>
            <w:shd w:val="clear" w:color="000000" w:fill="00B0F0"/>
            <w:noWrap/>
            <w:vAlign w:val="bottom"/>
            <w:hideMark/>
          </w:tcPr>
          <w:p w14:paraId="232A67B6" w14:textId="77777777"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 </w:t>
            </w:r>
          </w:p>
        </w:tc>
        <w:tc>
          <w:tcPr>
            <w:tcW w:w="1751" w:type="dxa"/>
            <w:tcBorders>
              <w:top w:val="nil"/>
              <w:left w:val="nil"/>
              <w:bottom w:val="nil"/>
              <w:right w:val="nil"/>
            </w:tcBorders>
            <w:shd w:val="clear" w:color="000000" w:fill="00B0F0"/>
            <w:noWrap/>
            <w:vAlign w:val="bottom"/>
            <w:hideMark/>
          </w:tcPr>
          <w:p w14:paraId="2CD9808B" w14:textId="77777777"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 </w:t>
            </w:r>
          </w:p>
        </w:tc>
        <w:tc>
          <w:tcPr>
            <w:tcW w:w="906" w:type="dxa"/>
            <w:tcBorders>
              <w:top w:val="nil"/>
              <w:left w:val="nil"/>
              <w:bottom w:val="nil"/>
              <w:right w:val="nil"/>
            </w:tcBorders>
            <w:shd w:val="clear" w:color="000000" w:fill="00B0F0"/>
            <w:noWrap/>
            <w:vAlign w:val="bottom"/>
            <w:hideMark/>
          </w:tcPr>
          <w:p w14:paraId="2F251CA7" w14:textId="77777777" w:rsidR="00446933" w:rsidRPr="00446933" w:rsidRDefault="00446933" w:rsidP="00446933">
            <w:pPr>
              <w:jc w:val="center"/>
              <w:rPr>
                <w:rFonts w:ascii="Tw Cen MT" w:hAnsi="Tw Cen MT" w:cs="Calibri"/>
                <w:b/>
                <w:bCs/>
                <w:color w:val="FFFFFF"/>
                <w:lang w:eastAsia="fr-FR"/>
              </w:rPr>
            </w:pPr>
            <w:r w:rsidRPr="00446933">
              <w:rPr>
                <w:rFonts w:ascii="Tw Cen MT" w:hAnsi="Tw Cen MT" w:cs="Calibri"/>
                <w:b/>
                <w:bCs/>
                <w:color w:val="FFFFFF"/>
                <w:lang w:eastAsia="fr-FR"/>
              </w:rPr>
              <w:t> </w:t>
            </w:r>
          </w:p>
        </w:tc>
      </w:tr>
    </w:tbl>
    <w:p w14:paraId="00C8283E" w14:textId="20C33EDC" w:rsidR="00DC3330" w:rsidRPr="00042FAF" w:rsidRDefault="00A255CD" w:rsidP="00042FAF">
      <w:pPr>
        <w:spacing w:after="240" w:line="276" w:lineRule="auto"/>
        <w:jc w:val="both"/>
        <w:rPr>
          <w:rFonts w:ascii="Tw Cen MT" w:hAnsi="Tw Cen MT"/>
          <w:sz w:val="26"/>
          <w:szCs w:val="26"/>
        </w:rPr>
      </w:pPr>
      <w:r w:rsidRPr="00042FAF">
        <w:rPr>
          <w:rFonts w:ascii="Tw Cen MT" w:hAnsi="Tw Cen MT"/>
          <w:sz w:val="26"/>
          <w:szCs w:val="26"/>
        </w:rPr>
        <w:t>En 2019, l</w:t>
      </w:r>
      <w:r w:rsidR="00473B45" w:rsidRPr="00042FAF">
        <w:rPr>
          <w:rFonts w:ascii="Tw Cen MT" w:hAnsi="Tw Cen MT"/>
          <w:sz w:val="26"/>
          <w:szCs w:val="26"/>
        </w:rPr>
        <w:t xml:space="preserve">es paiements </w:t>
      </w:r>
      <w:r w:rsidR="00DC3330" w:rsidRPr="00042FAF">
        <w:rPr>
          <w:rFonts w:ascii="Tw Cen MT" w:hAnsi="Tw Cen MT"/>
          <w:sz w:val="26"/>
          <w:szCs w:val="26"/>
        </w:rPr>
        <w:t xml:space="preserve">déclarés par les organismes collecteurs s’élèvent à un montant total de FCFA 342 876 545 534 pour 198 sociétés extractives dont 196 minières et 2 pétrolières. </w:t>
      </w:r>
    </w:p>
    <w:p w14:paraId="3B22907E" w14:textId="25F25986" w:rsidR="00275FD8" w:rsidRDefault="00A255CD" w:rsidP="00275FD8">
      <w:pPr>
        <w:spacing w:after="240" w:line="276" w:lineRule="auto"/>
        <w:jc w:val="both"/>
        <w:rPr>
          <w:rFonts w:ascii="Tw Cen MT" w:hAnsi="Tw Cen MT"/>
          <w:sz w:val="26"/>
          <w:szCs w:val="26"/>
        </w:rPr>
      </w:pPr>
      <w:r>
        <w:rPr>
          <w:rFonts w:ascii="Tw Cen MT" w:hAnsi="Tw Cen MT"/>
          <w:sz w:val="26"/>
          <w:szCs w:val="26"/>
        </w:rPr>
        <w:t xml:space="preserve">Les paiements des </w:t>
      </w:r>
      <w:r w:rsidR="00275FD8">
        <w:rPr>
          <w:rFonts w:ascii="Tw Cen MT" w:hAnsi="Tw Cen MT"/>
          <w:sz w:val="26"/>
          <w:szCs w:val="26"/>
        </w:rPr>
        <w:t xml:space="preserve">24 </w:t>
      </w:r>
      <w:r w:rsidR="00DC3330">
        <w:rPr>
          <w:rFonts w:ascii="Tw Cen MT" w:hAnsi="Tw Cen MT"/>
          <w:sz w:val="26"/>
          <w:szCs w:val="26"/>
        </w:rPr>
        <w:t xml:space="preserve">sociétés extractives </w:t>
      </w:r>
      <w:r>
        <w:rPr>
          <w:rFonts w:ascii="Tw Cen MT" w:hAnsi="Tw Cen MT"/>
          <w:sz w:val="26"/>
          <w:szCs w:val="26"/>
        </w:rPr>
        <w:t>figurant</w:t>
      </w:r>
      <w:r w:rsidR="00DC3330">
        <w:rPr>
          <w:rFonts w:ascii="Tw Cen MT" w:hAnsi="Tw Cen MT"/>
          <w:sz w:val="26"/>
          <w:szCs w:val="26"/>
        </w:rPr>
        <w:t xml:space="preserve"> dans périmètre de conciliation du rapport ITIE 2018 et </w:t>
      </w:r>
      <w:r>
        <w:rPr>
          <w:rFonts w:ascii="Tw Cen MT" w:hAnsi="Tw Cen MT"/>
          <w:sz w:val="26"/>
          <w:szCs w:val="26"/>
        </w:rPr>
        <w:t>les 2 nouvelles sociétés</w:t>
      </w:r>
      <w:r w:rsidR="00DC3330">
        <w:rPr>
          <w:rFonts w:ascii="Tw Cen MT" w:hAnsi="Tw Cen MT"/>
          <w:sz w:val="26"/>
          <w:szCs w:val="26"/>
        </w:rPr>
        <w:t xml:space="preserve"> dont les paiements ont atteint le seuil de FCFA 100 millions </w:t>
      </w:r>
      <w:r>
        <w:rPr>
          <w:rFonts w:ascii="Tw Cen MT" w:hAnsi="Tw Cen MT"/>
          <w:sz w:val="26"/>
          <w:szCs w:val="26"/>
        </w:rPr>
        <w:t>totalisent</w:t>
      </w:r>
      <w:r w:rsidR="00DC3330">
        <w:rPr>
          <w:rFonts w:ascii="Tw Cen MT" w:hAnsi="Tw Cen MT"/>
          <w:sz w:val="26"/>
          <w:szCs w:val="26"/>
        </w:rPr>
        <w:t xml:space="preserve"> de FCFA </w:t>
      </w:r>
      <w:r w:rsidR="00DC3330" w:rsidRPr="00DC3330">
        <w:rPr>
          <w:rFonts w:ascii="Tw Cen MT" w:hAnsi="Tw Cen MT"/>
          <w:sz w:val="26"/>
          <w:szCs w:val="26"/>
        </w:rPr>
        <w:t>341 690 359</w:t>
      </w:r>
      <w:r>
        <w:rPr>
          <w:rFonts w:ascii="Tw Cen MT" w:hAnsi="Tw Cen MT"/>
          <w:sz w:val="26"/>
          <w:szCs w:val="26"/>
        </w:rPr>
        <w:t> </w:t>
      </w:r>
      <w:r w:rsidR="00DC3330" w:rsidRPr="00DC3330">
        <w:rPr>
          <w:rFonts w:ascii="Tw Cen MT" w:hAnsi="Tw Cen MT"/>
          <w:sz w:val="26"/>
          <w:szCs w:val="26"/>
        </w:rPr>
        <w:t>501</w:t>
      </w:r>
      <w:r>
        <w:rPr>
          <w:rFonts w:ascii="Tw Cen MT" w:hAnsi="Tw Cen MT"/>
          <w:sz w:val="26"/>
          <w:szCs w:val="26"/>
        </w:rPr>
        <w:t xml:space="preserve"> en 2019</w:t>
      </w:r>
      <w:r w:rsidR="00DC3330">
        <w:rPr>
          <w:rFonts w:ascii="Tw Cen MT" w:hAnsi="Tw Cen MT"/>
          <w:sz w:val="26"/>
          <w:szCs w:val="26"/>
        </w:rPr>
        <w:t xml:space="preserve">. </w:t>
      </w:r>
      <w:r>
        <w:rPr>
          <w:rFonts w:ascii="Tw Cen MT" w:hAnsi="Tw Cen MT"/>
          <w:sz w:val="26"/>
          <w:szCs w:val="26"/>
        </w:rPr>
        <w:t>Ils</w:t>
      </w:r>
      <w:r w:rsidR="00DC3330">
        <w:rPr>
          <w:rFonts w:ascii="Tw Cen MT" w:hAnsi="Tw Cen MT"/>
          <w:sz w:val="26"/>
          <w:szCs w:val="26"/>
        </w:rPr>
        <w:t xml:space="preserve"> représentent </w:t>
      </w:r>
      <w:r w:rsidR="00DC3330" w:rsidRPr="00851ED2">
        <w:rPr>
          <w:rFonts w:ascii="Tw Cen MT" w:hAnsi="Tw Cen MT"/>
          <w:sz w:val="26"/>
          <w:szCs w:val="26"/>
        </w:rPr>
        <w:t>99,65%</w:t>
      </w:r>
      <w:r w:rsidR="00DC3330">
        <w:rPr>
          <w:rFonts w:ascii="Tw Cen MT" w:hAnsi="Tw Cen MT"/>
          <w:sz w:val="26"/>
          <w:szCs w:val="26"/>
        </w:rPr>
        <w:t xml:space="preserve"> de l’ensemble des revenus collectés par les organismes gouvernementaux auprès des entités extractives.</w:t>
      </w:r>
      <w:r w:rsidR="00275FD8">
        <w:rPr>
          <w:rFonts w:ascii="Tw Cen MT" w:hAnsi="Tw Cen MT"/>
          <w:sz w:val="26"/>
          <w:szCs w:val="26"/>
        </w:rPr>
        <w:t xml:space="preserve"> </w:t>
      </w:r>
      <w:r w:rsidR="00DC3330">
        <w:rPr>
          <w:rFonts w:ascii="Tw Cen MT" w:hAnsi="Tw Cen MT"/>
          <w:sz w:val="26"/>
          <w:szCs w:val="26"/>
        </w:rPr>
        <w:t xml:space="preserve"> </w:t>
      </w:r>
    </w:p>
    <w:p w14:paraId="731C734C" w14:textId="66CB1BF3" w:rsidR="00DC3330" w:rsidRDefault="00A255CD" w:rsidP="00275FD8">
      <w:pPr>
        <w:spacing w:after="240" w:line="276" w:lineRule="auto"/>
        <w:jc w:val="both"/>
        <w:rPr>
          <w:rFonts w:ascii="Tw Cen MT" w:hAnsi="Tw Cen MT"/>
          <w:sz w:val="26"/>
          <w:szCs w:val="26"/>
        </w:rPr>
      </w:pPr>
      <w:r>
        <w:rPr>
          <w:rFonts w:ascii="Tw Cen MT" w:hAnsi="Tw Cen MT"/>
          <w:sz w:val="26"/>
          <w:szCs w:val="26"/>
        </w:rPr>
        <w:t>Les deux</w:t>
      </w:r>
      <w:r w:rsidR="00275FD8">
        <w:rPr>
          <w:rFonts w:ascii="Tw Cen MT" w:hAnsi="Tw Cen MT"/>
          <w:sz w:val="26"/>
          <w:szCs w:val="26"/>
        </w:rPr>
        <w:t xml:space="preserve"> nouvelles sociétés </w:t>
      </w:r>
      <w:r>
        <w:rPr>
          <w:rFonts w:ascii="Tw Cen MT" w:hAnsi="Tw Cen MT"/>
          <w:sz w:val="26"/>
          <w:szCs w:val="26"/>
        </w:rPr>
        <w:t xml:space="preserve">qui </w:t>
      </w:r>
      <w:r w:rsidR="00275FD8">
        <w:rPr>
          <w:rFonts w:ascii="Tw Cen MT" w:hAnsi="Tw Cen MT"/>
          <w:sz w:val="26"/>
          <w:szCs w:val="26"/>
        </w:rPr>
        <w:t>font leur entrée dans le périmètre de conciliation au titre de l’année 2019</w:t>
      </w:r>
      <w:r>
        <w:rPr>
          <w:rFonts w:ascii="Tw Cen MT" w:hAnsi="Tw Cen MT"/>
          <w:sz w:val="26"/>
          <w:szCs w:val="26"/>
        </w:rPr>
        <w:t xml:space="preserve"> sont </w:t>
      </w:r>
      <w:r w:rsidR="00275FD8">
        <w:rPr>
          <w:rFonts w:ascii="Tw Cen MT" w:hAnsi="Tw Cen MT"/>
          <w:sz w:val="26"/>
          <w:szCs w:val="26"/>
        </w:rPr>
        <w:t xml:space="preserve">Timbuctou </w:t>
      </w:r>
      <w:r>
        <w:rPr>
          <w:rFonts w:ascii="Tw Cen MT" w:hAnsi="Tw Cen MT"/>
          <w:sz w:val="26"/>
          <w:szCs w:val="26"/>
        </w:rPr>
        <w:t>R</w:t>
      </w:r>
      <w:r w:rsidR="00275FD8">
        <w:rPr>
          <w:rFonts w:ascii="Tw Cen MT" w:hAnsi="Tw Cen MT"/>
          <w:sz w:val="26"/>
          <w:szCs w:val="26"/>
        </w:rPr>
        <w:t>essources SARL et COVEC SA. Cette dernière avait été retirée du périmètre de l’ITIE 2016 suite à</w:t>
      </w:r>
      <w:r w:rsidR="00275FD8" w:rsidRPr="00275FD8">
        <w:rPr>
          <w:rFonts w:ascii="Tw Cen MT" w:hAnsi="Tw Cen MT"/>
          <w:sz w:val="26"/>
          <w:szCs w:val="26"/>
        </w:rPr>
        <w:t xml:space="preserve"> une lettre du 18 Octobre 2018 adressée au Ministre des Mines, </w:t>
      </w:r>
      <w:r w:rsidR="00275FD8">
        <w:rPr>
          <w:rFonts w:ascii="Tw Cen MT" w:hAnsi="Tw Cen MT"/>
          <w:sz w:val="26"/>
          <w:szCs w:val="26"/>
        </w:rPr>
        <w:t xml:space="preserve">expliquant </w:t>
      </w:r>
      <w:r w:rsidR="00275FD8" w:rsidRPr="00275FD8">
        <w:rPr>
          <w:rFonts w:ascii="Tw Cen MT" w:hAnsi="Tw Cen MT"/>
          <w:sz w:val="26"/>
          <w:szCs w:val="26"/>
        </w:rPr>
        <w:t xml:space="preserve">que la carrière de dolérite située à Fabougoula (Kati) n’est qu’un composant insignifiant de toutes ses activités. </w:t>
      </w:r>
      <w:r>
        <w:rPr>
          <w:rFonts w:ascii="Tw Cen MT" w:hAnsi="Tw Cen MT"/>
          <w:sz w:val="26"/>
          <w:szCs w:val="26"/>
        </w:rPr>
        <w:t>Son activité principale étant celle des travaux et bâtiments publics (BTP)</w:t>
      </w:r>
    </w:p>
    <w:p w14:paraId="59E01B0E" w14:textId="6D500335" w:rsidR="00275FD8" w:rsidRDefault="00275FD8" w:rsidP="00275FD8">
      <w:pPr>
        <w:spacing w:after="240" w:line="276" w:lineRule="auto"/>
        <w:jc w:val="both"/>
        <w:rPr>
          <w:rFonts w:ascii="Tw Cen MT" w:hAnsi="Tw Cen MT"/>
          <w:sz w:val="26"/>
          <w:szCs w:val="26"/>
        </w:rPr>
      </w:pPr>
      <w:r>
        <w:rPr>
          <w:rFonts w:ascii="Tw Cen MT" w:hAnsi="Tw Cen MT"/>
          <w:sz w:val="26"/>
          <w:szCs w:val="26"/>
        </w:rPr>
        <w:t xml:space="preserve">Les sociétés extractives dont les paiements cumulés au titre de l’année 2019, n’ont pas atteint </w:t>
      </w:r>
      <w:r w:rsidR="00A255CD">
        <w:rPr>
          <w:rFonts w:ascii="Tw Cen MT" w:hAnsi="Tw Cen MT"/>
          <w:sz w:val="26"/>
          <w:szCs w:val="26"/>
        </w:rPr>
        <w:t xml:space="preserve">le seuil de </w:t>
      </w:r>
      <w:r>
        <w:rPr>
          <w:rFonts w:ascii="Tw Cen MT" w:hAnsi="Tw Cen MT"/>
          <w:sz w:val="26"/>
          <w:szCs w:val="26"/>
        </w:rPr>
        <w:t xml:space="preserve">100 millions s’élèvent </w:t>
      </w:r>
      <w:r w:rsidR="00A255CD">
        <w:rPr>
          <w:rFonts w:ascii="Tw Cen MT" w:hAnsi="Tw Cen MT"/>
          <w:sz w:val="26"/>
          <w:szCs w:val="26"/>
        </w:rPr>
        <w:t>se chiffrent à</w:t>
      </w:r>
      <w:r>
        <w:rPr>
          <w:rFonts w:ascii="Tw Cen MT" w:hAnsi="Tw Cen MT"/>
          <w:sz w:val="26"/>
          <w:szCs w:val="26"/>
        </w:rPr>
        <w:t xml:space="preserve"> 172 pour paiement total de FCFA </w:t>
      </w:r>
      <w:r w:rsidRPr="00275FD8">
        <w:rPr>
          <w:rFonts w:ascii="Tw Cen MT" w:hAnsi="Tw Cen MT"/>
          <w:sz w:val="26"/>
          <w:szCs w:val="26"/>
        </w:rPr>
        <w:t>1 186 186</w:t>
      </w:r>
      <w:r>
        <w:rPr>
          <w:rFonts w:ascii="Tw Cen MT" w:hAnsi="Tw Cen MT"/>
          <w:sz w:val="26"/>
          <w:szCs w:val="26"/>
        </w:rPr>
        <w:t> </w:t>
      </w:r>
      <w:r w:rsidRPr="00275FD8">
        <w:rPr>
          <w:rFonts w:ascii="Tw Cen MT" w:hAnsi="Tw Cen MT"/>
          <w:sz w:val="26"/>
          <w:szCs w:val="26"/>
        </w:rPr>
        <w:t>033</w:t>
      </w:r>
      <w:r>
        <w:rPr>
          <w:rFonts w:ascii="Tw Cen MT" w:hAnsi="Tw Cen MT"/>
          <w:sz w:val="26"/>
          <w:szCs w:val="26"/>
        </w:rPr>
        <w:t>.</w:t>
      </w:r>
      <w:r w:rsidRPr="00275FD8">
        <w:rPr>
          <w:rFonts w:ascii="Tw Cen MT" w:hAnsi="Tw Cen MT"/>
          <w:sz w:val="26"/>
          <w:szCs w:val="26"/>
        </w:rPr>
        <w:t xml:space="preserve"> </w:t>
      </w:r>
      <w:r w:rsidR="00726AD4">
        <w:rPr>
          <w:rFonts w:ascii="Tw Cen MT" w:hAnsi="Tw Cen MT"/>
          <w:sz w:val="26"/>
          <w:szCs w:val="26"/>
        </w:rPr>
        <w:t>Le détail est présenté en annexe 1.</w:t>
      </w:r>
    </w:p>
    <w:p w14:paraId="2736FB20" w14:textId="25A5B93D" w:rsidR="00726AD4" w:rsidRDefault="00726AD4" w:rsidP="00275FD8">
      <w:pPr>
        <w:spacing w:after="240" w:line="276" w:lineRule="auto"/>
        <w:jc w:val="both"/>
        <w:rPr>
          <w:rFonts w:ascii="Tw Cen MT" w:hAnsi="Tw Cen MT"/>
          <w:sz w:val="26"/>
          <w:szCs w:val="26"/>
        </w:rPr>
      </w:pPr>
      <w:r>
        <w:rPr>
          <w:rFonts w:ascii="Tw Cen MT" w:hAnsi="Tw Cen MT"/>
          <w:sz w:val="26"/>
          <w:szCs w:val="26"/>
        </w:rPr>
        <w:t xml:space="preserve">Les sous-traitants déclarés par les entités gouvernementales totalisent 33 sociétés pour un paiement total de FCFA </w:t>
      </w:r>
      <w:r w:rsidRPr="00726AD4">
        <w:rPr>
          <w:rFonts w:ascii="Tw Cen MT" w:hAnsi="Tw Cen MT"/>
          <w:sz w:val="26"/>
          <w:szCs w:val="26"/>
        </w:rPr>
        <w:t>47 750 068 106</w:t>
      </w:r>
      <w:r>
        <w:rPr>
          <w:rFonts w:ascii="Tw Cen MT" w:hAnsi="Tw Cen MT"/>
          <w:sz w:val="26"/>
          <w:szCs w:val="26"/>
        </w:rPr>
        <w:t xml:space="preserve"> en 2019.</w:t>
      </w:r>
      <w:r w:rsidR="00C2763E">
        <w:rPr>
          <w:rFonts w:ascii="Tw Cen MT" w:hAnsi="Tw Cen MT"/>
          <w:sz w:val="26"/>
          <w:szCs w:val="26"/>
        </w:rPr>
        <w:t xml:space="preserve"> </w:t>
      </w:r>
      <w:r w:rsidR="00C2763E" w:rsidRPr="00C2763E">
        <w:rPr>
          <w:rFonts w:ascii="Tw Cen MT" w:hAnsi="Tw Cen MT"/>
          <w:sz w:val="26"/>
          <w:szCs w:val="26"/>
        </w:rPr>
        <w:t xml:space="preserve">Le détail est présenté en annexe </w:t>
      </w:r>
      <w:r w:rsidR="00C2763E">
        <w:rPr>
          <w:rFonts w:ascii="Tw Cen MT" w:hAnsi="Tw Cen MT"/>
          <w:sz w:val="26"/>
          <w:szCs w:val="26"/>
        </w:rPr>
        <w:t>2</w:t>
      </w:r>
      <w:r w:rsidR="00C2763E" w:rsidRPr="00C2763E">
        <w:rPr>
          <w:rFonts w:ascii="Tw Cen MT" w:hAnsi="Tw Cen MT"/>
          <w:sz w:val="26"/>
          <w:szCs w:val="26"/>
        </w:rPr>
        <w:t>.</w:t>
      </w:r>
      <w:r>
        <w:rPr>
          <w:rFonts w:ascii="Tw Cen MT" w:hAnsi="Tw Cen MT"/>
          <w:sz w:val="26"/>
          <w:szCs w:val="26"/>
        </w:rPr>
        <w:t xml:space="preserve"> </w:t>
      </w:r>
    </w:p>
    <w:p w14:paraId="5000F699" w14:textId="17629EB4" w:rsidR="00972C1B" w:rsidRPr="00446933" w:rsidRDefault="00972C1B" w:rsidP="00446933">
      <w:pPr>
        <w:spacing w:before="240" w:after="240" w:line="276" w:lineRule="auto"/>
        <w:jc w:val="both"/>
        <w:outlineLvl w:val="1"/>
        <w:rPr>
          <w:rFonts w:ascii="Tw Cen MT" w:hAnsi="Tw Cen MT"/>
          <w:bCs/>
          <w:iCs/>
          <w:sz w:val="26"/>
          <w:szCs w:val="26"/>
        </w:rPr>
        <w:sectPr w:rsidR="00972C1B" w:rsidRPr="00446933" w:rsidSect="003F215E">
          <w:pgSz w:w="11906" w:h="16838" w:code="9"/>
          <w:pgMar w:top="1418" w:right="1274" w:bottom="1276" w:left="1418" w:header="709" w:footer="709" w:gutter="0"/>
          <w:cols w:space="708"/>
          <w:docGrid w:linePitch="360"/>
        </w:sectPr>
      </w:pPr>
    </w:p>
    <w:p w14:paraId="3C16352A" w14:textId="3E50AEBB" w:rsidR="00AA64D0" w:rsidRDefault="00C2763E" w:rsidP="0048041A">
      <w:pPr>
        <w:pStyle w:val="Paragraphedeliste"/>
        <w:numPr>
          <w:ilvl w:val="2"/>
          <w:numId w:val="9"/>
        </w:numPr>
        <w:spacing w:before="240" w:after="240"/>
        <w:contextualSpacing w:val="0"/>
        <w:outlineLvl w:val="1"/>
        <w:rPr>
          <w:rFonts w:ascii="Tw Cen MT" w:hAnsi="Tw Cen MT"/>
          <w:b/>
          <w:iCs/>
          <w:sz w:val="26"/>
          <w:szCs w:val="26"/>
        </w:rPr>
      </w:pPr>
      <w:bookmarkStart w:id="59" w:name="_Toc90999727"/>
      <w:r w:rsidRPr="00AA64D0">
        <w:rPr>
          <w:rFonts w:ascii="Tw Cen MT" w:hAnsi="Tw Cen MT"/>
          <w:b/>
          <w:iCs/>
          <w:sz w:val="26"/>
          <w:szCs w:val="26"/>
        </w:rPr>
        <w:lastRenderedPageBreak/>
        <w:t>P</w:t>
      </w:r>
      <w:r>
        <w:rPr>
          <w:rFonts w:ascii="Tw Cen MT" w:hAnsi="Tw Cen MT"/>
          <w:b/>
          <w:iCs/>
          <w:sz w:val="26"/>
          <w:szCs w:val="26"/>
        </w:rPr>
        <w:t>érimètre de conciliation 2019</w:t>
      </w:r>
      <w:bookmarkEnd w:id="59"/>
    </w:p>
    <w:p w14:paraId="57A82611" w14:textId="2D087478" w:rsidR="00EB5570" w:rsidRPr="00042FAF" w:rsidRDefault="00EB5570" w:rsidP="00042FAF">
      <w:pPr>
        <w:pStyle w:val="BodyText"/>
        <w:spacing w:line="276" w:lineRule="auto"/>
        <w:rPr>
          <w:rFonts w:ascii="Tw Cen MT" w:hAnsi="Tw Cen MT"/>
          <w:color w:val="auto"/>
          <w:sz w:val="24"/>
          <w:lang w:val="fr-FR"/>
        </w:rPr>
      </w:pPr>
      <w:bookmarkStart w:id="60" w:name="_Toc89811015"/>
      <w:bookmarkStart w:id="61" w:name="_Toc89811133"/>
      <w:bookmarkStart w:id="62" w:name="_Toc89811407"/>
      <w:r w:rsidRPr="00042FAF">
        <w:rPr>
          <w:rFonts w:ascii="Tw Cen MT" w:hAnsi="Tw Cen MT"/>
          <w:color w:val="auto"/>
          <w:sz w:val="24"/>
          <w:lang w:val="fr-FR"/>
        </w:rPr>
        <w:t xml:space="preserve">Le nombre d’entreprises extractives à retenir dans le périmètre de conciliation s’élève à vingt-six (26) sociétés en 2019 dont une société de recherche </w:t>
      </w:r>
      <w:r w:rsidR="00042FAF" w:rsidRPr="00042FAF">
        <w:rPr>
          <w:rFonts w:ascii="Tw Cen MT" w:hAnsi="Tw Cen MT"/>
          <w:color w:val="auto"/>
          <w:sz w:val="24"/>
          <w:lang w:val="fr-FR"/>
        </w:rPr>
        <w:t>pétrolière:</w:t>
      </w:r>
    </w:p>
    <w:p w14:paraId="2FDCCA03" w14:textId="14B0FE63" w:rsidR="00A255CD" w:rsidRPr="00A255CD" w:rsidRDefault="00A255CD" w:rsidP="00A255CD">
      <w:pPr>
        <w:pStyle w:val="Lgende"/>
        <w:rPr>
          <w:rFonts w:ascii="Tw Cen MT" w:hAnsi="Tw Cen MT"/>
          <w:b/>
          <w:bCs/>
          <w:i w:val="0"/>
          <w:iCs w:val="0"/>
          <w:color w:val="auto"/>
          <w:sz w:val="24"/>
          <w:szCs w:val="24"/>
        </w:rPr>
      </w:pPr>
      <w:bookmarkStart w:id="63" w:name="_Toc90995628"/>
      <w:r w:rsidRPr="00A255CD">
        <w:rPr>
          <w:rFonts w:ascii="Tw Cen MT" w:hAnsi="Tw Cen MT"/>
          <w:b/>
          <w:bCs/>
          <w:i w:val="0"/>
          <w:iCs w:val="0"/>
          <w:color w:val="auto"/>
          <w:sz w:val="24"/>
          <w:szCs w:val="24"/>
        </w:rPr>
        <w:t xml:space="preserve">Tableau </w:t>
      </w:r>
      <w:r w:rsidRPr="00A255CD">
        <w:rPr>
          <w:rFonts w:ascii="Tw Cen MT" w:hAnsi="Tw Cen MT"/>
          <w:b/>
          <w:bCs/>
          <w:i w:val="0"/>
          <w:iCs w:val="0"/>
          <w:color w:val="auto"/>
          <w:sz w:val="24"/>
          <w:szCs w:val="24"/>
        </w:rPr>
        <w:fldChar w:fldCharType="begin"/>
      </w:r>
      <w:r w:rsidRPr="00A255CD">
        <w:rPr>
          <w:rFonts w:ascii="Tw Cen MT" w:hAnsi="Tw Cen MT"/>
          <w:b/>
          <w:bCs/>
          <w:i w:val="0"/>
          <w:iCs w:val="0"/>
          <w:color w:val="auto"/>
          <w:sz w:val="24"/>
          <w:szCs w:val="24"/>
        </w:rPr>
        <w:instrText xml:space="preserve"> SEQ Tableau \* ARABIC </w:instrText>
      </w:r>
      <w:r w:rsidRPr="00A255CD">
        <w:rPr>
          <w:rFonts w:ascii="Tw Cen MT" w:hAnsi="Tw Cen MT"/>
          <w:b/>
          <w:bCs/>
          <w:i w:val="0"/>
          <w:iCs w:val="0"/>
          <w:color w:val="auto"/>
          <w:sz w:val="24"/>
          <w:szCs w:val="24"/>
        </w:rPr>
        <w:fldChar w:fldCharType="separate"/>
      </w:r>
      <w:r w:rsidR="00A54243">
        <w:rPr>
          <w:rFonts w:ascii="Tw Cen MT" w:hAnsi="Tw Cen MT"/>
          <w:b/>
          <w:bCs/>
          <w:i w:val="0"/>
          <w:iCs w:val="0"/>
          <w:noProof/>
          <w:color w:val="auto"/>
          <w:sz w:val="24"/>
          <w:szCs w:val="24"/>
        </w:rPr>
        <w:t>6</w:t>
      </w:r>
      <w:r w:rsidRPr="00A255CD">
        <w:rPr>
          <w:rFonts w:ascii="Tw Cen MT" w:hAnsi="Tw Cen MT"/>
          <w:b/>
          <w:bCs/>
          <w:i w:val="0"/>
          <w:iCs w:val="0"/>
          <w:color w:val="auto"/>
          <w:sz w:val="24"/>
          <w:szCs w:val="24"/>
        </w:rPr>
        <w:fldChar w:fldCharType="end"/>
      </w:r>
      <w:r w:rsidRPr="00A255CD">
        <w:rPr>
          <w:rFonts w:ascii="Tw Cen MT" w:hAnsi="Tw Cen MT"/>
          <w:b/>
          <w:bCs/>
          <w:i w:val="0"/>
          <w:iCs w:val="0"/>
          <w:color w:val="auto"/>
          <w:sz w:val="24"/>
          <w:szCs w:val="24"/>
        </w:rPr>
        <w:t> : Liste des sociétés extractives proposées pour le périmètre de conciliation 2019</w:t>
      </w:r>
      <w:bookmarkEnd w:id="63"/>
    </w:p>
    <w:tbl>
      <w:tblPr>
        <w:tblW w:w="14024" w:type="dxa"/>
        <w:tblCellMar>
          <w:left w:w="70" w:type="dxa"/>
          <w:right w:w="70" w:type="dxa"/>
        </w:tblCellMar>
        <w:tblLook w:val="04A0" w:firstRow="1" w:lastRow="0" w:firstColumn="1" w:lastColumn="0" w:noHBand="0" w:noVBand="1"/>
      </w:tblPr>
      <w:tblGrid>
        <w:gridCol w:w="361"/>
        <w:gridCol w:w="1288"/>
        <w:gridCol w:w="5967"/>
        <w:gridCol w:w="1900"/>
        <w:gridCol w:w="2665"/>
        <w:gridCol w:w="1843"/>
      </w:tblGrid>
      <w:tr w:rsidR="00EB5570" w:rsidRPr="00EB5570" w14:paraId="5A453173" w14:textId="77777777" w:rsidTr="00851ED2">
        <w:trPr>
          <w:trHeight w:val="220"/>
          <w:tblHeader/>
        </w:trPr>
        <w:tc>
          <w:tcPr>
            <w:tcW w:w="361" w:type="dxa"/>
            <w:tcBorders>
              <w:top w:val="single" w:sz="8" w:space="0" w:color="auto"/>
              <w:left w:val="single" w:sz="8" w:space="0" w:color="auto"/>
              <w:bottom w:val="single" w:sz="8" w:space="0" w:color="auto"/>
              <w:right w:val="single" w:sz="8" w:space="0" w:color="auto"/>
            </w:tcBorders>
            <w:shd w:val="clear" w:color="000000" w:fill="00B0F0"/>
            <w:vAlign w:val="center"/>
            <w:hideMark/>
          </w:tcPr>
          <w:p w14:paraId="32EC6AD5" w14:textId="77777777" w:rsidR="00EB5570" w:rsidRPr="00EB5570" w:rsidRDefault="00EB5570" w:rsidP="00EB5570">
            <w:pPr>
              <w:jc w:val="center"/>
              <w:rPr>
                <w:rFonts w:ascii="Tw Cen MT" w:hAnsi="Tw Cen MT" w:cs="Calibri"/>
                <w:b/>
                <w:bCs/>
                <w:color w:val="FFFFFF"/>
                <w:lang w:eastAsia="fr-FR"/>
              </w:rPr>
            </w:pPr>
            <w:r w:rsidRPr="00EB5570">
              <w:rPr>
                <w:rFonts w:ascii="Tw Cen MT" w:hAnsi="Tw Cen MT" w:cs="Calibri"/>
                <w:b/>
                <w:bCs/>
                <w:color w:val="FFFFFF"/>
                <w:lang w:eastAsia="fr-FR"/>
              </w:rPr>
              <w:t xml:space="preserve">N° </w:t>
            </w:r>
          </w:p>
        </w:tc>
        <w:tc>
          <w:tcPr>
            <w:tcW w:w="1288" w:type="dxa"/>
            <w:tcBorders>
              <w:top w:val="single" w:sz="8" w:space="0" w:color="auto"/>
              <w:left w:val="nil"/>
              <w:bottom w:val="single" w:sz="8" w:space="0" w:color="auto"/>
              <w:right w:val="single" w:sz="8" w:space="0" w:color="auto"/>
            </w:tcBorders>
            <w:shd w:val="clear" w:color="000000" w:fill="00B0F0"/>
            <w:vAlign w:val="center"/>
            <w:hideMark/>
          </w:tcPr>
          <w:p w14:paraId="32CB2979" w14:textId="77777777" w:rsidR="00EB5570" w:rsidRPr="00EB5570" w:rsidRDefault="00EB5570" w:rsidP="00EB5570">
            <w:pPr>
              <w:jc w:val="center"/>
              <w:rPr>
                <w:rFonts w:ascii="Tw Cen MT" w:hAnsi="Tw Cen MT" w:cs="Calibri"/>
                <w:b/>
                <w:bCs/>
                <w:color w:val="FFFFFF"/>
                <w:lang w:eastAsia="fr-FR"/>
              </w:rPr>
            </w:pPr>
            <w:r w:rsidRPr="00EB5570">
              <w:rPr>
                <w:rFonts w:ascii="Tw Cen MT" w:hAnsi="Tw Cen MT" w:cs="Calibri"/>
                <w:b/>
                <w:bCs/>
                <w:color w:val="FFFFFF"/>
                <w:lang w:eastAsia="fr-FR"/>
              </w:rPr>
              <w:t>NIF</w:t>
            </w:r>
          </w:p>
        </w:tc>
        <w:tc>
          <w:tcPr>
            <w:tcW w:w="5967" w:type="dxa"/>
            <w:tcBorders>
              <w:top w:val="single" w:sz="8" w:space="0" w:color="auto"/>
              <w:left w:val="nil"/>
              <w:bottom w:val="single" w:sz="8" w:space="0" w:color="auto"/>
              <w:right w:val="single" w:sz="8" w:space="0" w:color="auto"/>
            </w:tcBorders>
            <w:shd w:val="clear" w:color="000000" w:fill="00B0F0"/>
            <w:noWrap/>
            <w:vAlign w:val="center"/>
            <w:hideMark/>
          </w:tcPr>
          <w:p w14:paraId="3702D45C" w14:textId="77777777" w:rsidR="00EB5570" w:rsidRPr="00EB5570" w:rsidRDefault="00EB5570" w:rsidP="00EB5570">
            <w:pPr>
              <w:jc w:val="center"/>
              <w:rPr>
                <w:rFonts w:ascii="Tw Cen MT" w:hAnsi="Tw Cen MT" w:cs="Calibri"/>
                <w:b/>
                <w:bCs/>
                <w:color w:val="FFFFFF"/>
                <w:lang w:eastAsia="fr-FR"/>
              </w:rPr>
            </w:pPr>
            <w:r w:rsidRPr="00EB5570">
              <w:rPr>
                <w:rFonts w:ascii="Tw Cen MT" w:hAnsi="Tw Cen MT" w:cs="Calibri"/>
                <w:b/>
                <w:bCs/>
                <w:color w:val="FFFFFF"/>
                <w:lang w:eastAsia="fr-FR"/>
              </w:rPr>
              <w:t>DÉSIGNATION DU CONTRIBUABLE</w:t>
            </w:r>
          </w:p>
        </w:tc>
        <w:tc>
          <w:tcPr>
            <w:tcW w:w="1900" w:type="dxa"/>
            <w:tcBorders>
              <w:top w:val="single" w:sz="8" w:space="0" w:color="auto"/>
              <w:left w:val="nil"/>
              <w:bottom w:val="single" w:sz="8" w:space="0" w:color="auto"/>
              <w:right w:val="single" w:sz="8" w:space="0" w:color="auto"/>
            </w:tcBorders>
            <w:shd w:val="clear" w:color="000000" w:fill="00B0F0"/>
            <w:noWrap/>
            <w:vAlign w:val="center"/>
            <w:hideMark/>
          </w:tcPr>
          <w:p w14:paraId="02999941" w14:textId="77777777" w:rsidR="00EB5570" w:rsidRPr="00EB5570" w:rsidRDefault="00EB5570" w:rsidP="00EB5570">
            <w:pPr>
              <w:jc w:val="center"/>
              <w:rPr>
                <w:rFonts w:ascii="Tw Cen MT" w:hAnsi="Tw Cen MT" w:cs="Calibri"/>
                <w:b/>
                <w:bCs/>
                <w:color w:val="FFFFFF"/>
                <w:lang w:eastAsia="fr-FR"/>
              </w:rPr>
            </w:pPr>
            <w:r w:rsidRPr="00EB5570">
              <w:rPr>
                <w:rFonts w:ascii="Tw Cen MT" w:hAnsi="Tw Cen MT" w:cs="Calibri"/>
                <w:b/>
                <w:bCs/>
                <w:color w:val="FFFFFF"/>
                <w:lang w:eastAsia="fr-FR"/>
              </w:rPr>
              <w:t>SIGLES</w:t>
            </w:r>
          </w:p>
        </w:tc>
        <w:tc>
          <w:tcPr>
            <w:tcW w:w="2665" w:type="dxa"/>
            <w:tcBorders>
              <w:top w:val="single" w:sz="8" w:space="0" w:color="auto"/>
              <w:left w:val="nil"/>
              <w:bottom w:val="single" w:sz="8" w:space="0" w:color="auto"/>
              <w:right w:val="single" w:sz="8" w:space="0" w:color="auto"/>
            </w:tcBorders>
            <w:shd w:val="clear" w:color="000000" w:fill="00B0F0"/>
            <w:noWrap/>
            <w:vAlign w:val="center"/>
            <w:hideMark/>
          </w:tcPr>
          <w:p w14:paraId="5998FF32" w14:textId="77777777" w:rsidR="00EB5570" w:rsidRPr="00EB5570" w:rsidRDefault="00EB5570" w:rsidP="00EB5570">
            <w:pPr>
              <w:jc w:val="center"/>
              <w:rPr>
                <w:rFonts w:ascii="Tw Cen MT" w:hAnsi="Tw Cen MT" w:cs="Calibri"/>
                <w:b/>
                <w:bCs/>
                <w:color w:val="FFFFFF"/>
                <w:lang w:eastAsia="fr-FR"/>
              </w:rPr>
            </w:pPr>
            <w:r w:rsidRPr="00EB5570">
              <w:rPr>
                <w:rFonts w:ascii="Tw Cen MT" w:hAnsi="Tw Cen MT" w:cs="Calibri"/>
                <w:b/>
                <w:bCs/>
                <w:color w:val="FFFFFF"/>
                <w:lang w:eastAsia="fr-FR"/>
              </w:rPr>
              <w:t>SUBSTANCES</w:t>
            </w:r>
          </w:p>
        </w:tc>
        <w:tc>
          <w:tcPr>
            <w:tcW w:w="1843" w:type="dxa"/>
            <w:tcBorders>
              <w:top w:val="single" w:sz="8" w:space="0" w:color="auto"/>
              <w:left w:val="nil"/>
              <w:bottom w:val="single" w:sz="8" w:space="0" w:color="auto"/>
              <w:right w:val="single" w:sz="8" w:space="0" w:color="auto"/>
            </w:tcBorders>
            <w:shd w:val="clear" w:color="000000" w:fill="00B0F0"/>
            <w:noWrap/>
            <w:vAlign w:val="bottom"/>
            <w:hideMark/>
          </w:tcPr>
          <w:p w14:paraId="5D82FDED" w14:textId="77777777" w:rsidR="00EB5570" w:rsidRPr="00EB5570" w:rsidRDefault="00EB5570" w:rsidP="00EB5570">
            <w:pPr>
              <w:jc w:val="center"/>
              <w:rPr>
                <w:rFonts w:ascii="Tw Cen MT" w:hAnsi="Tw Cen MT" w:cs="Calibri"/>
                <w:b/>
                <w:bCs/>
                <w:color w:val="FFFFFF"/>
                <w:lang w:eastAsia="fr-FR"/>
              </w:rPr>
            </w:pPr>
            <w:r w:rsidRPr="00EB5570">
              <w:rPr>
                <w:rFonts w:ascii="Tw Cen MT" w:hAnsi="Tw Cen MT" w:cs="Calibri"/>
                <w:b/>
                <w:bCs/>
                <w:color w:val="FFFFFF"/>
                <w:lang w:eastAsia="fr-FR"/>
              </w:rPr>
              <w:t>MONTANT EN FCFA</w:t>
            </w:r>
          </w:p>
        </w:tc>
      </w:tr>
      <w:tr w:rsidR="00EB5570" w:rsidRPr="00EB5570" w14:paraId="5D82B981" w14:textId="77777777" w:rsidTr="00851ED2">
        <w:trPr>
          <w:trHeight w:val="315"/>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0FE6F7B2"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1</w:t>
            </w:r>
          </w:p>
        </w:tc>
        <w:tc>
          <w:tcPr>
            <w:tcW w:w="1288" w:type="dxa"/>
            <w:tcBorders>
              <w:top w:val="nil"/>
              <w:left w:val="nil"/>
              <w:bottom w:val="single" w:sz="8" w:space="0" w:color="auto"/>
              <w:right w:val="single" w:sz="8" w:space="0" w:color="auto"/>
            </w:tcBorders>
            <w:shd w:val="clear" w:color="auto" w:fill="auto"/>
            <w:noWrap/>
            <w:vAlign w:val="bottom"/>
            <w:hideMark/>
          </w:tcPr>
          <w:p w14:paraId="2AB91EF6"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081102335F</w:t>
            </w:r>
          </w:p>
        </w:tc>
        <w:tc>
          <w:tcPr>
            <w:tcW w:w="5967" w:type="dxa"/>
            <w:tcBorders>
              <w:top w:val="nil"/>
              <w:left w:val="nil"/>
              <w:bottom w:val="single" w:sz="8" w:space="0" w:color="auto"/>
              <w:right w:val="single" w:sz="8" w:space="0" w:color="auto"/>
            </w:tcBorders>
            <w:shd w:val="clear" w:color="auto" w:fill="auto"/>
            <w:noWrap/>
            <w:vAlign w:val="bottom"/>
            <w:hideMark/>
          </w:tcPr>
          <w:p w14:paraId="1AE59F28" w14:textId="7209D661"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CIMENTS ET MATÉRIAUX DU MALI SA</w:t>
            </w:r>
          </w:p>
        </w:tc>
        <w:tc>
          <w:tcPr>
            <w:tcW w:w="1900" w:type="dxa"/>
            <w:tcBorders>
              <w:top w:val="nil"/>
              <w:left w:val="nil"/>
              <w:bottom w:val="single" w:sz="8" w:space="0" w:color="auto"/>
              <w:right w:val="single" w:sz="8" w:space="0" w:color="auto"/>
            </w:tcBorders>
            <w:shd w:val="clear" w:color="auto" w:fill="auto"/>
            <w:noWrap/>
            <w:vAlign w:val="bottom"/>
            <w:hideMark/>
          </w:tcPr>
          <w:p w14:paraId="7617888F"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CMM </w:t>
            </w:r>
          </w:p>
        </w:tc>
        <w:tc>
          <w:tcPr>
            <w:tcW w:w="2665" w:type="dxa"/>
            <w:tcBorders>
              <w:top w:val="nil"/>
              <w:left w:val="nil"/>
              <w:bottom w:val="single" w:sz="8" w:space="0" w:color="auto"/>
              <w:right w:val="single" w:sz="8" w:space="0" w:color="auto"/>
            </w:tcBorders>
            <w:shd w:val="clear" w:color="auto" w:fill="auto"/>
            <w:noWrap/>
            <w:vAlign w:val="bottom"/>
            <w:hideMark/>
          </w:tcPr>
          <w:p w14:paraId="7FDEDDA4"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Exploitation des carrières</w:t>
            </w:r>
          </w:p>
        </w:tc>
        <w:tc>
          <w:tcPr>
            <w:tcW w:w="1843" w:type="dxa"/>
            <w:tcBorders>
              <w:top w:val="nil"/>
              <w:left w:val="nil"/>
              <w:bottom w:val="single" w:sz="8" w:space="0" w:color="auto"/>
              <w:right w:val="single" w:sz="8" w:space="0" w:color="auto"/>
            </w:tcBorders>
            <w:shd w:val="clear" w:color="auto" w:fill="auto"/>
            <w:noWrap/>
            <w:vAlign w:val="bottom"/>
            <w:hideMark/>
          </w:tcPr>
          <w:p w14:paraId="23E9DAFC" w14:textId="1422C68B"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330 046 713 </w:t>
            </w:r>
          </w:p>
        </w:tc>
      </w:tr>
      <w:tr w:rsidR="00EB5570" w:rsidRPr="00EB5570" w14:paraId="58ED374B" w14:textId="77777777" w:rsidTr="00851ED2">
        <w:trPr>
          <w:trHeight w:val="315"/>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7B138066"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2</w:t>
            </w:r>
          </w:p>
        </w:tc>
        <w:tc>
          <w:tcPr>
            <w:tcW w:w="1288" w:type="dxa"/>
            <w:tcBorders>
              <w:top w:val="nil"/>
              <w:left w:val="nil"/>
              <w:bottom w:val="single" w:sz="8" w:space="0" w:color="auto"/>
              <w:right w:val="single" w:sz="8" w:space="0" w:color="auto"/>
            </w:tcBorders>
            <w:shd w:val="clear" w:color="auto" w:fill="auto"/>
            <w:noWrap/>
            <w:vAlign w:val="bottom"/>
            <w:hideMark/>
          </w:tcPr>
          <w:p w14:paraId="3631B088"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081104190G</w:t>
            </w:r>
          </w:p>
        </w:tc>
        <w:tc>
          <w:tcPr>
            <w:tcW w:w="5967" w:type="dxa"/>
            <w:tcBorders>
              <w:top w:val="nil"/>
              <w:left w:val="nil"/>
              <w:bottom w:val="single" w:sz="8" w:space="0" w:color="auto"/>
              <w:right w:val="single" w:sz="8" w:space="0" w:color="auto"/>
            </w:tcBorders>
            <w:shd w:val="clear" w:color="auto" w:fill="auto"/>
            <w:noWrap/>
            <w:vAlign w:val="bottom"/>
            <w:hideMark/>
          </w:tcPr>
          <w:p w14:paraId="2B4E2567"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DIAMOND CIMENT MALI SA</w:t>
            </w:r>
          </w:p>
        </w:tc>
        <w:tc>
          <w:tcPr>
            <w:tcW w:w="1900" w:type="dxa"/>
            <w:tcBorders>
              <w:top w:val="nil"/>
              <w:left w:val="nil"/>
              <w:bottom w:val="single" w:sz="8" w:space="0" w:color="auto"/>
              <w:right w:val="single" w:sz="8" w:space="0" w:color="auto"/>
            </w:tcBorders>
            <w:shd w:val="clear" w:color="auto" w:fill="auto"/>
            <w:noWrap/>
            <w:vAlign w:val="bottom"/>
            <w:hideMark/>
          </w:tcPr>
          <w:p w14:paraId="6FFDABA5"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DIAMOND CEMENT </w:t>
            </w:r>
          </w:p>
        </w:tc>
        <w:tc>
          <w:tcPr>
            <w:tcW w:w="2665" w:type="dxa"/>
            <w:tcBorders>
              <w:top w:val="nil"/>
              <w:left w:val="nil"/>
              <w:bottom w:val="single" w:sz="8" w:space="0" w:color="auto"/>
              <w:right w:val="single" w:sz="8" w:space="0" w:color="auto"/>
            </w:tcBorders>
            <w:shd w:val="clear" w:color="auto" w:fill="auto"/>
            <w:noWrap/>
            <w:vAlign w:val="bottom"/>
            <w:hideMark/>
          </w:tcPr>
          <w:p w14:paraId="71AEC0DD"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Exploitation des carrières</w:t>
            </w:r>
          </w:p>
        </w:tc>
        <w:tc>
          <w:tcPr>
            <w:tcW w:w="1843" w:type="dxa"/>
            <w:tcBorders>
              <w:top w:val="nil"/>
              <w:left w:val="nil"/>
              <w:bottom w:val="single" w:sz="8" w:space="0" w:color="auto"/>
              <w:right w:val="single" w:sz="8" w:space="0" w:color="auto"/>
            </w:tcBorders>
            <w:shd w:val="clear" w:color="auto" w:fill="auto"/>
            <w:noWrap/>
            <w:vAlign w:val="bottom"/>
            <w:hideMark/>
          </w:tcPr>
          <w:p w14:paraId="5829DC17"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1 685 704 223 </w:t>
            </w:r>
          </w:p>
        </w:tc>
      </w:tr>
      <w:tr w:rsidR="00EB5570" w:rsidRPr="00EB5570" w14:paraId="70011C6D" w14:textId="77777777" w:rsidTr="00851ED2">
        <w:trPr>
          <w:trHeight w:val="315"/>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1F6F2964"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3</w:t>
            </w:r>
          </w:p>
        </w:tc>
        <w:tc>
          <w:tcPr>
            <w:tcW w:w="1288" w:type="dxa"/>
            <w:tcBorders>
              <w:top w:val="nil"/>
              <w:left w:val="nil"/>
              <w:bottom w:val="single" w:sz="8" w:space="0" w:color="auto"/>
              <w:right w:val="single" w:sz="8" w:space="0" w:color="auto"/>
            </w:tcBorders>
            <w:shd w:val="clear" w:color="auto" w:fill="auto"/>
            <w:noWrap/>
            <w:vAlign w:val="bottom"/>
            <w:hideMark/>
          </w:tcPr>
          <w:p w14:paraId="06939F73"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087800040B</w:t>
            </w:r>
          </w:p>
        </w:tc>
        <w:tc>
          <w:tcPr>
            <w:tcW w:w="5967" w:type="dxa"/>
            <w:tcBorders>
              <w:top w:val="nil"/>
              <w:left w:val="nil"/>
              <w:bottom w:val="single" w:sz="8" w:space="0" w:color="auto"/>
              <w:right w:val="single" w:sz="8" w:space="0" w:color="auto"/>
            </w:tcBorders>
            <w:shd w:val="clear" w:color="auto" w:fill="auto"/>
            <w:noWrap/>
            <w:vAlign w:val="bottom"/>
            <w:hideMark/>
          </w:tcPr>
          <w:p w14:paraId="6858A224" w14:textId="7DB52D9B"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SOCIÉTÉ DES MINES DE SYAMA</w:t>
            </w:r>
          </w:p>
        </w:tc>
        <w:tc>
          <w:tcPr>
            <w:tcW w:w="1900" w:type="dxa"/>
            <w:tcBorders>
              <w:top w:val="nil"/>
              <w:left w:val="nil"/>
              <w:bottom w:val="single" w:sz="8" w:space="0" w:color="auto"/>
              <w:right w:val="single" w:sz="8" w:space="0" w:color="auto"/>
            </w:tcBorders>
            <w:shd w:val="clear" w:color="auto" w:fill="auto"/>
            <w:noWrap/>
            <w:vAlign w:val="bottom"/>
            <w:hideMark/>
          </w:tcPr>
          <w:p w14:paraId="2B513517"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SOMISY </w:t>
            </w:r>
          </w:p>
        </w:tc>
        <w:tc>
          <w:tcPr>
            <w:tcW w:w="2665" w:type="dxa"/>
            <w:tcBorders>
              <w:top w:val="nil"/>
              <w:left w:val="nil"/>
              <w:bottom w:val="single" w:sz="8" w:space="0" w:color="auto"/>
              <w:right w:val="single" w:sz="8" w:space="0" w:color="auto"/>
            </w:tcBorders>
            <w:shd w:val="clear" w:color="auto" w:fill="auto"/>
            <w:noWrap/>
            <w:vAlign w:val="bottom"/>
            <w:hideMark/>
          </w:tcPr>
          <w:p w14:paraId="656E906A"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Exploitation Or</w:t>
            </w:r>
          </w:p>
        </w:tc>
        <w:tc>
          <w:tcPr>
            <w:tcW w:w="1843" w:type="dxa"/>
            <w:tcBorders>
              <w:top w:val="nil"/>
              <w:left w:val="nil"/>
              <w:bottom w:val="single" w:sz="8" w:space="0" w:color="auto"/>
              <w:right w:val="single" w:sz="8" w:space="0" w:color="auto"/>
            </w:tcBorders>
            <w:shd w:val="clear" w:color="auto" w:fill="auto"/>
            <w:noWrap/>
            <w:vAlign w:val="bottom"/>
            <w:hideMark/>
          </w:tcPr>
          <w:p w14:paraId="5DA72346" w14:textId="2E7880DD"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25 383 758 016 </w:t>
            </w:r>
          </w:p>
        </w:tc>
      </w:tr>
      <w:tr w:rsidR="00EB5570" w:rsidRPr="00EB5570" w14:paraId="49D3B916" w14:textId="77777777" w:rsidTr="00851ED2">
        <w:trPr>
          <w:trHeight w:val="315"/>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75AC864B"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4</w:t>
            </w:r>
          </w:p>
        </w:tc>
        <w:tc>
          <w:tcPr>
            <w:tcW w:w="1288" w:type="dxa"/>
            <w:tcBorders>
              <w:top w:val="nil"/>
              <w:left w:val="nil"/>
              <w:bottom w:val="single" w:sz="8" w:space="0" w:color="auto"/>
              <w:right w:val="single" w:sz="8" w:space="0" w:color="auto"/>
            </w:tcBorders>
            <w:shd w:val="clear" w:color="auto" w:fill="auto"/>
            <w:noWrap/>
            <w:vAlign w:val="bottom"/>
            <w:hideMark/>
          </w:tcPr>
          <w:p w14:paraId="76A8DF75"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087800054F</w:t>
            </w:r>
          </w:p>
        </w:tc>
        <w:tc>
          <w:tcPr>
            <w:tcW w:w="5967" w:type="dxa"/>
            <w:tcBorders>
              <w:top w:val="nil"/>
              <w:left w:val="nil"/>
              <w:bottom w:val="single" w:sz="8" w:space="0" w:color="auto"/>
              <w:right w:val="single" w:sz="8" w:space="0" w:color="auto"/>
            </w:tcBorders>
            <w:shd w:val="clear" w:color="auto" w:fill="auto"/>
            <w:noWrap/>
            <w:vAlign w:val="bottom"/>
            <w:hideMark/>
          </w:tcPr>
          <w:p w14:paraId="47918137" w14:textId="78012579"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SOCIÉTÉ DES EAUX MINÉRALES MALI</w:t>
            </w:r>
          </w:p>
        </w:tc>
        <w:tc>
          <w:tcPr>
            <w:tcW w:w="1900" w:type="dxa"/>
            <w:tcBorders>
              <w:top w:val="nil"/>
              <w:left w:val="nil"/>
              <w:bottom w:val="single" w:sz="8" w:space="0" w:color="auto"/>
              <w:right w:val="single" w:sz="8" w:space="0" w:color="auto"/>
            </w:tcBorders>
            <w:shd w:val="clear" w:color="auto" w:fill="auto"/>
            <w:noWrap/>
            <w:vAlign w:val="bottom"/>
            <w:hideMark/>
          </w:tcPr>
          <w:p w14:paraId="3417029B"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EMM </w:t>
            </w:r>
          </w:p>
        </w:tc>
        <w:tc>
          <w:tcPr>
            <w:tcW w:w="2665" w:type="dxa"/>
            <w:tcBorders>
              <w:top w:val="nil"/>
              <w:left w:val="nil"/>
              <w:bottom w:val="single" w:sz="8" w:space="0" w:color="auto"/>
              <w:right w:val="single" w:sz="8" w:space="0" w:color="auto"/>
            </w:tcBorders>
            <w:shd w:val="clear" w:color="auto" w:fill="auto"/>
            <w:noWrap/>
            <w:vAlign w:val="bottom"/>
            <w:hideMark/>
          </w:tcPr>
          <w:p w14:paraId="71CBD62A"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Exploitation eaux minérales</w:t>
            </w:r>
          </w:p>
        </w:tc>
        <w:tc>
          <w:tcPr>
            <w:tcW w:w="1843" w:type="dxa"/>
            <w:tcBorders>
              <w:top w:val="nil"/>
              <w:left w:val="nil"/>
              <w:bottom w:val="single" w:sz="8" w:space="0" w:color="auto"/>
              <w:right w:val="single" w:sz="8" w:space="0" w:color="auto"/>
            </w:tcBorders>
            <w:shd w:val="clear" w:color="auto" w:fill="auto"/>
            <w:noWrap/>
            <w:vAlign w:val="bottom"/>
            <w:hideMark/>
          </w:tcPr>
          <w:p w14:paraId="33E3EBA4"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1 006 708 040 </w:t>
            </w:r>
          </w:p>
        </w:tc>
      </w:tr>
      <w:tr w:rsidR="00EB5570" w:rsidRPr="00EB5570" w14:paraId="655F1AE9" w14:textId="77777777" w:rsidTr="00851ED2">
        <w:trPr>
          <w:trHeight w:val="315"/>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5A7057E8"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5</w:t>
            </w:r>
          </w:p>
        </w:tc>
        <w:tc>
          <w:tcPr>
            <w:tcW w:w="1288" w:type="dxa"/>
            <w:tcBorders>
              <w:top w:val="nil"/>
              <w:left w:val="nil"/>
              <w:bottom w:val="single" w:sz="8" w:space="0" w:color="auto"/>
              <w:right w:val="single" w:sz="8" w:space="0" w:color="auto"/>
            </w:tcBorders>
            <w:shd w:val="clear" w:color="auto" w:fill="auto"/>
            <w:noWrap/>
            <w:vAlign w:val="bottom"/>
            <w:hideMark/>
          </w:tcPr>
          <w:p w14:paraId="22E95419"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087800209E</w:t>
            </w:r>
          </w:p>
        </w:tc>
        <w:tc>
          <w:tcPr>
            <w:tcW w:w="5967" w:type="dxa"/>
            <w:tcBorders>
              <w:top w:val="nil"/>
              <w:left w:val="nil"/>
              <w:bottom w:val="single" w:sz="8" w:space="0" w:color="auto"/>
              <w:right w:val="single" w:sz="8" w:space="0" w:color="auto"/>
            </w:tcBorders>
            <w:shd w:val="clear" w:color="auto" w:fill="auto"/>
            <w:noWrap/>
            <w:vAlign w:val="bottom"/>
            <w:hideMark/>
          </w:tcPr>
          <w:p w14:paraId="6C4BFD60" w14:textId="100B4D89"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SOCIÉTÉ D'EXPLOITATION DES MINES OR DE SADIOLA SA</w:t>
            </w:r>
          </w:p>
        </w:tc>
        <w:tc>
          <w:tcPr>
            <w:tcW w:w="1900" w:type="dxa"/>
            <w:tcBorders>
              <w:top w:val="nil"/>
              <w:left w:val="nil"/>
              <w:bottom w:val="single" w:sz="8" w:space="0" w:color="auto"/>
              <w:right w:val="single" w:sz="8" w:space="0" w:color="auto"/>
            </w:tcBorders>
            <w:shd w:val="clear" w:color="auto" w:fill="auto"/>
            <w:noWrap/>
            <w:vAlign w:val="bottom"/>
            <w:hideMark/>
          </w:tcPr>
          <w:p w14:paraId="3A4431DA"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SEMOS </w:t>
            </w:r>
          </w:p>
        </w:tc>
        <w:tc>
          <w:tcPr>
            <w:tcW w:w="2665" w:type="dxa"/>
            <w:tcBorders>
              <w:top w:val="nil"/>
              <w:left w:val="nil"/>
              <w:bottom w:val="single" w:sz="8" w:space="0" w:color="auto"/>
              <w:right w:val="single" w:sz="8" w:space="0" w:color="auto"/>
            </w:tcBorders>
            <w:shd w:val="clear" w:color="auto" w:fill="auto"/>
            <w:noWrap/>
            <w:vAlign w:val="bottom"/>
            <w:hideMark/>
          </w:tcPr>
          <w:p w14:paraId="65395A46"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Exploitation Or</w:t>
            </w:r>
          </w:p>
        </w:tc>
        <w:tc>
          <w:tcPr>
            <w:tcW w:w="1843" w:type="dxa"/>
            <w:tcBorders>
              <w:top w:val="nil"/>
              <w:left w:val="nil"/>
              <w:bottom w:val="single" w:sz="8" w:space="0" w:color="auto"/>
              <w:right w:val="single" w:sz="8" w:space="0" w:color="auto"/>
            </w:tcBorders>
            <w:shd w:val="clear" w:color="auto" w:fill="auto"/>
            <w:noWrap/>
            <w:vAlign w:val="bottom"/>
            <w:hideMark/>
          </w:tcPr>
          <w:p w14:paraId="644926B7" w14:textId="659638EE"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18 147 251 679 </w:t>
            </w:r>
          </w:p>
        </w:tc>
      </w:tr>
      <w:tr w:rsidR="00EB5570" w:rsidRPr="00EB5570" w14:paraId="1A65975E" w14:textId="77777777" w:rsidTr="00851ED2">
        <w:trPr>
          <w:trHeight w:val="315"/>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0C985415"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6</w:t>
            </w:r>
          </w:p>
        </w:tc>
        <w:tc>
          <w:tcPr>
            <w:tcW w:w="1288" w:type="dxa"/>
            <w:tcBorders>
              <w:top w:val="nil"/>
              <w:left w:val="nil"/>
              <w:bottom w:val="single" w:sz="8" w:space="0" w:color="auto"/>
              <w:right w:val="single" w:sz="8" w:space="0" w:color="auto"/>
            </w:tcBorders>
            <w:shd w:val="clear" w:color="auto" w:fill="auto"/>
            <w:noWrap/>
            <w:vAlign w:val="bottom"/>
            <w:hideMark/>
          </w:tcPr>
          <w:p w14:paraId="4ADE71A2"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087800300L</w:t>
            </w:r>
          </w:p>
        </w:tc>
        <w:tc>
          <w:tcPr>
            <w:tcW w:w="5967" w:type="dxa"/>
            <w:tcBorders>
              <w:top w:val="nil"/>
              <w:left w:val="nil"/>
              <w:bottom w:val="single" w:sz="8" w:space="0" w:color="auto"/>
              <w:right w:val="single" w:sz="8" w:space="0" w:color="auto"/>
            </w:tcBorders>
            <w:shd w:val="clear" w:color="auto" w:fill="auto"/>
            <w:noWrap/>
            <w:vAlign w:val="bottom"/>
            <w:hideMark/>
          </w:tcPr>
          <w:p w14:paraId="52BA430B" w14:textId="1B6534BC"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SOCIÉTÉ DES MINES DE LOULO</w:t>
            </w:r>
          </w:p>
        </w:tc>
        <w:tc>
          <w:tcPr>
            <w:tcW w:w="1900" w:type="dxa"/>
            <w:tcBorders>
              <w:top w:val="nil"/>
              <w:left w:val="nil"/>
              <w:bottom w:val="single" w:sz="8" w:space="0" w:color="auto"/>
              <w:right w:val="single" w:sz="8" w:space="0" w:color="auto"/>
            </w:tcBorders>
            <w:shd w:val="clear" w:color="auto" w:fill="auto"/>
            <w:noWrap/>
            <w:vAlign w:val="bottom"/>
            <w:hideMark/>
          </w:tcPr>
          <w:p w14:paraId="4EAAEC1D"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SOMILO </w:t>
            </w:r>
          </w:p>
        </w:tc>
        <w:tc>
          <w:tcPr>
            <w:tcW w:w="2665" w:type="dxa"/>
            <w:tcBorders>
              <w:top w:val="nil"/>
              <w:left w:val="nil"/>
              <w:bottom w:val="single" w:sz="8" w:space="0" w:color="auto"/>
              <w:right w:val="single" w:sz="8" w:space="0" w:color="auto"/>
            </w:tcBorders>
            <w:shd w:val="clear" w:color="auto" w:fill="auto"/>
            <w:noWrap/>
            <w:vAlign w:val="bottom"/>
            <w:hideMark/>
          </w:tcPr>
          <w:p w14:paraId="0E30FCB0"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Exploitation Or</w:t>
            </w:r>
          </w:p>
        </w:tc>
        <w:tc>
          <w:tcPr>
            <w:tcW w:w="1843" w:type="dxa"/>
            <w:tcBorders>
              <w:top w:val="nil"/>
              <w:left w:val="nil"/>
              <w:bottom w:val="single" w:sz="8" w:space="0" w:color="auto"/>
              <w:right w:val="single" w:sz="8" w:space="0" w:color="auto"/>
            </w:tcBorders>
            <w:shd w:val="clear" w:color="auto" w:fill="auto"/>
            <w:noWrap/>
            <w:vAlign w:val="bottom"/>
            <w:hideMark/>
          </w:tcPr>
          <w:p w14:paraId="085AB1D9" w14:textId="74FDA319"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72 572 166 368 </w:t>
            </w:r>
          </w:p>
        </w:tc>
      </w:tr>
      <w:tr w:rsidR="00EB5570" w:rsidRPr="00EB5570" w14:paraId="50AC2839" w14:textId="77777777" w:rsidTr="00851ED2">
        <w:trPr>
          <w:trHeight w:val="315"/>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466CBA34"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7</w:t>
            </w:r>
          </w:p>
        </w:tc>
        <w:tc>
          <w:tcPr>
            <w:tcW w:w="1288" w:type="dxa"/>
            <w:tcBorders>
              <w:top w:val="nil"/>
              <w:left w:val="nil"/>
              <w:bottom w:val="single" w:sz="8" w:space="0" w:color="auto"/>
              <w:right w:val="single" w:sz="8" w:space="0" w:color="auto"/>
            </w:tcBorders>
            <w:shd w:val="clear" w:color="auto" w:fill="auto"/>
            <w:noWrap/>
            <w:vAlign w:val="bottom"/>
            <w:hideMark/>
          </w:tcPr>
          <w:p w14:paraId="54303A8D"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087800368L</w:t>
            </w:r>
          </w:p>
        </w:tc>
        <w:tc>
          <w:tcPr>
            <w:tcW w:w="5967" w:type="dxa"/>
            <w:tcBorders>
              <w:top w:val="nil"/>
              <w:left w:val="nil"/>
              <w:bottom w:val="single" w:sz="8" w:space="0" w:color="auto"/>
              <w:right w:val="single" w:sz="8" w:space="0" w:color="auto"/>
            </w:tcBorders>
            <w:shd w:val="clear" w:color="auto" w:fill="auto"/>
            <w:noWrap/>
            <w:vAlign w:val="bottom"/>
            <w:hideMark/>
          </w:tcPr>
          <w:p w14:paraId="59430F02" w14:textId="37E1B869"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SOCIÉTÉ DES MINES DE MORILA</w:t>
            </w:r>
          </w:p>
        </w:tc>
        <w:tc>
          <w:tcPr>
            <w:tcW w:w="1900" w:type="dxa"/>
            <w:tcBorders>
              <w:top w:val="nil"/>
              <w:left w:val="nil"/>
              <w:bottom w:val="single" w:sz="8" w:space="0" w:color="auto"/>
              <w:right w:val="single" w:sz="8" w:space="0" w:color="auto"/>
            </w:tcBorders>
            <w:shd w:val="clear" w:color="auto" w:fill="auto"/>
            <w:noWrap/>
            <w:vAlign w:val="bottom"/>
            <w:hideMark/>
          </w:tcPr>
          <w:p w14:paraId="7CA3AD1E"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MORILA </w:t>
            </w:r>
          </w:p>
        </w:tc>
        <w:tc>
          <w:tcPr>
            <w:tcW w:w="2665" w:type="dxa"/>
            <w:tcBorders>
              <w:top w:val="nil"/>
              <w:left w:val="nil"/>
              <w:bottom w:val="single" w:sz="8" w:space="0" w:color="auto"/>
              <w:right w:val="single" w:sz="8" w:space="0" w:color="auto"/>
            </w:tcBorders>
            <w:shd w:val="clear" w:color="auto" w:fill="auto"/>
            <w:noWrap/>
            <w:vAlign w:val="bottom"/>
            <w:hideMark/>
          </w:tcPr>
          <w:p w14:paraId="2E355F98"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Exploitation Or</w:t>
            </w:r>
          </w:p>
        </w:tc>
        <w:tc>
          <w:tcPr>
            <w:tcW w:w="1843" w:type="dxa"/>
            <w:tcBorders>
              <w:top w:val="nil"/>
              <w:left w:val="nil"/>
              <w:bottom w:val="single" w:sz="8" w:space="0" w:color="auto"/>
              <w:right w:val="single" w:sz="8" w:space="0" w:color="auto"/>
            </w:tcBorders>
            <w:shd w:val="clear" w:color="auto" w:fill="auto"/>
            <w:noWrap/>
            <w:vAlign w:val="bottom"/>
            <w:hideMark/>
          </w:tcPr>
          <w:p w14:paraId="50A12242" w14:textId="6C78D130"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19 633 222 073 </w:t>
            </w:r>
          </w:p>
        </w:tc>
      </w:tr>
      <w:tr w:rsidR="00EB5570" w:rsidRPr="00EB5570" w14:paraId="2B508EB6" w14:textId="77777777" w:rsidTr="00851ED2">
        <w:trPr>
          <w:trHeight w:val="315"/>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77900246"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8</w:t>
            </w:r>
          </w:p>
        </w:tc>
        <w:tc>
          <w:tcPr>
            <w:tcW w:w="1288" w:type="dxa"/>
            <w:tcBorders>
              <w:top w:val="nil"/>
              <w:left w:val="nil"/>
              <w:bottom w:val="single" w:sz="8" w:space="0" w:color="auto"/>
              <w:right w:val="single" w:sz="8" w:space="0" w:color="auto"/>
            </w:tcBorders>
            <w:shd w:val="clear" w:color="auto" w:fill="auto"/>
            <w:noWrap/>
            <w:vAlign w:val="bottom"/>
            <w:hideMark/>
          </w:tcPr>
          <w:p w14:paraId="6AB42306"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087800378X</w:t>
            </w:r>
          </w:p>
        </w:tc>
        <w:tc>
          <w:tcPr>
            <w:tcW w:w="5967" w:type="dxa"/>
            <w:tcBorders>
              <w:top w:val="nil"/>
              <w:left w:val="nil"/>
              <w:bottom w:val="single" w:sz="8" w:space="0" w:color="auto"/>
              <w:right w:val="single" w:sz="8" w:space="0" w:color="auto"/>
            </w:tcBorders>
            <w:shd w:val="clear" w:color="auto" w:fill="auto"/>
            <w:noWrap/>
            <w:vAlign w:val="bottom"/>
            <w:hideMark/>
          </w:tcPr>
          <w:p w14:paraId="1BB09717"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SEGALA MINING CORPORATION</w:t>
            </w:r>
          </w:p>
        </w:tc>
        <w:tc>
          <w:tcPr>
            <w:tcW w:w="1900" w:type="dxa"/>
            <w:tcBorders>
              <w:top w:val="nil"/>
              <w:left w:val="nil"/>
              <w:bottom w:val="single" w:sz="8" w:space="0" w:color="auto"/>
              <w:right w:val="single" w:sz="8" w:space="0" w:color="auto"/>
            </w:tcBorders>
            <w:shd w:val="clear" w:color="auto" w:fill="auto"/>
            <w:noWrap/>
            <w:vAlign w:val="bottom"/>
            <w:hideMark/>
          </w:tcPr>
          <w:p w14:paraId="60A11523"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SEMICO </w:t>
            </w:r>
          </w:p>
        </w:tc>
        <w:tc>
          <w:tcPr>
            <w:tcW w:w="2665" w:type="dxa"/>
            <w:tcBorders>
              <w:top w:val="nil"/>
              <w:left w:val="nil"/>
              <w:bottom w:val="single" w:sz="8" w:space="0" w:color="auto"/>
              <w:right w:val="single" w:sz="8" w:space="0" w:color="auto"/>
            </w:tcBorders>
            <w:shd w:val="clear" w:color="auto" w:fill="auto"/>
            <w:noWrap/>
            <w:vAlign w:val="bottom"/>
            <w:hideMark/>
          </w:tcPr>
          <w:p w14:paraId="1EB4BA01"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Exploitation Or</w:t>
            </w:r>
          </w:p>
        </w:tc>
        <w:tc>
          <w:tcPr>
            <w:tcW w:w="1843" w:type="dxa"/>
            <w:tcBorders>
              <w:top w:val="nil"/>
              <w:left w:val="nil"/>
              <w:bottom w:val="single" w:sz="8" w:space="0" w:color="auto"/>
              <w:right w:val="single" w:sz="8" w:space="0" w:color="auto"/>
            </w:tcBorders>
            <w:shd w:val="clear" w:color="auto" w:fill="auto"/>
            <w:noWrap/>
            <w:vAlign w:val="bottom"/>
            <w:hideMark/>
          </w:tcPr>
          <w:p w14:paraId="16508D7C" w14:textId="4B1216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20 839 158 836 </w:t>
            </w:r>
          </w:p>
        </w:tc>
      </w:tr>
      <w:tr w:rsidR="00EB5570" w:rsidRPr="00EB5570" w14:paraId="134FC9AF" w14:textId="77777777" w:rsidTr="00851ED2">
        <w:trPr>
          <w:trHeight w:val="315"/>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4C7FAC97"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9</w:t>
            </w:r>
          </w:p>
        </w:tc>
        <w:tc>
          <w:tcPr>
            <w:tcW w:w="1288" w:type="dxa"/>
            <w:tcBorders>
              <w:top w:val="nil"/>
              <w:left w:val="nil"/>
              <w:bottom w:val="single" w:sz="8" w:space="0" w:color="auto"/>
              <w:right w:val="single" w:sz="8" w:space="0" w:color="auto"/>
            </w:tcBorders>
            <w:shd w:val="clear" w:color="auto" w:fill="auto"/>
            <w:noWrap/>
            <w:vAlign w:val="bottom"/>
            <w:hideMark/>
          </w:tcPr>
          <w:p w14:paraId="590CF9D7"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087800492H</w:t>
            </w:r>
          </w:p>
        </w:tc>
        <w:tc>
          <w:tcPr>
            <w:tcW w:w="5967" w:type="dxa"/>
            <w:tcBorders>
              <w:top w:val="nil"/>
              <w:left w:val="nil"/>
              <w:bottom w:val="single" w:sz="8" w:space="0" w:color="auto"/>
              <w:right w:val="single" w:sz="8" w:space="0" w:color="auto"/>
            </w:tcBorders>
            <w:shd w:val="clear" w:color="auto" w:fill="auto"/>
            <w:noWrap/>
            <w:vAlign w:val="bottom"/>
            <w:hideMark/>
          </w:tcPr>
          <w:p w14:paraId="61D996E7"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FABOULA GOLD SA</w:t>
            </w:r>
          </w:p>
        </w:tc>
        <w:tc>
          <w:tcPr>
            <w:tcW w:w="1900" w:type="dxa"/>
            <w:tcBorders>
              <w:top w:val="nil"/>
              <w:left w:val="nil"/>
              <w:bottom w:val="single" w:sz="8" w:space="0" w:color="auto"/>
              <w:right w:val="single" w:sz="8" w:space="0" w:color="auto"/>
            </w:tcBorders>
            <w:shd w:val="clear" w:color="auto" w:fill="auto"/>
            <w:noWrap/>
            <w:vAlign w:val="bottom"/>
            <w:hideMark/>
          </w:tcPr>
          <w:p w14:paraId="737F0809"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FABOULA</w:t>
            </w:r>
          </w:p>
        </w:tc>
        <w:tc>
          <w:tcPr>
            <w:tcW w:w="2665" w:type="dxa"/>
            <w:tcBorders>
              <w:top w:val="nil"/>
              <w:left w:val="nil"/>
              <w:bottom w:val="single" w:sz="8" w:space="0" w:color="auto"/>
              <w:right w:val="single" w:sz="8" w:space="0" w:color="auto"/>
            </w:tcBorders>
            <w:shd w:val="clear" w:color="auto" w:fill="auto"/>
            <w:noWrap/>
            <w:vAlign w:val="bottom"/>
            <w:hideMark/>
          </w:tcPr>
          <w:p w14:paraId="6B644597"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Exploitation Or</w:t>
            </w:r>
          </w:p>
        </w:tc>
        <w:tc>
          <w:tcPr>
            <w:tcW w:w="1843" w:type="dxa"/>
            <w:tcBorders>
              <w:top w:val="nil"/>
              <w:left w:val="nil"/>
              <w:bottom w:val="single" w:sz="8" w:space="0" w:color="auto"/>
              <w:right w:val="single" w:sz="8" w:space="0" w:color="auto"/>
            </w:tcBorders>
            <w:shd w:val="clear" w:color="auto" w:fill="auto"/>
            <w:noWrap/>
            <w:vAlign w:val="bottom"/>
            <w:hideMark/>
          </w:tcPr>
          <w:p w14:paraId="00CEA9AC"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1 450 734 203 </w:t>
            </w:r>
          </w:p>
        </w:tc>
      </w:tr>
      <w:tr w:rsidR="00EB5570" w:rsidRPr="00EB5570" w14:paraId="2429ECC5" w14:textId="77777777" w:rsidTr="00851ED2">
        <w:trPr>
          <w:trHeight w:val="315"/>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76F8F9C4"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10</w:t>
            </w:r>
          </w:p>
        </w:tc>
        <w:tc>
          <w:tcPr>
            <w:tcW w:w="1288" w:type="dxa"/>
            <w:tcBorders>
              <w:top w:val="nil"/>
              <w:left w:val="nil"/>
              <w:bottom w:val="single" w:sz="8" w:space="0" w:color="auto"/>
              <w:right w:val="single" w:sz="8" w:space="0" w:color="auto"/>
            </w:tcBorders>
            <w:shd w:val="clear" w:color="auto" w:fill="auto"/>
            <w:noWrap/>
            <w:vAlign w:val="bottom"/>
            <w:hideMark/>
          </w:tcPr>
          <w:p w14:paraId="4892CC93"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087800500E</w:t>
            </w:r>
          </w:p>
        </w:tc>
        <w:tc>
          <w:tcPr>
            <w:tcW w:w="5967" w:type="dxa"/>
            <w:tcBorders>
              <w:top w:val="nil"/>
              <w:left w:val="nil"/>
              <w:bottom w:val="single" w:sz="8" w:space="0" w:color="auto"/>
              <w:right w:val="single" w:sz="8" w:space="0" w:color="auto"/>
            </w:tcBorders>
            <w:shd w:val="clear" w:color="auto" w:fill="auto"/>
            <w:noWrap/>
            <w:vAlign w:val="bottom"/>
            <w:hideMark/>
          </w:tcPr>
          <w:p w14:paraId="42BF0915"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SOCARCO SARL</w:t>
            </w:r>
          </w:p>
        </w:tc>
        <w:tc>
          <w:tcPr>
            <w:tcW w:w="1900" w:type="dxa"/>
            <w:tcBorders>
              <w:top w:val="nil"/>
              <w:left w:val="nil"/>
              <w:bottom w:val="single" w:sz="8" w:space="0" w:color="auto"/>
              <w:right w:val="single" w:sz="8" w:space="0" w:color="auto"/>
            </w:tcBorders>
            <w:shd w:val="clear" w:color="auto" w:fill="auto"/>
            <w:noWrap/>
            <w:vAlign w:val="bottom"/>
            <w:hideMark/>
          </w:tcPr>
          <w:p w14:paraId="35CC30C3"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SOCARCO </w:t>
            </w:r>
          </w:p>
        </w:tc>
        <w:tc>
          <w:tcPr>
            <w:tcW w:w="2665" w:type="dxa"/>
            <w:tcBorders>
              <w:top w:val="nil"/>
              <w:left w:val="nil"/>
              <w:bottom w:val="single" w:sz="8" w:space="0" w:color="auto"/>
              <w:right w:val="single" w:sz="8" w:space="0" w:color="auto"/>
            </w:tcBorders>
            <w:shd w:val="clear" w:color="auto" w:fill="auto"/>
            <w:noWrap/>
            <w:vAlign w:val="bottom"/>
            <w:hideMark/>
          </w:tcPr>
          <w:p w14:paraId="75778346"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Exploitation des carrières</w:t>
            </w:r>
          </w:p>
        </w:tc>
        <w:tc>
          <w:tcPr>
            <w:tcW w:w="1843" w:type="dxa"/>
            <w:tcBorders>
              <w:top w:val="nil"/>
              <w:left w:val="nil"/>
              <w:bottom w:val="single" w:sz="8" w:space="0" w:color="auto"/>
              <w:right w:val="single" w:sz="8" w:space="0" w:color="auto"/>
            </w:tcBorders>
            <w:shd w:val="clear" w:color="auto" w:fill="auto"/>
            <w:noWrap/>
            <w:vAlign w:val="bottom"/>
            <w:hideMark/>
          </w:tcPr>
          <w:p w14:paraId="04F41DDA"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348 950 742 </w:t>
            </w:r>
          </w:p>
        </w:tc>
      </w:tr>
      <w:tr w:rsidR="00EB5570" w:rsidRPr="00EB5570" w14:paraId="18A908A8" w14:textId="77777777" w:rsidTr="00851ED2">
        <w:trPr>
          <w:trHeight w:val="315"/>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776CFA5C"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11</w:t>
            </w:r>
          </w:p>
        </w:tc>
        <w:tc>
          <w:tcPr>
            <w:tcW w:w="1288" w:type="dxa"/>
            <w:tcBorders>
              <w:top w:val="nil"/>
              <w:left w:val="nil"/>
              <w:bottom w:val="single" w:sz="8" w:space="0" w:color="auto"/>
              <w:right w:val="single" w:sz="8" w:space="0" w:color="auto"/>
            </w:tcBorders>
            <w:shd w:val="clear" w:color="auto" w:fill="auto"/>
            <w:noWrap/>
            <w:vAlign w:val="bottom"/>
            <w:hideMark/>
          </w:tcPr>
          <w:p w14:paraId="2ACD8F7D"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087800504A</w:t>
            </w:r>
          </w:p>
        </w:tc>
        <w:tc>
          <w:tcPr>
            <w:tcW w:w="5967" w:type="dxa"/>
            <w:tcBorders>
              <w:top w:val="nil"/>
              <w:left w:val="nil"/>
              <w:bottom w:val="single" w:sz="8" w:space="0" w:color="auto"/>
              <w:right w:val="single" w:sz="8" w:space="0" w:color="auto"/>
            </w:tcBorders>
            <w:shd w:val="clear" w:color="auto" w:fill="auto"/>
            <w:noWrap/>
            <w:vAlign w:val="bottom"/>
            <w:hideMark/>
          </w:tcPr>
          <w:p w14:paraId="2B066FD3"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SOCIETE DES MINES D'OR DE KALANA</w:t>
            </w:r>
          </w:p>
        </w:tc>
        <w:tc>
          <w:tcPr>
            <w:tcW w:w="1900" w:type="dxa"/>
            <w:tcBorders>
              <w:top w:val="nil"/>
              <w:left w:val="nil"/>
              <w:bottom w:val="single" w:sz="8" w:space="0" w:color="auto"/>
              <w:right w:val="single" w:sz="8" w:space="0" w:color="auto"/>
            </w:tcBorders>
            <w:shd w:val="clear" w:color="auto" w:fill="auto"/>
            <w:noWrap/>
            <w:vAlign w:val="bottom"/>
            <w:hideMark/>
          </w:tcPr>
          <w:p w14:paraId="30FCBB15"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SOMIKA </w:t>
            </w:r>
          </w:p>
        </w:tc>
        <w:tc>
          <w:tcPr>
            <w:tcW w:w="2665" w:type="dxa"/>
            <w:tcBorders>
              <w:top w:val="nil"/>
              <w:left w:val="nil"/>
              <w:bottom w:val="single" w:sz="8" w:space="0" w:color="auto"/>
              <w:right w:val="single" w:sz="8" w:space="0" w:color="auto"/>
            </w:tcBorders>
            <w:shd w:val="clear" w:color="auto" w:fill="auto"/>
            <w:noWrap/>
            <w:vAlign w:val="bottom"/>
            <w:hideMark/>
          </w:tcPr>
          <w:p w14:paraId="6AA1EEC4"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Exploitation Or</w:t>
            </w:r>
          </w:p>
        </w:tc>
        <w:tc>
          <w:tcPr>
            <w:tcW w:w="1843" w:type="dxa"/>
            <w:tcBorders>
              <w:top w:val="nil"/>
              <w:left w:val="nil"/>
              <w:bottom w:val="single" w:sz="8" w:space="0" w:color="auto"/>
              <w:right w:val="single" w:sz="8" w:space="0" w:color="auto"/>
            </w:tcBorders>
            <w:shd w:val="clear" w:color="auto" w:fill="auto"/>
            <w:noWrap/>
            <w:vAlign w:val="bottom"/>
            <w:hideMark/>
          </w:tcPr>
          <w:p w14:paraId="6151C2BF"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639 913 583 </w:t>
            </w:r>
          </w:p>
        </w:tc>
      </w:tr>
      <w:tr w:rsidR="00EB5570" w:rsidRPr="00EB5570" w14:paraId="455E372C" w14:textId="77777777" w:rsidTr="00851ED2">
        <w:trPr>
          <w:trHeight w:val="315"/>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27BDE4C2"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12</w:t>
            </w:r>
          </w:p>
        </w:tc>
        <w:tc>
          <w:tcPr>
            <w:tcW w:w="1288" w:type="dxa"/>
            <w:tcBorders>
              <w:top w:val="nil"/>
              <w:left w:val="nil"/>
              <w:bottom w:val="single" w:sz="8" w:space="0" w:color="auto"/>
              <w:right w:val="single" w:sz="8" w:space="0" w:color="auto"/>
            </w:tcBorders>
            <w:shd w:val="clear" w:color="auto" w:fill="auto"/>
            <w:noWrap/>
            <w:vAlign w:val="bottom"/>
            <w:hideMark/>
          </w:tcPr>
          <w:p w14:paraId="3AFDA425"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087800533T</w:t>
            </w:r>
          </w:p>
        </w:tc>
        <w:tc>
          <w:tcPr>
            <w:tcW w:w="5967" w:type="dxa"/>
            <w:tcBorders>
              <w:top w:val="nil"/>
              <w:left w:val="nil"/>
              <w:bottom w:val="single" w:sz="8" w:space="0" w:color="auto"/>
              <w:right w:val="single" w:sz="8" w:space="0" w:color="auto"/>
            </w:tcBorders>
            <w:shd w:val="clear" w:color="auto" w:fill="auto"/>
            <w:noWrap/>
            <w:vAlign w:val="bottom"/>
            <w:hideMark/>
          </w:tcPr>
          <w:p w14:paraId="2F8EE5BA"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NEVSUN LTD</w:t>
            </w:r>
          </w:p>
        </w:tc>
        <w:tc>
          <w:tcPr>
            <w:tcW w:w="1900" w:type="dxa"/>
            <w:tcBorders>
              <w:top w:val="nil"/>
              <w:left w:val="nil"/>
              <w:bottom w:val="single" w:sz="8" w:space="0" w:color="auto"/>
              <w:right w:val="single" w:sz="8" w:space="0" w:color="auto"/>
            </w:tcBorders>
            <w:shd w:val="clear" w:color="auto" w:fill="auto"/>
            <w:noWrap/>
            <w:vAlign w:val="bottom"/>
            <w:hideMark/>
          </w:tcPr>
          <w:p w14:paraId="180FD296"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NEVSUN </w:t>
            </w:r>
          </w:p>
        </w:tc>
        <w:tc>
          <w:tcPr>
            <w:tcW w:w="2665" w:type="dxa"/>
            <w:tcBorders>
              <w:top w:val="nil"/>
              <w:left w:val="nil"/>
              <w:bottom w:val="single" w:sz="8" w:space="0" w:color="auto"/>
              <w:right w:val="single" w:sz="8" w:space="0" w:color="auto"/>
            </w:tcBorders>
            <w:shd w:val="clear" w:color="auto" w:fill="auto"/>
            <w:noWrap/>
            <w:vAlign w:val="bottom"/>
            <w:hideMark/>
          </w:tcPr>
          <w:p w14:paraId="320E78F1"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Recherche</w:t>
            </w:r>
          </w:p>
        </w:tc>
        <w:tc>
          <w:tcPr>
            <w:tcW w:w="1843" w:type="dxa"/>
            <w:tcBorders>
              <w:top w:val="nil"/>
              <w:left w:val="nil"/>
              <w:bottom w:val="single" w:sz="8" w:space="0" w:color="auto"/>
              <w:right w:val="single" w:sz="8" w:space="0" w:color="auto"/>
            </w:tcBorders>
            <w:shd w:val="clear" w:color="auto" w:fill="auto"/>
            <w:noWrap/>
            <w:vAlign w:val="bottom"/>
            <w:hideMark/>
          </w:tcPr>
          <w:p w14:paraId="70429515"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50 724 116 </w:t>
            </w:r>
          </w:p>
        </w:tc>
      </w:tr>
      <w:tr w:rsidR="00EB5570" w:rsidRPr="00EB5570" w14:paraId="58650B68" w14:textId="77777777" w:rsidTr="00851ED2">
        <w:trPr>
          <w:trHeight w:val="315"/>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4A77663B"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13</w:t>
            </w:r>
          </w:p>
        </w:tc>
        <w:tc>
          <w:tcPr>
            <w:tcW w:w="1288" w:type="dxa"/>
            <w:tcBorders>
              <w:top w:val="nil"/>
              <w:left w:val="nil"/>
              <w:bottom w:val="single" w:sz="8" w:space="0" w:color="auto"/>
              <w:right w:val="single" w:sz="8" w:space="0" w:color="auto"/>
            </w:tcBorders>
            <w:shd w:val="clear" w:color="auto" w:fill="auto"/>
            <w:noWrap/>
            <w:vAlign w:val="bottom"/>
            <w:hideMark/>
          </w:tcPr>
          <w:p w14:paraId="6199B7B4"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087800566G</w:t>
            </w:r>
          </w:p>
        </w:tc>
        <w:tc>
          <w:tcPr>
            <w:tcW w:w="5967" w:type="dxa"/>
            <w:tcBorders>
              <w:top w:val="nil"/>
              <w:left w:val="nil"/>
              <w:bottom w:val="single" w:sz="8" w:space="0" w:color="auto"/>
              <w:right w:val="single" w:sz="8" w:space="0" w:color="auto"/>
            </w:tcBorders>
            <w:shd w:val="clear" w:color="auto" w:fill="auto"/>
            <w:noWrap/>
            <w:vAlign w:val="bottom"/>
            <w:hideMark/>
          </w:tcPr>
          <w:p w14:paraId="61295F29"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MALI MINERAL RESSOURCES SA</w:t>
            </w:r>
          </w:p>
        </w:tc>
        <w:tc>
          <w:tcPr>
            <w:tcW w:w="1900" w:type="dxa"/>
            <w:tcBorders>
              <w:top w:val="nil"/>
              <w:left w:val="nil"/>
              <w:bottom w:val="single" w:sz="8" w:space="0" w:color="auto"/>
              <w:right w:val="single" w:sz="8" w:space="0" w:color="auto"/>
            </w:tcBorders>
            <w:shd w:val="clear" w:color="auto" w:fill="auto"/>
            <w:noWrap/>
            <w:vAlign w:val="bottom"/>
            <w:hideMark/>
          </w:tcPr>
          <w:p w14:paraId="0B34A1E2"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MMR </w:t>
            </w:r>
          </w:p>
        </w:tc>
        <w:tc>
          <w:tcPr>
            <w:tcW w:w="2665" w:type="dxa"/>
            <w:tcBorders>
              <w:top w:val="nil"/>
              <w:left w:val="nil"/>
              <w:bottom w:val="single" w:sz="8" w:space="0" w:color="auto"/>
              <w:right w:val="single" w:sz="8" w:space="0" w:color="auto"/>
            </w:tcBorders>
            <w:shd w:val="clear" w:color="auto" w:fill="auto"/>
            <w:noWrap/>
            <w:vAlign w:val="bottom"/>
            <w:hideMark/>
          </w:tcPr>
          <w:p w14:paraId="7D33037C"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Recherche Bauxite</w:t>
            </w:r>
          </w:p>
        </w:tc>
        <w:tc>
          <w:tcPr>
            <w:tcW w:w="1843" w:type="dxa"/>
            <w:tcBorders>
              <w:top w:val="nil"/>
              <w:left w:val="nil"/>
              <w:bottom w:val="single" w:sz="8" w:space="0" w:color="auto"/>
              <w:right w:val="single" w:sz="8" w:space="0" w:color="auto"/>
            </w:tcBorders>
            <w:shd w:val="clear" w:color="auto" w:fill="auto"/>
            <w:noWrap/>
            <w:vAlign w:val="bottom"/>
            <w:hideMark/>
          </w:tcPr>
          <w:p w14:paraId="2919A894"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26 106 533 </w:t>
            </w:r>
          </w:p>
        </w:tc>
      </w:tr>
      <w:tr w:rsidR="00EB5570" w:rsidRPr="00EB5570" w14:paraId="6D63E051" w14:textId="77777777" w:rsidTr="00851ED2">
        <w:trPr>
          <w:trHeight w:val="315"/>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37738639"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14</w:t>
            </w:r>
          </w:p>
        </w:tc>
        <w:tc>
          <w:tcPr>
            <w:tcW w:w="1288" w:type="dxa"/>
            <w:tcBorders>
              <w:top w:val="nil"/>
              <w:left w:val="nil"/>
              <w:bottom w:val="single" w:sz="8" w:space="0" w:color="auto"/>
              <w:right w:val="single" w:sz="8" w:space="0" w:color="auto"/>
            </w:tcBorders>
            <w:shd w:val="clear" w:color="auto" w:fill="auto"/>
            <w:noWrap/>
            <w:vAlign w:val="bottom"/>
            <w:hideMark/>
          </w:tcPr>
          <w:p w14:paraId="65F112B2"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087800681E</w:t>
            </w:r>
          </w:p>
        </w:tc>
        <w:tc>
          <w:tcPr>
            <w:tcW w:w="5967" w:type="dxa"/>
            <w:tcBorders>
              <w:top w:val="nil"/>
              <w:left w:val="nil"/>
              <w:bottom w:val="single" w:sz="8" w:space="0" w:color="auto"/>
              <w:right w:val="single" w:sz="8" w:space="0" w:color="auto"/>
            </w:tcBorders>
            <w:shd w:val="clear" w:color="auto" w:fill="auto"/>
            <w:noWrap/>
            <w:vAlign w:val="bottom"/>
            <w:hideMark/>
          </w:tcPr>
          <w:p w14:paraId="6C671645"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IAMGOLD EXPLORATION MALI SARL</w:t>
            </w:r>
          </w:p>
        </w:tc>
        <w:tc>
          <w:tcPr>
            <w:tcW w:w="1900" w:type="dxa"/>
            <w:tcBorders>
              <w:top w:val="nil"/>
              <w:left w:val="nil"/>
              <w:bottom w:val="single" w:sz="8" w:space="0" w:color="auto"/>
              <w:right w:val="single" w:sz="8" w:space="0" w:color="auto"/>
            </w:tcBorders>
            <w:shd w:val="clear" w:color="auto" w:fill="auto"/>
            <w:noWrap/>
            <w:vAlign w:val="bottom"/>
            <w:hideMark/>
          </w:tcPr>
          <w:p w14:paraId="49CE4C94"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IAMGOLD </w:t>
            </w:r>
          </w:p>
        </w:tc>
        <w:tc>
          <w:tcPr>
            <w:tcW w:w="2665" w:type="dxa"/>
            <w:tcBorders>
              <w:top w:val="nil"/>
              <w:left w:val="nil"/>
              <w:bottom w:val="single" w:sz="8" w:space="0" w:color="auto"/>
              <w:right w:val="single" w:sz="8" w:space="0" w:color="auto"/>
            </w:tcBorders>
            <w:shd w:val="clear" w:color="auto" w:fill="auto"/>
            <w:noWrap/>
            <w:vAlign w:val="bottom"/>
            <w:hideMark/>
          </w:tcPr>
          <w:p w14:paraId="0A5C98D2"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Recherche Or</w:t>
            </w:r>
          </w:p>
        </w:tc>
        <w:tc>
          <w:tcPr>
            <w:tcW w:w="1843" w:type="dxa"/>
            <w:tcBorders>
              <w:top w:val="nil"/>
              <w:left w:val="nil"/>
              <w:bottom w:val="single" w:sz="8" w:space="0" w:color="auto"/>
              <w:right w:val="single" w:sz="8" w:space="0" w:color="auto"/>
            </w:tcBorders>
            <w:shd w:val="clear" w:color="auto" w:fill="auto"/>
            <w:noWrap/>
            <w:vAlign w:val="bottom"/>
            <w:hideMark/>
          </w:tcPr>
          <w:p w14:paraId="1D5F559B"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143 243 427 </w:t>
            </w:r>
          </w:p>
        </w:tc>
      </w:tr>
      <w:tr w:rsidR="00EB5570" w:rsidRPr="00EB5570" w14:paraId="51C43AE6" w14:textId="77777777" w:rsidTr="00851ED2">
        <w:trPr>
          <w:trHeight w:val="315"/>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2BA1686E"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15</w:t>
            </w:r>
          </w:p>
        </w:tc>
        <w:tc>
          <w:tcPr>
            <w:tcW w:w="1288" w:type="dxa"/>
            <w:tcBorders>
              <w:top w:val="nil"/>
              <w:left w:val="nil"/>
              <w:bottom w:val="single" w:sz="8" w:space="0" w:color="auto"/>
              <w:right w:val="single" w:sz="8" w:space="0" w:color="auto"/>
            </w:tcBorders>
            <w:shd w:val="clear" w:color="auto" w:fill="auto"/>
            <w:noWrap/>
            <w:vAlign w:val="bottom"/>
            <w:hideMark/>
          </w:tcPr>
          <w:p w14:paraId="6A30181A"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087800766A</w:t>
            </w:r>
          </w:p>
        </w:tc>
        <w:tc>
          <w:tcPr>
            <w:tcW w:w="5967" w:type="dxa"/>
            <w:tcBorders>
              <w:top w:val="nil"/>
              <w:left w:val="nil"/>
              <w:bottom w:val="single" w:sz="8" w:space="0" w:color="auto"/>
              <w:right w:val="single" w:sz="8" w:space="0" w:color="auto"/>
            </w:tcBorders>
            <w:shd w:val="clear" w:color="auto" w:fill="auto"/>
            <w:noWrap/>
            <w:vAlign w:val="bottom"/>
            <w:hideMark/>
          </w:tcPr>
          <w:p w14:paraId="52199CF9"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SOCIETE DES MINES DE GOUNKOTO</w:t>
            </w:r>
          </w:p>
        </w:tc>
        <w:tc>
          <w:tcPr>
            <w:tcW w:w="1900" w:type="dxa"/>
            <w:tcBorders>
              <w:top w:val="nil"/>
              <w:left w:val="nil"/>
              <w:bottom w:val="single" w:sz="8" w:space="0" w:color="auto"/>
              <w:right w:val="single" w:sz="8" w:space="0" w:color="auto"/>
            </w:tcBorders>
            <w:shd w:val="clear" w:color="auto" w:fill="auto"/>
            <w:noWrap/>
            <w:vAlign w:val="bottom"/>
            <w:hideMark/>
          </w:tcPr>
          <w:p w14:paraId="3BA7DC24"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GOUNKOTO </w:t>
            </w:r>
          </w:p>
        </w:tc>
        <w:tc>
          <w:tcPr>
            <w:tcW w:w="2665" w:type="dxa"/>
            <w:tcBorders>
              <w:top w:val="nil"/>
              <w:left w:val="nil"/>
              <w:bottom w:val="single" w:sz="8" w:space="0" w:color="auto"/>
              <w:right w:val="single" w:sz="8" w:space="0" w:color="auto"/>
            </w:tcBorders>
            <w:shd w:val="clear" w:color="auto" w:fill="auto"/>
            <w:noWrap/>
            <w:vAlign w:val="bottom"/>
            <w:hideMark/>
          </w:tcPr>
          <w:p w14:paraId="31B52932"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Exploitation Or</w:t>
            </w:r>
          </w:p>
        </w:tc>
        <w:tc>
          <w:tcPr>
            <w:tcW w:w="1843" w:type="dxa"/>
            <w:tcBorders>
              <w:top w:val="nil"/>
              <w:left w:val="nil"/>
              <w:bottom w:val="single" w:sz="8" w:space="0" w:color="auto"/>
              <w:right w:val="single" w:sz="8" w:space="0" w:color="auto"/>
            </w:tcBorders>
            <w:shd w:val="clear" w:color="auto" w:fill="auto"/>
            <w:noWrap/>
            <w:vAlign w:val="bottom"/>
            <w:hideMark/>
          </w:tcPr>
          <w:p w14:paraId="0DFA2E05" w14:textId="2B266DF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45 220 569 713 </w:t>
            </w:r>
          </w:p>
        </w:tc>
      </w:tr>
      <w:tr w:rsidR="00EB5570" w:rsidRPr="00EB5570" w14:paraId="27A9727D" w14:textId="77777777" w:rsidTr="00851ED2">
        <w:trPr>
          <w:trHeight w:val="315"/>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70147586"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16</w:t>
            </w:r>
          </w:p>
        </w:tc>
        <w:tc>
          <w:tcPr>
            <w:tcW w:w="1288" w:type="dxa"/>
            <w:tcBorders>
              <w:top w:val="nil"/>
              <w:left w:val="nil"/>
              <w:bottom w:val="single" w:sz="8" w:space="0" w:color="auto"/>
              <w:right w:val="single" w:sz="8" w:space="0" w:color="auto"/>
            </w:tcBorders>
            <w:shd w:val="clear" w:color="auto" w:fill="auto"/>
            <w:noWrap/>
            <w:vAlign w:val="bottom"/>
            <w:hideMark/>
          </w:tcPr>
          <w:p w14:paraId="5BED8C11"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087800776J</w:t>
            </w:r>
          </w:p>
        </w:tc>
        <w:tc>
          <w:tcPr>
            <w:tcW w:w="5967" w:type="dxa"/>
            <w:tcBorders>
              <w:top w:val="nil"/>
              <w:left w:val="nil"/>
              <w:bottom w:val="single" w:sz="8" w:space="0" w:color="auto"/>
              <w:right w:val="single" w:sz="8" w:space="0" w:color="auto"/>
            </w:tcBorders>
            <w:shd w:val="clear" w:color="auto" w:fill="auto"/>
            <w:noWrap/>
            <w:vAlign w:val="bottom"/>
            <w:hideMark/>
          </w:tcPr>
          <w:p w14:paraId="432341B7"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NAMPALA SA</w:t>
            </w:r>
          </w:p>
        </w:tc>
        <w:tc>
          <w:tcPr>
            <w:tcW w:w="1900" w:type="dxa"/>
            <w:tcBorders>
              <w:top w:val="nil"/>
              <w:left w:val="nil"/>
              <w:bottom w:val="single" w:sz="8" w:space="0" w:color="auto"/>
              <w:right w:val="single" w:sz="8" w:space="0" w:color="auto"/>
            </w:tcBorders>
            <w:shd w:val="clear" w:color="auto" w:fill="auto"/>
            <w:noWrap/>
            <w:vAlign w:val="bottom"/>
            <w:hideMark/>
          </w:tcPr>
          <w:p w14:paraId="3A9CE5A5"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NAMPALA </w:t>
            </w:r>
          </w:p>
        </w:tc>
        <w:tc>
          <w:tcPr>
            <w:tcW w:w="2665" w:type="dxa"/>
            <w:tcBorders>
              <w:top w:val="nil"/>
              <w:left w:val="nil"/>
              <w:bottom w:val="single" w:sz="8" w:space="0" w:color="auto"/>
              <w:right w:val="single" w:sz="8" w:space="0" w:color="auto"/>
            </w:tcBorders>
            <w:shd w:val="clear" w:color="auto" w:fill="auto"/>
            <w:noWrap/>
            <w:vAlign w:val="bottom"/>
            <w:hideMark/>
          </w:tcPr>
          <w:p w14:paraId="3022AE74"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Exploitation Or</w:t>
            </w:r>
          </w:p>
        </w:tc>
        <w:tc>
          <w:tcPr>
            <w:tcW w:w="1843" w:type="dxa"/>
            <w:tcBorders>
              <w:top w:val="nil"/>
              <w:left w:val="nil"/>
              <w:bottom w:val="single" w:sz="8" w:space="0" w:color="auto"/>
              <w:right w:val="single" w:sz="8" w:space="0" w:color="auto"/>
            </w:tcBorders>
            <w:shd w:val="clear" w:color="auto" w:fill="auto"/>
            <w:noWrap/>
            <w:vAlign w:val="bottom"/>
            <w:hideMark/>
          </w:tcPr>
          <w:p w14:paraId="3D8B64DE"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2 988 626 931 </w:t>
            </w:r>
          </w:p>
        </w:tc>
      </w:tr>
      <w:tr w:rsidR="00EB5570" w:rsidRPr="00EB5570" w14:paraId="28B0E467" w14:textId="77777777" w:rsidTr="00851ED2">
        <w:trPr>
          <w:trHeight w:val="315"/>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2A99F715"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17</w:t>
            </w:r>
          </w:p>
        </w:tc>
        <w:tc>
          <w:tcPr>
            <w:tcW w:w="1288" w:type="dxa"/>
            <w:tcBorders>
              <w:top w:val="nil"/>
              <w:left w:val="nil"/>
              <w:bottom w:val="single" w:sz="8" w:space="0" w:color="auto"/>
              <w:right w:val="single" w:sz="8" w:space="0" w:color="auto"/>
            </w:tcBorders>
            <w:shd w:val="clear" w:color="auto" w:fill="auto"/>
            <w:noWrap/>
            <w:vAlign w:val="bottom"/>
            <w:hideMark/>
          </w:tcPr>
          <w:p w14:paraId="6FA8BA04"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087800795T</w:t>
            </w:r>
          </w:p>
        </w:tc>
        <w:tc>
          <w:tcPr>
            <w:tcW w:w="5967" w:type="dxa"/>
            <w:tcBorders>
              <w:top w:val="nil"/>
              <w:left w:val="nil"/>
              <w:bottom w:val="single" w:sz="8" w:space="0" w:color="auto"/>
              <w:right w:val="single" w:sz="8" w:space="0" w:color="auto"/>
            </w:tcBorders>
            <w:shd w:val="clear" w:color="auto" w:fill="auto"/>
            <w:noWrap/>
            <w:vAlign w:val="bottom"/>
            <w:hideMark/>
          </w:tcPr>
          <w:p w14:paraId="36F5200B"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SOCIETE DES MINES DE FINKOLO</w:t>
            </w:r>
          </w:p>
        </w:tc>
        <w:tc>
          <w:tcPr>
            <w:tcW w:w="1900" w:type="dxa"/>
            <w:tcBorders>
              <w:top w:val="nil"/>
              <w:left w:val="nil"/>
              <w:bottom w:val="single" w:sz="8" w:space="0" w:color="auto"/>
              <w:right w:val="single" w:sz="8" w:space="0" w:color="auto"/>
            </w:tcBorders>
            <w:shd w:val="clear" w:color="auto" w:fill="auto"/>
            <w:noWrap/>
            <w:vAlign w:val="bottom"/>
            <w:hideMark/>
          </w:tcPr>
          <w:p w14:paraId="74DB11BF"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SOMIFI.SA </w:t>
            </w:r>
          </w:p>
        </w:tc>
        <w:tc>
          <w:tcPr>
            <w:tcW w:w="2665" w:type="dxa"/>
            <w:tcBorders>
              <w:top w:val="nil"/>
              <w:left w:val="nil"/>
              <w:bottom w:val="single" w:sz="8" w:space="0" w:color="auto"/>
              <w:right w:val="single" w:sz="8" w:space="0" w:color="auto"/>
            </w:tcBorders>
            <w:shd w:val="clear" w:color="auto" w:fill="auto"/>
            <w:noWrap/>
            <w:vAlign w:val="bottom"/>
            <w:hideMark/>
          </w:tcPr>
          <w:p w14:paraId="1344BEBB"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Exploitation Or</w:t>
            </w:r>
          </w:p>
        </w:tc>
        <w:tc>
          <w:tcPr>
            <w:tcW w:w="1843" w:type="dxa"/>
            <w:tcBorders>
              <w:top w:val="nil"/>
              <w:left w:val="nil"/>
              <w:bottom w:val="single" w:sz="8" w:space="0" w:color="auto"/>
              <w:right w:val="single" w:sz="8" w:space="0" w:color="auto"/>
            </w:tcBorders>
            <w:shd w:val="clear" w:color="auto" w:fill="auto"/>
            <w:noWrap/>
            <w:vAlign w:val="bottom"/>
            <w:hideMark/>
          </w:tcPr>
          <w:p w14:paraId="4F55C69A" w14:textId="6C285D7B"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11 830 421 883 </w:t>
            </w:r>
          </w:p>
        </w:tc>
      </w:tr>
      <w:tr w:rsidR="00EB5570" w:rsidRPr="00EB5570" w14:paraId="11CFEA0E" w14:textId="77777777" w:rsidTr="00851ED2">
        <w:trPr>
          <w:trHeight w:val="315"/>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253710D2"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18</w:t>
            </w:r>
          </w:p>
        </w:tc>
        <w:tc>
          <w:tcPr>
            <w:tcW w:w="1288" w:type="dxa"/>
            <w:tcBorders>
              <w:top w:val="nil"/>
              <w:left w:val="nil"/>
              <w:bottom w:val="single" w:sz="8" w:space="0" w:color="auto"/>
              <w:right w:val="single" w:sz="8" w:space="0" w:color="auto"/>
            </w:tcBorders>
            <w:shd w:val="clear" w:color="auto" w:fill="auto"/>
            <w:noWrap/>
            <w:vAlign w:val="bottom"/>
            <w:hideMark/>
          </w:tcPr>
          <w:p w14:paraId="4C8D141E"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087800828P</w:t>
            </w:r>
          </w:p>
        </w:tc>
        <w:tc>
          <w:tcPr>
            <w:tcW w:w="5967" w:type="dxa"/>
            <w:tcBorders>
              <w:top w:val="nil"/>
              <w:left w:val="nil"/>
              <w:bottom w:val="single" w:sz="8" w:space="0" w:color="auto"/>
              <w:right w:val="single" w:sz="8" w:space="0" w:color="auto"/>
            </w:tcBorders>
            <w:shd w:val="clear" w:color="auto" w:fill="auto"/>
            <w:noWrap/>
            <w:vAlign w:val="bottom"/>
            <w:hideMark/>
          </w:tcPr>
          <w:p w14:paraId="5B4995D8"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SOCIETE DES MINES DE KOMANA</w:t>
            </w:r>
          </w:p>
        </w:tc>
        <w:tc>
          <w:tcPr>
            <w:tcW w:w="1900" w:type="dxa"/>
            <w:tcBorders>
              <w:top w:val="nil"/>
              <w:left w:val="nil"/>
              <w:bottom w:val="single" w:sz="8" w:space="0" w:color="auto"/>
              <w:right w:val="single" w:sz="8" w:space="0" w:color="auto"/>
            </w:tcBorders>
            <w:shd w:val="clear" w:color="auto" w:fill="auto"/>
            <w:noWrap/>
            <w:vAlign w:val="bottom"/>
            <w:hideMark/>
          </w:tcPr>
          <w:p w14:paraId="31065C3B"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SMK </w:t>
            </w:r>
          </w:p>
        </w:tc>
        <w:tc>
          <w:tcPr>
            <w:tcW w:w="2665" w:type="dxa"/>
            <w:tcBorders>
              <w:top w:val="nil"/>
              <w:left w:val="nil"/>
              <w:bottom w:val="single" w:sz="8" w:space="0" w:color="auto"/>
              <w:right w:val="single" w:sz="8" w:space="0" w:color="auto"/>
            </w:tcBorders>
            <w:shd w:val="clear" w:color="auto" w:fill="auto"/>
            <w:noWrap/>
            <w:vAlign w:val="bottom"/>
            <w:hideMark/>
          </w:tcPr>
          <w:p w14:paraId="5C0D1853"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Exploitation Or</w:t>
            </w:r>
          </w:p>
        </w:tc>
        <w:tc>
          <w:tcPr>
            <w:tcW w:w="1843" w:type="dxa"/>
            <w:tcBorders>
              <w:top w:val="nil"/>
              <w:left w:val="nil"/>
              <w:bottom w:val="single" w:sz="8" w:space="0" w:color="auto"/>
              <w:right w:val="single" w:sz="8" w:space="0" w:color="auto"/>
            </w:tcBorders>
            <w:shd w:val="clear" w:color="auto" w:fill="auto"/>
            <w:noWrap/>
            <w:vAlign w:val="bottom"/>
            <w:hideMark/>
          </w:tcPr>
          <w:p w14:paraId="7D6B20A2"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6 031 025 362 </w:t>
            </w:r>
          </w:p>
        </w:tc>
      </w:tr>
      <w:tr w:rsidR="00EB5570" w:rsidRPr="00EB5570" w14:paraId="0014E760" w14:textId="77777777" w:rsidTr="00851ED2">
        <w:trPr>
          <w:trHeight w:val="181"/>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7052D0A8"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19</w:t>
            </w:r>
          </w:p>
        </w:tc>
        <w:tc>
          <w:tcPr>
            <w:tcW w:w="1288" w:type="dxa"/>
            <w:tcBorders>
              <w:top w:val="nil"/>
              <w:left w:val="nil"/>
              <w:bottom w:val="single" w:sz="8" w:space="0" w:color="auto"/>
              <w:right w:val="single" w:sz="8" w:space="0" w:color="auto"/>
            </w:tcBorders>
            <w:shd w:val="clear" w:color="auto" w:fill="auto"/>
            <w:noWrap/>
            <w:vAlign w:val="bottom"/>
            <w:hideMark/>
          </w:tcPr>
          <w:p w14:paraId="341BB85D"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087800848K</w:t>
            </w:r>
          </w:p>
        </w:tc>
        <w:tc>
          <w:tcPr>
            <w:tcW w:w="5967" w:type="dxa"/>
            <w:tcBorders>
              <w:top w:val="nil"/>
              <w:left w:val="nil"/>
              <w:bottom w:val="single" w:sz="8" w:space="0" w:color="auto"/>
              <w:right w:val="single" w:sz="8" w:space="0" w:color="auto"/>
            </w:tcBorders>
            <w:shd w:val="clear" w:color="auto" w:fill="auto"/>
            <w:noWrap/>
            <w:vAlign w:val="bottom"/>
            <w:hideMark/>
          </w:tcPr>
          <w:p w14:paraId="267CA107"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FEKOLA-SA</w:t>
            </w:r>
          </w:p>
        </w:tc>
        <w:tc>
          <w:tcPr>
            <w:tcW w:w="1900" w:type="dxa"/>
            <w:tcBorders>
              <w:top w:val="nil"/>
              <w:left w:val="nil"/>
              <w:bottom w:val="single" w:sz="8" w:space="0" w:color="auto"/>
              <w:right w:val="single" w:sz="8" w:space="0" w:color="auto"/>
            </w:tcBorders>
            <w:shd w:val="clear" w:color="auto" w:fill="auto"/>
            <w:noWrap/>
            <w:vAlign w:val="bottom"/>
            <w:hideMark/>
          </w:tcPr>
          <w:p w14:paraId="163A49D6"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FEKOLA </w:t>
            </w:r>
          </w:p>
        </w:tc>
        <w:tc>
          <w:tcPr>
            <w:tcW w:w="2665" w:type="dxa"/>
            <w:tcBorders>
              <w:top w:val="nil"/>
              <w:left w:val="nil"/>
              <w:bottom w:val="single" w:sz="8" w:space="0" w:color="auto"/>
              <w:right w:val="single" w:sz="8" w:space="0" w:color="auto"/>
            </w:tcBorders>
            <w:shd w:val="clear" w:color="auto" w:fill="auto"/>
            <w:noWrap/>
            <w:vAlign w:val="bottom"/>
            <w:hideMark/>
          </w:tcPr>
          <w:p w14:paraId="552F445F"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Exploitation Or</w:t>
            </w:r>
          </w:p>
        </w:tc>
        <w:tc>
          <w:tcPr>
            <w:tcW w:w="1843" w:type="dxa"/>
            <w:tcBorders>
              <w:top w:val="nil"/>
              <w:left w:val="nil"/>
              <w:bottom w:val="single" w:sz="8" w:space="0" w:color="auto"/>
              <w:right w:val="single" w:sz="8" w:space="0" w:color="auto"/>
            </w:tcBorders>
            <w:shd w:val="clear" w:color="auto" w:fill="auto"/>
            <w:noWrap/>
            <w:vAlign w:val="bottom"/>
            <w:hideMark/>
          </w:tcPr>
          <w:p w14:paraId="115EE21B" w14:textId="463B6B7E"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106 433 165 042 </w:t>
            </w:r>
          </w:p>
        </w:tc>
      </w:tr>
      <w:tr w:rsidR="00EB5570" w:rsidRPr="00EB5570" w14:paraId="760FA217" w14:textId="77777777" w:rsidTr="00851ED2">
        <w:trPr>
          <w:trHeight w:val="271"/>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3CFCFEE1"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20</w:t>
            </w:r>
          </w:p>
        </w:tc>
        <w:tc>
          <w:tcPr>
            <w:tcW w:w="1288" w:type="dxa"/>
            <w:tcBorders>
              <w:top w:val="nil"/>
              <w:left w:val="nil"/>
              <w:bottom w:val="single" w:sz="8" w:space="0" w:color="auto"/>
              <w:right w:val="single" w:sz="8" w:space="0" w:color="auto"/>
            </w:tcBorders>
            <w:shd w:val="clear" w:color="auto" w:fill="auto"/>
            <w:noWrap/>
            <w:vAlign w:val="bottom"/>
            <w:hideMark/>
          </w:tcPr>
          <w:p w14:paraId="50CACFA3"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087800382N</w:t>
            </w:r>
          </w:p>
        </w:tc>
        <w:tc>
          <w:tcPr>
            <w:tcW w:w="5967" w:type="dxa"/>
            <w:tcBorders>
              <w:top w:val="nil"/>
              <w:left w:val="nil"/>
              <w:bottom w:val="single" w:sz="8" w:space="0" w:color="auto"/>
              <w:right w:val="single" w:sz="8" w:space="0" w:color="auto"/>
            </w:tcBorders>
            <w:shd w:val="clear" w:color="auto" w:fill="auto"/>
            <w:noWrap/>
            <w:vAlign w:val="bottom"/>
            <w:hideMark/>
          </w:tcPr>
          <w:p w14:paraId="0F8C75C9"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YATELA SA</w:t>
            </w:r>
          </w:p>
        </w:tc>
        <w:tc>
          <w:tcPr>
            <w:tcW w:w="1900" w:type="dxa"/>
            <w:tcBorders>
              <w:top w:val="nil"/>
              <w:left w:val="nil"/>
              <w:bottom w:val="single" w:sz="8" w:space="0" w:color="auto"/>
              <w:right w:val="single" w:sz="8" w:space="0" w:color="auto"/>
            </w:tcBorders>
            <w:shd w:val="clear" w:color="auto" w:fill="auto"/>
            <w:noWrap/>
            <w:vAlign w:val="bottom"/>
            <w:hideMark/>
          </w:tcPr>
          <w:p w14:paraId="1A8F6422"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YATELA </w:t>
            </w:r>
          </w:p>
        </w:tc>
        <w:tc>
          <w:tcPr>
            <w:tcW w:w="2665" w:type="dxa"/>
            <w:tcBorders>
              <w:top w:val="nil"/>
              <w:left w:val="nil"/>
              <w:bottom w:val="single" w:sz="8" w:space="0" w:color="auto"/>
              <w:right w:val="single" w:sz="8" w:space="0" w:color="auto"/>
            </w:tcBorders>
            <w:shd w:val="clear" w:color="auto" w:fill="auto"/>
            <w:noWrap/>
            <w:vAlign w:val="bottom"/>
            <w:hideMark/>
          </w:tcPr>
          <w:p w14:paraId="0A01241A"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Exploitation Or</w:t>
            </w:r>
          </w:p>
        </w:tc>
        <w:tc>
          <w:tcPr>
            <w:tcW w:w="1843" w:type="dxa"/>
            <w:tcBorders>
              <w:top w:val="nil"/>
              <w:left w:val="nil"/>
              <w:bottom w:val="single" w:sz="8" w:space="0" w:color="auto"/>
              <w:right w:val="single" w:sz="8" w:space="0" w:color="auto"/>
            </w:tcBorders>
            <w:shd w:val="clear" w:color="auto" w:fill="auto"/>
            <w:noWrap/>
            <w:vAlign w:val="bottom"/>
            <w:hideMark/>
          </w:tcPr>
          <w:p w14:paraId="68D2B250"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106 245 869 </w:t>
            </w:r>
          </w:p>
        </w:tc>
      </w:tr>
      <w:tr w:rsidR="00EB5570" w:rsidRPr="00EB5570" w14:paraId="71038932" w14:textId="77777777" w:rsidTr="00851ED2">
        <w:trPr>
          <w:trHeight w:val="219"/>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50CA564C"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21</w:t>
            </w:r>
          </w:p>
        </w:tc>
        <w:tc>
          <w:tcPr>
            <w:tcW w:w="1288" w:type="dxa"/>
            <w:tcBorders>
              <w:top w:val="nil"/>
              <w:left w:val="nil"/>
              <w:bottom w:val="single" w:sz="8" w:space="0" w:color="auto"/>
              <w:right w:val="single" w:sz="8" w:space="0" w:color="auto"/>
            </w:tcBorders>
            <w:shd w:val="clear" w:color="auto" w:fill="auto"/>
            <w:noWrap/>
            <w:vAlign w:val="bottom"/>
            <w:hideMark/>
          </w:tcPr>
          <w:p w14:paraId="7D5D8AE1"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087800709Y</w:t>
            </w:r>
          </w:p>
        </w:tc>
        <w:tc>
          <w:tcPr>
            <w:tcW w:w="5967" w:type="dxa"/>
            <w:tcBorders>
              <w:top w:val="nil"/>
              <w:left w:val="nil"/>
              <w:bottom w:val="single" w:sz="8" w:space="0" w:color="auto"/>
              <w:right w:val="single" w:sz="8" w:space="0" w:color="auto"/>
            </w:tcBorders>
            <w:shd w:val="clear" w:color="auto" w:fill="auto"/>
            <w:noWrap/>
            <w:vAlign w:val="bottom"/>
            <w:hideMark/>
          </w:tcPr>
          <w:p w14:paraId="08A5E1D0"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Razel Mali Sarl</w:t>
            </w:r>
          </w:p>
        </w:tc>
        <w:tc>
          <w:tcPr>
            <w:tcW w:w="1900" w:type="dxa"/>
            <w:tcBorders>
              <w:top w:val="nil"/>
              <w:left w:val="nil"/>
              <w:bottom w:val="single" w:sz="8" w:space="0" w:color="auto"/>
              <w:right w:val="single" w:sz="8" w:space="0" w:color="auto"/>
            </w:tcBorders>
            <w:shd w:val="clear" w:color="auto" w:fill="auto"/>
            <w:noWrap/>
            <w:vAlign w:val="bottom"/>
            <w:hideMark/>
          </w:tcPr>
          <w:p w14:paraId="5ED496A4"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RAZEL </w:t>
            </w:r>
          </w:p>
        </w:tc>
        <w:tc>
          <w:tcPr>
            <w:tcW w:w="2665" w:type="dxa"/>
            <w:tcBorders>
              <w:top w:val="nil"/>
              <w:left w:val="nil"/>
              <w:bottom w:val="single" w:sz="8" w:space="0" w:color="auto"/>
              <w:right w:val="single" w:sz="8" w:space="0" w:color="auto"/>
            </w:tcBorders>
            <w:shd w:val="clear" w:color="auto" w:fill="auto"/>
            <w:noWrap/>
            <w:vAlign w:val="bottom"/>
            <w:hideMark/>
          </w:tcPr>
          <w:p w14:paraId="1CA4069E"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Exploitation des carrières</w:t>
            </w:r>
          </w:p>
        </w:tc>
        <w:tc>
          <w:tcPr>
            <w:tcW w:w="1843" w:type="dxa"/>
            <w:tcBorders>
              <w:top w:val="nil"/>
              <w:left w:val="nil"/>
              <w:bottom w:val="single" w:sz="8" w:space="0" w:color="auto"/>
              <w:right w:val="single" w:sz="8" w:space="0" w:color="auto"/>
            </w:tcBorders>
            <w:shd w:val="clear" w:color="auto" w:fill="auto"/>
            <w:noWrap/>
            <w:vAlign w:val="bottom"/>
            <w:hideMark/>
          </w:tcPr>
          <w:p w14:paraId="5B9EAA99"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5 000 000 </w:t>
            </w:r>
          </w:p>
        </w:tc>
      </w:tr>
      <w:tr w:rsidR="00EB5570" w:rsidRPr="00EB5570" w14:paraId="1FDA0368" w14:textId="77777777" w:rsidTr="00851ED2">
        <w:trPr>
          <w:trHeight w:val="265"/>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2FB3264C"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22</w:t>
            </w:r>
          </w:p>
        </w:tc>
        <w:tc>
          <w:tcPr>
            <w:tcW w:w="1288" w:type="dxa"/>
            <w:tcBorders>
              <w:top w:val="nil"/>
              <w:left w:val="nil"/>
              <w:bottom w:val="single" w:sz="8" w:space="0" w:color="auto"/>
              <w:right w:val="single" w:sz="8" w:space="0" w:color="auto"/>
            </w:tcBorders>
            <w:shd w:val="clear" w:color="auto" w:fill="auto"/>
            <w:noWrap/>
            <w:vAlign w:val="bottom"/>
            <w:hideMark/>
          </w:tcPr>
          <w:p w14:paraId="06D0F114"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087800180A</w:t>
            </w:r>
          </w:p>
        </w:tc>
        <w:tc>
          <w:tcPr>
            <w:tcW w:w="5967" w:type="dxa"/>
            <w:tcBorders>
              <w:top w:val="nil"/>
              <w:left w:val="nil"/>
              <w:bottom w:val="single" w:sz="8" w:space="0" w:color="auto"/>
              <w:right w:val="single" w:sz="8" w:space="0" w:color="auto"/>
            </w:tcBorders>
            <w:shd w:val="clear" w:color="auto" w:fill="auto"/>
            <w:noWrap/>
            <w:vAlign w:val="bottom"/>
            <w:hideMark/>
          </w:tcPr>
          <w:p w14:paraId="18BD39FA"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BARRICK GOLD MALI SARL</w:t>
            </w:r>
          </w:p>
        </w:tc>
        <w:tc>
          <w:tcPr>
            <w:tcW w:w="1900" w:type="dxa"/>
            <w:tcBorders>
              <w:top w:val="nil"/>
              <w:left w:val="nil"/>
              <w:bottom w:val="single" w:sz="8" w:space="0" w:color="auto"/>
              <w:right w:val="single" w:sz="8" w:space="0" w:color="auto"/>
            </w:tcBorders>
            <w:shd w:val="clear" w:color="auto" w:fill="auto"/>
            <w:noWrap/>
            <w:vAlign w:val="bottom"/>
            <w:hideMark/>
          </w:tcPr>
          <w:p w14:paraId="2E65D7A8"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RANDGOLD </w:t>
            </w:r>
          </w:p>
        </w:tc>
        <w:tc>
          <w:tcPr>
            <w:tcW w:w="2665" w:type="dxa"/>
            <w:tcBorders>
              <w:top w:val="nil"/>
              <w:left w:val="nil"/>
              <w:bottom w:val="single" w:sz="8" w:space="0" w:color="auto"/>
              <w:right w:val="single" w:sz="8" w:space="0" w:color="auto"/>
            </w:tcBorders>
            <w:shd w:val="clear" w:color="auto" w:fill="auto"/>
            <w:noWrap/>
            <w:vAlign w:val="bottom"/>
            <w:hideMark/>
          </w:tcPr>
          <w:p w14:paraId="140F057A"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Recherche Or</w:t>
            </w:r>
          </w:p>
        </w:tc>
        <w:tc>
          <w:tcPr>
            <w:tcW w:w="1843" w:type="dxa"/>
            <w:tcBorders>
              <w:top w:val="nil"/>
              <w:left w:val="nil"/>
              <w:bottom w:val="single" w:sz="8" w:space="0" w:color="auto"/>
              <w:right w:val="single" w:sz="8" w:space="0" w:color="auto"/>
            </w:tcBorders>
            <w:shd w:val="clear" w:color="auto" w:fill="auto"/>
            <w:noWrap/>
            <w:vAlign w:val="bottom"/>
            <w:hideMark/>
          </w:tcPr>
          <w:p w14:paraId="1F51CAB3"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439 449 459 </w:t>
            </w:r>
          </w:p>
        </w:tc>
      </w:tr>
      <w:tr w:rsidR="00EB5570" w:rsidRPr="00EB5570" w14:paraId="63C4B387" w14:textId="77777777" w:rsidTr="00851ED2">
        <w:trPr>
          <w:trHeight w:val="162"/>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09C1601C"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lastRenderedPageBreak/>
              <w:t>23</w:t>
            </w:r>
          </w:p>
        </w:tc>
        <w:tc>
          <w:tcPr>
            <w:tcW w:w="1288" w:type="dxa"/>
            <w:tcBorders>
              <w:top w:val="nil"/>
              <w:left w:val="nil"/>
              <w:bottom w:val="single" w:sz="8" w:space="0" w:color="auto"/>
              <w:right w:val="single" w:sz="8" w:space="0" w:color="auto"/>
            </w:tcBorders>
            <w:shd w:val="clear" w:color="auto" w:fill="auto"/>
            <w:noWrap/>
            <w:vAlign w:val="bottom"/>
            <w:hideMark/>
          </w:tcPr>
          <w:p w14:paraId="5A90D5E8"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087800617C</w:t>
            </w:r>
          </w:p>
        </w:tc>
        <w:tc>
          <w:tcPr>
            <w:tcW w:w="5967" w:type="dxa"/>
            <w:tcBorders>
              <w:top w:val="nil"/>
              <w:left w:val="nil"/>
              <w:bottom w:val="single" w:sz="8" w:space="0" w:color="auto"/>
              <w:right w:val="single" w:sz="8" w:space="0" w:color="auto"/>
            </w:tcBorders>
            <w:shd w:val="clear" w:color="auto" w:fill="auto"/>
            <w:noWrap/>
            <w:vAlign w:val="bottom"/>
            <w:hideMark/>
          </w:tcPr>
          <w:p w14:paraId="016B06EB"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HYDROMA (Ex PETROMA)</w:t>
            </w:r>
          </w:p>
        </w:tc>
        <w:tc>
          <w:tcPr>
            <w:tcW w:w="1900" w:type="dxa"/>
            <w:tcBorders>
              <w:top w:val="nil"/>
              <w:left w:val="nil"/>
              <w:bottom w:val="single" w:sz="8" w:space="0" w:color="auto"/>
              <w:right w:val="single" w:sz="8" w:space="0" w:color="auto"/>
            </w:tcBorders>
            <w:shd w:val="clear" w:color="auto" w:fill="auto"/>
            <w:noWrap/>
            <w:vAlign w:val="bottom"/>
            <w:hideMark/>
          </w:tcPr>
          <w:p w14:paraId="01F50C7D"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HYDROMA</w:t>
            </w:r>
          </w:p>
        </w:tc>
        <w:tc>
          <w:tcPr>
            <w:tcW w:w="2665" w:type="dxa"/>
            <w:tcBorders>
              <w:top w:val="nil"/>
              <w:left w:val="nil"/>
              <w:bottom w:val="single" w:sz="8" w:space="0" w:color="auto"/>
              <w:right w:val="single" w:sz="8" w:space="0" w:color="auto"/>
            </w:tcBorders>
            <w:shd w:val="clear" w:color="auto" w:fill="auto"/>
            <w:noWrap/>
            <w:vAlign w:val="bottom"/>
            <w:hideMark/>
          </w:tcPr>
          <w:p w14:paraId="30ECC3D8"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Recherche Pétrolière</w:t>
            </w:r>
          </w:p>
        </w:tc>
        <w:tc>
          <w:tcPr>
            <w:tcW w:w="1843" w:type="dxa"/>
            <w:tcBorders>
              <w:top w:val="nil"/>
              <w:left w:val="nil"/>
              <w:bottom w:val="single" w:sz="8" w:space="0" w:color="auto"/>
              <w:right w:val="single" w:sz="8" w:space="0" w:color="auto"/>
            </w:tcBorders>
            <w:shd w:val="clear" w:color="auto" w:fill="auto"/>
            <w:noWrap/>
            <w:vAlign w:val="bottom"/>
            <w:hideMark/>
          </w:tcPr>
          <w:p w14:paraId="06220FCC"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232 935 000 </w:t>
            </w:r>
          </w:p>
        </w:tc>
      </w:tr>
      <w:tr w:rsidR="00EB5570" w:rsidRPr="00EB5570" w14:paraId="2BE6F50F" w14:textId="77777777" w:rsidTr="00851ED2">
        <w:trPr>
          <w:trHeight w:val="252"/>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0C281CE6"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24</w:t>
            </w:r>
          </w:p>
        </w:tc>
        <w:tc>
          <w:tcPr>
            <w:tcW w:w="1288" w:type="dxa"/>
            <w:tcBorders>
              <w:top w:val="nil"/>
              <w:left w:val="nil"/>
              <w:bottom w:val="single" w:sz="8" w:space="0" w:color="auto"/>
              <w:right w:val="single" w:sz="8" w:space="0" w:color="auto"/>
            </w:tcBorders>
            <w:shd w:val="clear" w:color="auto" w:fill="auto"/>
            <w:noWrap/>
            <w:vAlign w:val="bottom"/>
            <w:hideMark/>
          </w:tcPr>
          <w:p w14:paraId="79E94D10"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081127797Y</w:t>
            </w:r>
          </w:p>
        </w:tc>
        <w:tc>
          <w:tcPr>
            <w:tcW w:w="5967" w:type="dxa"/>
            <w:tcBorders>
              <w:top w:val="nil"/>
              <w:left w:val="nil"/>
              <w:bottom w:val="single" w:sz="8" w:space="0" w:color="auto"/>
              <w:right w:val="single" w:sz="8" w:space="0" w:color="auto"/>
            </w:tcBorders>
            <w:shd w:val="clear" w:color="auto" w:fill="auto"/>
            <w:noWrap/>
            <w:vAlign w:val="bottom"/>
            <w:hideMark/>
          </w:tcPr>
          <w:p w14:paraId="063E50C8"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KOFI SA</w:t>
            </w:r>
          </w:p>
        </w:tc>
        <w:tc>
          <w:tcPr>
            <w:tcW w:w="1900" w:type="dxa"/>
            <w:tcBorders>
              <w:top w:val="nil"/>
              <w:left w:val="nil"/>
              <w:bottom w:val="single" w:sz="8" w:space="0" w:color="auto"/>
              <w:right w:val="single" w:sz="8" w:space="0" w:color="auto"/>
            </w:tcBorders>
            <w:shd w:val="clear" w:color="auto" w:fill="auto"/>
            <w:noWrap/>
            <w:vAlign w:val="bottom"/>
            <w:hideMark/>
          </w:tcPr>
          <w:p w14:paraId="1FADC6C6"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KOFI.SA </w:t>
            </w:r>
          </w:p>
        </w:tc>
        <w:tc>
          <w:tcPr>
            <w:tcW w:w="2665" w:type="dxa"/>
            <w:tcBorders>
              <w:top w:val="nil"/>
              <w:left w:val="nil"/>
              <w:bottom w:val="single" w:sz="8" w:space="0" w:color="auto"/>
              <w:right w:val="single" w:sz="8" w:space="0" w:color="auto"/>
            </w:tcBorders>
            <w:shd w:val="clear" w:color="auto" w:fill="auto"/>
            <w:noWrap/>
            <w:vAlign w:val="bottom"/>
            <w:hideMark/>
          </w:tcPr>
          <w:p w14:paraId="68AF63A8"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Exploitation Or</w:t>
            </w:r>
          </w:p>
        </w:tc>
        <w:tc>
          <w:tcPr>
            <w:tcW w:w="1843" w:type="dxa"/>
            <w:tcBorders>
              <w:top w:val="nil"/>
              <w:left w:val="nil"/>
              <w:bottom w:val="single" w:sz="8" w:space="0" w:color="auto"/>
              <w:right w:val="single" w:sz="8" w:space="0" w:color="auto"/>
            </w:tcBorders>
            <w:shd w:val="clear" w:color="auto" w:fill="auto"/>
            <w:noWrap/>
            <w:vAlign w:val="bottom"/>
            <w:hideMark/>
          </w:tcPr>
          <w:p w14:paraId="2B8F1A0B"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   </w:t>
            </w:r>
          </w:p>
        </w:tc>
      </w:tr>
      <w:tr w:rsidR="00EB5570" w:rsidRPr="00EB5570" w14:paraId="087169EF" w14:textId="77777777" w:rsidTr="00851ED2">
        <w:trPr>
          <w:trHeight w:val="201"/>
        </w:trPr>
        <w:tc>
          <w:tcPr>
            <w:tcW w:w="361" w:type="dxa"/>
            <w:tcBorders>
              <w:top w:val="nil"/>
              <w:left w:val="single" w:sz="8" w:space="0" w:color="auto"/>
              <w:bottom w:val="single" w:sz="8" w:space="0" w:color="auto"/>
              <w:right w:val="single" w:sz="8" w:space="0" w:color="auto"/>
            </w:tcBorders>
            <w:shd w:val="clear" w:color="000000" w:fill="00B0F0"/>
            <w:noWrap/>
            <w:vAlign w:val="bottom"/>
            <w:hideMark/>
          </w:tcPr>
          <w:p w14:paraId="56540ADA" w14:textId="77777777" w:rsidR="00EB5570" w:rsidRPr="00EB5570" w:rsidRDefault="00EB5570" w:rsidP="00EB5570">
            <w:pPr>
              <w:jc w:val="right"/>
              <w:rPr>
                <w:rFonts w:ascii="Tw Cen MT" w:hAnsi="Tw Cen MT" w:cs="Calibri"/>
                <w:b/>
                <w:bCs/>
                <w:color w:val="FFFFFF"/>
                <w:lang w:eastAsia="fr-FR"/>
              </w:rPr>
            </w:pPr>
            <w:r w:rsidRPr="00EB5570">
              <w:rPr>
                <w:rFonts w:ascii="Tw Cen MT" w:hAnsi="Tw Cen MT" w:cs="Calibri"/>
                <w:b/>
                <w:bCs/>
                <w:color w:val="FFFFFF"/>
                <w:lang w:eastAsia="fr-FR"/>
              </w:rPr>
              <w:t> </w:t>
            </w:r>
          </w:p>
        </w:tc>
        <w:tc>
          <w:tcPr>
            <w:tcW w:w="1288" w:type="dxa"/>
            <w:tcBorders>
              <w:top w:val="nil"/>
              <w:left w:val="nil"/>
              <w:bottom w:val="single" w:sz="8" w:space="0" w:color="auto"/>
              <w:right w:val="single" w:sz="8" w:space="0" w:color="auto"/>
            </w:tcBorders>
            <w:shd w:val="clear" w:color="000000" w:fill="00B0F0"/>
            <w:noWrap/>
            <w:vAlign w:val="bottom"/>
            <w:hideMark/>
          </w:tcPr>
          <w:p w14:paraId="71313531" w14:textId="77777777" w:rsidR="00EB5570" w:rsidRPr="00EB5570" w:rsidRDefault="00EB5570" w:rsidP="00EB5570">
            <w:pPr>
              <w:jc w:val="right"/>
              <w:rPr>
                <w:rFonts w:ascii="Tw Cen MT" w:hAnsi="Tw Cen MT" w:cs="Calibri"/>
                <w:b/>
                <w:bCs/>
                <w:color w:val="FFFFFF"/>
                <w:lang w:eastAsia="fr-FR"/>
              </w:rPr>
            </w:pPr>
            <w:r w:rsidRPr="00EB5570">
              <w:rPr>
                <w:rFonts w:ascii="Tw Cen MT" w:hAnsi="Tw Cen MT" w:cs="Calibri"/>
                <w:b/>
                <w:bCs/>
                <w:color w:val="FFFFFF"/>
                <w:lang w:eastAsia="fr-FR"/>
              </w:rPr>
              <w:t> </w:t>
            </w:r>
          </w:p>
        </w:tc>
        <w:tc>
          <w:tcPr>
            <w:tcW w:w="5967" w:type="dxa"/>
            <w:tcBorders>
              <w:top w:val="nil"/>
              <w:left w:val="nil"/>
              <w:bottom w:val="single" w:sz="8" w:space="0" w:color="auto"/>
              <w:right w:val="single" w:sz="8" w:space="0" w:color="auto"/>
            </w:tcBorders>
            <w:shd w:val="clear" w:color="000000" w:fill="00B0F0"/>
            <w:noWrap/>
            <w:vAlign w:val="bottom"/>
            <w:hideMark/>
          </w:tcPr>
          <w:p w14:paraId="07D29D81" w14:textId="3E02FC4D" w:rsidR="00EB5570" w:rsidRPr="00EB5570" w:rsidRDefault="00EB5570" w:rsidP="00EB5570">
            <w:pPr>
              <w:rPr>
                <w:rFonts w:ascii="Tw Cen MT" w:hAnsi="Tw Cen MT" w:cs="Calibri"/>
                <w:b/>
                <w:bCs/>
                <w:color w:val="FFFFFF"/>
                <w:lang w:eastAsia="fr-FR"/>
              </w:rPr>
            </w:pPr>
            <w:r w:rsidRPr="00EB5570">
              <w:rPr>
                <w:rFonts w:ascii="Tw Cen MT" w:hAnsi="Tw Cen MT" w:cs="Calibri"/>
                <w:b/>
                <w:bCs/>
                <w:color w:val="FFFFFF"/>
                <w:lang w:eastAsia="fr-FR"/>
              </w:rPr>
              <w:t xml:space="preserve">Sous total </w:t>
            </w:r>
            <w:r w:rsidR="00CA067E">
              <w:rPr>
                <w:rFonts w:ascii="Tw Cen MT" w:hAnsi="Tw Cen MT" w:cs="Calibri"/>
                <w:b/>
                <w:bCs/>
                <w:color w:val="FFFFFF"/>
                <w:lang w:eastAsia="fr-FR"/>
              </w:rPr>
              <w:t xml:space="preserve">figurant dans le périmètre de conciliation en </w:t>
            </w:r>
            <w:r w:rsidRPr="00EB5570">
              <w:rPr>
                <w:rFonts w:ascii="Tw Cen MT" w:hAnsi="Tw Cen MT" w:cs="Calibri"/>
                <w:b/>
                <w:bCs/>
                <w:color w:val="FFFFFF"/>
                <w:lang w:eastAsia="fr-FR"/>
              </w:rPr>
              <w:t>2018</w:t>
            </w:r>
          </w:p>
        </w:tc>
        <w:tc>
          <w:tcPr>
            <w:tcW w:w="1900" w:type="dxa"/>
            <w:tcBorders>
              <w:top w:val="nil"/>
              <w:left w:val="nil"/>
              <w:bottom w:val="single" w:sz="8" w:space="0" w:color="auto"/>
              <w:right w:val="single" w:sz="8" w:space="0" w:color="auto"/>
            </w:tcBorders>
            <w:shd w:val="clear" w:color="000000" w:fill="00B0F0"/>
            <w:noWrap/>
            <w:vAlign w:val="bottom"/>
            <w:hideMark/>
          </w:tcPr>
          <w:p w14:paraId="35F1055A" w14:textId="77777777" w:rsidR="00EB5570" w:rsidRPr="00EB5570" w:rsidRDefault="00EB5570" w:rsidP="00EB5570">
            <w:pPr>
              <w:rPr>
                <w:rFonts w:ascii="Tw Cen MT" w:hAnsi="Tw Cen MT" w:cs="Calibri"/>
                <w:b/>
                <w:bCs/>
                <w:color w:val="FFFFFF"/>
                <w:lang w:eastAsia="fr-FR"/>
              </w:rPr>
            </w:pPr>
            <w:r w:rsidRPr="00EB5570">
              <w:rPr>
                <w:rFonts w:ascii="Tw Cen MT" w:hAnsi="Tw Cen MT" w:cs="Calibri"/>
                <w:b/>
                <w:bCs/>
                <w:color w:val="FFFFFF"/>
                <w:lang w:eastAsia="fr-FR"/>
              </w:rPr>
              <w:t> </w:t>
            </w:r>
          </w:p>
        </w:tc>
        <w:tc>
          <w:tcPr>
            <w:tcW w:w="2665" w:type="dxa"/>
            <w:tcBorders>
              <w:top w:val="nil"/>
              <w:left w:val="nil"/>
              <w:bottom w:val="single" w:sz="8" w:space="0" w:color="auto"/>
              <w:right w:val="single" w:sz="8" w:space="0" w:color="auto"/>
            </w:tcBorders>
            <w:shd w:val="clear" w:color="000000" w:fill="00B0F0"/>
            <w:noWrap/>
            <w:vAlign w:val="bottom"/>
            <w:hideMark/>
          </w:tcPr>
          <w:p w14:paraId="7A671CF7" w14:textId="77777777" w:rsidR="00EB5570" w:rsidRPr="00EB5570" w:rsidRDefault="00EB5570" w:rsidP="00EB5570">
            <w:pPr>
              <w:rPr>
                <w:rFonts w:ascii="Tw Cen MT" w:hAnsi="Tw Cen MT" w:cs="Calibri"/>
                <w:b/>
                <w:bCs/>
                <w:color w:val="FFFFFF"/>
                <w:lang w:eastAsia="fr-FR"/>
              </w:rPr>
            </w:pPr>
            <w:r w:rsidRPr="00EB5570">
              <w:rPr>
                <w:rFonts w:ascii="Tw Cen MT" w:hAnsi="Tw Cen MT" w:cs="Calibri"/>
                <w:b/>
                <w:bCs/>
                <w:color w:val="FFFFFF"/>
                <w:lang w:eastAsia="fr-FR"/>
              </w:rPr>
              <w:t> </w:t>
            </w:r>
          </w:p>
        </w:tc>
        <w:tc>
          <w:tcPr>
            <w:tcW w:w="1843" w:type="dxa"/>
            <w:tcBorders>
              <w:top w:val="nil"/>
              <w:left w:val="nil"/>
              <w:bottom w:val="single" w:sz="8" w:space="0" w:color="auto"/>
              <w:right w:val="single" w:sz="8" w:space="0" w:color="auto"/>
            </w:tcBorders>
            <w:shd w:val="clear" w:color="000000" w:fill="00B0F0"/>
            <w:noWrap/>
            <w:vAlign w:val="bottom"/>
            <w:hideMark/>
          </w:tcPr>
          <w:p w14:paraId="60CF36AD" w14:textId="77777777" w:rsidR="00EB5570" w:rsidRPr="00EB5570" w:rsidRDefault="00EB5570" w:rsidP="00EB5570">
            <w:pPr>
              <w:rPr>
                <w:rFonts w:ascii="Tw Cen MT" w:hAnsi="Tw Cen MT" w:cs="Calibri"/>
                <w:b/>
                <w:bCs/>
                <w:color w:val="FFFFFF"/>
                <w:lang w:eastAsia="fr-FR"/>
              </w:rPr>
            </w:pPr>
            <w:r w:rsidRPr="00EB5570">
              <w:rPr>
                <w:rFonts w:ascii="Tw Cen MT" w:hAnsi="Tw Cen MT" w:cs="Calibri"/>
                <w:b/>
                <w:bCs/>
                <w:color w:val="FFFFFF"/>
                <w:lang w:eastAsia="fr-FR"/>
              </w:rPr>
              <w:t xml:space="preserve">     335 545 127 811 </w:t>
            </w:r>
          </w:p>
        </w:tc>
      </w:tr>
      <w:tr w:rsidR="00EB5570" w:rsidRPr="00EB5570" w14:paraId="0C1D36B7" w14:textId="77777777" w:rsidTr="00851ED2">
        <w:trPr>
          <w:trHeight w:val="246"/>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01F9BC90" w14:textId="42B63F91" w:rsidR="00EB5570" w:rsidRPr="00EB5570" w:rsidRDefault="00EB5570" w:rsidP="00851ED2">
            <w:pPr>
              <w:jc w:val="center"/>
              <w:rPr>
                <w:rFonts w:ascii="Tw Cen MT" w:hAnsi="Tw Cen MT" w:cs="Calibri"/>
                <w:color w:val="000000"/>
                <w:lang w:eastAsia="fr-FR"/>
              </w:rPr>
            </w:pPr>
            <w:r>
              <w:rPr>
                <w:rFonts w:ascii="Tw Cen MT" w:hAnsi="Tw Cen MT" w:cs="Calibri"/>
                <w:color w:val="000000"/>
                <w:lang w:eastAsia="fr-FR"/>
              </w:rPr>
              <w:t>25</w:t>
            </w:r>
          </w:p>
        </w:tc>
        <w:tc>
          <w:tcPr>
            <w:tcW w:w="1288" w:type="dxa"/>
            <w:tcBorders>
              <w:top w:val="nil"/>
              <w:left w:val="nil"/>
              <w:bottom w:val="single" w:sz="8" w:space="0" w:color="auto"/>
              <w:right w:val="single" w:sz="8" w:space="0" w:color="auto"/>
            </w:tcBorders>
            <w:shd w:val="clear" w:color="auto" w:fill="auto"/>
            <w:noWrap/>
            <w:vAlign w:val="bottom"/>
            <w:hideMark/>
          </w:tcPr>
          <w:p w14:paraId="64C37F68" w14:textId="77777777" w:rsidR="00EB5570" w:rsidRPr="00EB5570" w:rsidRDefault="00EB5570" w:rsidP="00EB5570">
            <w:pPr>
              <w:jc w:val="right"/>
              <w:rPr>
                <w:rFonts w:ascii="Tw Cen MT" w:hAnsi="Tw Cen MT" w:cs="Calibri"/>
                <w:color w:val="000000"/>
                <w:lang w:eastAsia="fr-FR"/>
              </w:rPr>
            </w:pPr>
            <w:r w:rsidRPr="00EB5570">
              <w:rPr>
                <w:rFonts w:ascii="Calibri" w:hAnsi="Calibri" w:cs="Calibri"/>
                <w:sz w:val="18"/>
                <w:szCs w:val="18"/>
                <w:lang w:eastAsia="fr-FR"/>
              </w:rPr>
              <w:t>084122677T</w:t>
            </w:r>
          </w:p>
        </w:tc>
        <w:tc>
          <w:tcPr>
            <w:tcW w:w="5967" w:type="dxa"/>
            <w:tcBorders>
              <w:top w:val="nil"/>
              <w:left w:val="nil"/>
              <w:bottom w:val="single" w:sz="8" w:space="0" w:color="auto"/>
              <w:right w:val="single" w:sz="8" w:space="0" w:color="auto"/>
            </w:tcBorders>
            <w:shd w:val="clear" w:color="auto" w:fill="auto"/>
            <w:noWrap/>
            <w:vAlign w:val="bottom"/>
            <w:hideMark/>
          </w:tcPr>
          <w:p w14:paraId="3AFBA13C"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TIMBUKTU Ressources SARL</w:t>
            </w:r>
          </w:p>
        </w:tc>
        <w:tc>
          <w:tcPr>
            <w:tcW w:w="1900" w:type="dxa"/>
            <w:tcBorders>
              <w:top w:val="nil"/>
              <w:left w:val="nil"/>
              <w:bottom w:val="single" w:sz="8" w:space="0" w:color="auto"/>
              <w:right w:val="single" w:sz="8" w:space="0" w:color="auto"/>
            </w:tcBorders>
            <w:shd w:val="clear" w:color="auto" w:fill="auto"/>
            <w:noWrap/>
            <w:vAlign w:val="bottom"/>
            <w:hideMark/>
          </w:tcPr>
          <w:p w14:paraId="62654D37" w14:textId="54FCE615"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TIMBU</w:t>
            </w:r>
            <w:r>
              <w:rPr>
                <w:rFonts w:ascii="Tw Cen MT" w:hAnsi="Tw Cen MT" w:cs="Calibri"/>
                <w:color w:val="000000"/>
                <w:lang w:eastAsia="fr-FR"/>
              </w:rPr>
              <w:t>K</w:t>
            </w:r>
            <w:r w:rsidRPr="00EB5570">
              <w:rPr>
                <w:rFonts w:ascii="Tw Cen MT" w:hAnsi="Tw Cen MT" w:cs="Calibri"/>
                <w:color w:val="000000"/>
                <w:lang w:eastAsia="fr-FR"/>
              </w:rPr>
              <w:t>TU</w:t>
            </w:r>
          </w:p>
        </w:tc>
        <w:tc>
          <w:tcPr>
            <w:tcW w:w="2665" w:type="dxa"/>
            <w:tcBorders>
              <w:top w:val="nil"/>
              <w:left w:val="nil"/>
              <w:bottom w:val="single" w:sz="8" w:space="0" w:color="auto"/>
              <w:right w:val="single" w:sz="8" w:space="0" w:color="auto"/>
            </w:tcBorders>
            <w:shd w:val="clear" w:color="auto" w:fill="auto"/>
            <w:noWrap/>
            <w:vAlign w:val="bottom"/>
            <w:hideMark/>
          </w:tcPr>
          <w:p w14:paraId="63502FB0"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Recherche Litium</w:t>
            </w:r>
          </w:p>
        </w:tc>
        <w:tc>
          <w:tcPr>
            <w:tcW w:w="1843" w:type="dxa"/>
            <w:tcBorders>
              <w:top w:val="nil"/>
              <w:left w:val="nil"/>
              <w:bottom w:val="single" w:sz="8" w:space="0" w:color="auto"/>
              <w:right w:val="single" w:sz="8" w:space="0" w:color="auto"/>
            </w:tcBorders>
            <w:shd w:val="clear" w:color="auto" w:fill="auto"/>
            <w:noWrap/>
            <w:vAlign w:val="bottom"/>
            <w:hideMark/>
          </w:tcPr>
          <w:p w14:paraId="164264AE"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110 000 000 </w:t>
            </w:r>
          </w:p>
        </w:tc>
      </w:tr>
      <w:tr w:rsidR="00EB5570" w:rsidRPr="00EB5570" w14:paraId="04764F17" w14:textId="77777777" w:rsidTr="00851ED2">
        <w:trPr>
          <w:trHeight w:val="264"/>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57C8B33E" w14:textId="64B169CD" w:rsidR="00EB5570" w:rsidRPr="00EB5570" w:rsidRDefault="00EB5570" w:rsidP="00851ED2">
            <w:pPr>
              <w:jc w:val="center"/>
              <w:rPr>
                <w:rFonts w:ascii="Tw Cen MT" w:hAnsi="Tw Cen MT" w:cs="Calibri"/>
                <w:color w:val="000000"/>
                <w:lang w:eastAsia="fr-FR"/>
              </w:rPr>
            </w:pPr>
            <w:r>
              <w:rPr>
                <w:rFonts w:ascii="Tw Cen MT" w:hAnsi="Tw Cen MT" w:cs="Calibri"/>
                <w:color w:val="000000"/>
                <w:lang w:eastAsia="fr-FR"/>
              </w:rPr>
              <w:t>26</w:t>
            </w:r>
          </w:p>
        </w:tc>
        <w:tc>
          <w:tcPr>
            <w:tcW w:w="1288" w:type="dxa"/>
            <w:tcBorders>
              <w:top w:val="nil"/>
              <w:left w:val="nil"/>
              <w:bottom w:val="single" w:sz="8" w:space="0" w:color="auto"/>
              <w:right w:val="single" w:sz="8" w:space="0" w:color="auto"/>
            </w:tcBorders>
            <w:shd w:val="clear" w:color="auto" w:fill="auto"/>
            <w:noWrap/>
            <w:vAlign w:val="bottom"/>
            <w:hideMark/>
          </w:tcPr>
          <w:p w14:paraId="4991242B" w14:textId="77777777" w:rsidR="00EB5570" w:rsidRPr="00EB5570" w:rsidRDefault="00EB5570" w:rsidP="00EB5570">
            <w:pPr>
              <w:jc w:val="right"/>
              <w:rPr>
                <w:rFonts w:ascii="Tw Cen MT" w:hAnsi="Tw Cen MT" w:cs="Calibri"/>
                <w:color w:val="000000"/>
                <w:lang w:eastAsia="fr-FR"/>
              </w:rPr>
            </w:pPr>
            <w:r w:rsidRPr="00EB5570">
              <w:rPr>
                <w:rFonts w:ascii="Tw Cen MT" w:hAnsi="Tw Cen MT" w:cs="Calibri"/>
                <w:color w:val="000000"/>
                <w:lang w:eastAsia="fr-FR"/>
              </w:rPr>
              <w:t>087800027J</w:t>
            </w:r>
          </w:p>
        </w:tc>
        <w:tc>
          <w:tcPr>
            <w:tcW w:w="5967" w:type="dxa"/>
            <w:tcBorders>
              <w:top w:val="nil"/>
              <w:left w:val="nil"/>
              <w:bottom w:val="single" w:sz="8" w:space="0" w:color="auto"/>
              <w:right w:val="single" w:sz="8" w:space="0" w:color="auto"/>
            </w:tcBorders>
            <w:shd w:val="clear" w:color="auto" w:fill="auto"/>
            <w:noWrap/>
            <w:vAlign w:val="bottom"/>
            <w:hideMark/>
          </w:tcPr>
          <w:p w14:paraId="60256CDF"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COVEC - SA.</w:t>
            </w:r>
          </w:p>
        </w:tc>
        <w:tc>
          <w:tcPr>
            <w:tcW w:w="1900" w:type="dxa"/>
            <w:tcBorders>
              <w:top w:val="nil"/>
              <w:left w:val="nil"/>
              <w:bottom w:val="single" w:sz="8" w:space="0" w:color="auto"/>
              <w:right w:val="single" w:sz="8" w:space="0" w:color="auto"/>
            </w:tcBorders>
            <w:shd w:val="clear" w:color="auto" w:fill="auto"/>
            <w:noWrap/>
            <w:vAlign w:val="bottom"/>
            <w:hideMark/>
          </w:tcPr>
          <w:p w14:paraId="16CE8C64"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COVEC SA</w:t>
            </w:r>
          </w:p>
        </w:tc>
        <w:tc>
          <w:tcPr>
            <w:tcW w:w="2665" w:type="dxa"/>
            <w:tcBorders>
              <w:top w:val="nil"/>
              <w:left w:val="nil"/>
              <w:bottom w:val="single" w:sz="8" w:space="0" w:color="auto"/>
              <w:right w:val="single" w:sz="8" w:space="0" w:color="auto"/>
            </w:tcBorders>
            <w:shd w:val="clear" w:color="auto" w:fill="auto"/>
            <w:noWrap/>
            <w:vAlign w:val="bottom"/>
            <w:hideMark/>
          </w:tcPr>
          <w:p w14:paraId="0CECA8F4"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Exploitation Dolérite</w:t>
            </w:r>
          </w:p>
        </w:tc>
        <w:tc>
          <w:tcPr>
            <w:tcW w:w="1843" w:type="dxa"/>
            <w:tcBorders>
              <w:top w:val="nil"/>
              <w:left w:val="nil"/>
              <w:bottom w:val="single" w:sz="8" w:space="0" w:color="auto"/>
              <w:right w:val="single" w:sz="8" w:space="0" w:color="auto"/>
            </w:tcBorders>
            <w:shd w:val="clear" w:color="auto" w:fill="auto"/>
            <w:noWrap/>
            <w:vAlign w:val="bottom"/>
            <w:hideMark/>
          </w:tcPr>
          <w:p w14:paraId="6E1A5D33" w14:textId="77777777" w:rsidR="00EB5570" w:rsidRPr="00EB5570" w:rsidRDefault="00EB5570" w:rsidP="00EB5570">
            <w:pPr>
              <w:rPr>
                <w:rFonts w:ascii="Tw Cen MT" w:hAnsi="Tw Cen MT" w:cs="Calibri"/>
                <w:color w:val="000000"/>
                <w:lang w:eastAsia="fr-FR"/>
              </w:rPr>
            </w:pPr>
            <w:r w:rsidRPr="00EB5570">
              <w:rPr>
                <w:rFonts w:ascii="Tw Cen MT" w:hAnsi="Tw Cen MT" w:cs="Calibri"/>
                <w:color w:val="000000"/>
                <w:lang w:eastAsia="fr-FR"/>
              </w:rPr>
              <w:t xml:space="preserve">      6 035 231 690 </w:t>
            </w:r>
          </w:p>
        </w:tc>
      </w:tr>
      <w:tr w:rsidR="00EB5570" w:rsidRPr="00EB5570" w14:paraId="1E24FD61" w14:textId="77777777" w:rsidTr="00851ED2">
        <w:trPr>
          <w:trHeight w:val="315"/>
        </w:trPr>
        <w:tc>
          <w:tcPr>
            <w:tcW w:w="361" w:type="dxa"/>
            <w:tcBorders>
              <w:top w:val="nil"/>
              <w:left w:val="single" w:sz="8" w:space="0" w:color="auto"/>
              <w:bottom w:val="single" w:sz="8" w:space="0" w:color="auto"/>
              <w:right w:val="single" w:sz="8" w:space="0" w:color="auto"/>
            </w:tcBorders>
            <w:shd w:val="clear" w:color="000000" w:fill="00B0F0"/>
            <w:noWrap/>
            <w:vAlign w:val="bottom"/>
            <w:hideMark/>
          </w:tcPr>
          <w:p w14:paraId="49C4C5A6" w14:textId="77777777" w:rsidR="00EB5570" w:rsidRPr="00EB5570" w:rsidRDefault="00EB5570" w:rsidP="00EB5570">
            <w:pPr>
              <w:jc w:val="right"/>
              <w:rPr>
                <w:rFonts w:ascii="Tw Cen MT" w:hAnsi="Tw Cen MT" w:cs="Calibri"/>
                <w:b/>
                <w:bCs/>
                <w:color w:val="FFFFFF"/>
                <w:lang w:eastAsia="fr-FR"/>
              </w:rPr>
            </w:pPr>
            <w:r w:rsidRPr="00EB5570">
              <w:rPr>
                <w:rFonts w:ascii="Tw Cen MT" w:hAnsi="Tw Cen MT" w:cs="Calibri"/>
                <w:b/>
                <w:bCs/>
                <w:color w:val="FFFFFF"/>
                <w:lang w:eastAsia="fr-FR"/>
              </w:rPr>
              <w:t> </w:t>
            </w:r>
          </w:p>
        </w:tc>
        <w:tc>
          <w:tcPr>
            <w:tcW w:w="1288" w:type="dxa"/>
            <w:tcBorders>
              <w:top w:val="nil"/>
              <w:left w:val="nil"/>
              <w:bottom w:val="single" w:sz="8" w:space="0" w:color="auto"/>
              <w:right w:val="single" w:sz="8" w:space="0" w:color="auto"/>
            </w:tcBorders>
            <w:shd w:val="clear" w:color="000000" w:fill="00B0F0"/>
            <w:noWrap/>
            <w:vAlign w:val="bottom"/>
            <w:hideMark/>
          </w:tcPr>
          <w:p w14:paraId="1CDF5629" w14:textId="77777777" w:rsidR="00EB5570" w:rsidRPr="00EB5570" w:rsidRDefault="00EB5570" w:rsidP="00EB5570">
            <w:pPr>
              <w:jc w:val="right"/>
              <w:rPr>
                <w:rFonts w:ascii="Tw Cen MT" w:hAnsi="Tw Cen MT" w:cs="Calibri"/>
                <w:b/>
                <w:bCs/>
                <w:color w:val="FFFFFF"/>
                <w:lang w:eastAsia="fr-FR"/>
              </w:rPr>
            </w:pPr>
            <w:r w:rsidRPr="00EB5570">
              <w:rPr>
                <w:rFonts w:ascii="Tw Cen MT" w:hAnsi="Tw Cen MT" w:cs="Calibri"/>
                <w:b/>
                <w:bCs/>
                <w:color w:val="FFFFFF"/>
                <w:lang w:eastAsia="fr-FR"/>
              </w:rPr>
              <w:t> </w:t>
            </w:r>
          </w:p>
        </w:tc>
        <w:tc>
          <w:tcPr>
            <w:tcW w:w="5967" w:type="dxa"/>
            <w:tcBorders>
              <w:top w:val="nil"/>
              <w:left w:val="nil"/>
              <w:bottom w:val="single" w:sz="8" w:space="0" w:color="auto"/>
              <w:right w:val="single" w:sz="8" w:space="0" w:color="auto"/>
            </w:tcBorders>
            <w:shd w:val="clear" w:color="000000" w:fill="00B0F0"/>
            <w:noWrap/>
            <w:vAlign w:val="bottom"/>
            <w:hideMark/>
          </w:tcPr>
          <w:p w14:paraId="3EF9291A" w14:textId="510515FD" w:rsidR="00EB5570" w:rsidRPr="00EB5570" w:rsidRDefault="00EB5570" w:rsidP="00EB5570">
            <w:pPr>
              <w:rPr>
                <w:rFonts w:ascii="Tw Cen MT" w:hAnsi="Tw Cen MT" w:cs="Calibri"/>
                <w:b/>
                <w:bCs/>
                <w:color w:val="FFFFFF"/>
                <w:lang w:eastAsia="fr-FR"/>
              </w:rPr>
            </w:pPr>
            <w:r w:rsidRPr="00EB5570">
              <w:rPr>
                <w:rFonts w:ascii="Tw Cen MT" w:hAnsi="Tw Cen MT" w:cs="Calibri"/>
                <w:b/>
                <w:bCs/>
                <w:color w:val="FFFFFF"/>
                <w:lang w:eastAsia="fr-FR"/>
              </w:rPr>
              <w:t>Sous total des nouvelles sociétés entra</w:t>
            </w:r>
            <w:r>
              <w:rPr>
                <w:rFonts w:ascii="Tw Cen MT" w:hAnsi="Tw Cen MT" w:cs="Calibri"/>
                <w:b/>
                <w:bCs/>
                <w:color w:val="FFFFFF"/>
                <w:lang w:eastAsia="fr-FR"/>
              </w:rPr>
              <w:t>n</w:t>
            </w:r>
            <w:r w:rsidRPr="00EB5570">
              <w:rPr>
                <w:rFonts w:ascii="Tw Cen MT" w:hAnsi="Tw Cen MT" w:cs="Calibri"/>
                <w:b/>
                <w:bCs/>
                <w:color w:val="FFFFFF"/>
                <w:lang w:eastAsia="fr-FR"/>
              </w:rPr>
              <w:t>t dans le périmètre de conciliation</w:t>
            </w:r>
          </w:p>
        </w:tc>
        <w:tc>
          <w:tcPr>
            <w:tcW w:w="1900" w:type="dxa"/>
            <w:tcBorders>
              <w:top w:val="nil"/>
              <w:left w:val="nil"/>
              <w:bottom w:val="single" w:sz="8" w:space="0" w:color="auto"/>
              <w:right w:val="single" w:sz="8" w:space="0" w:color="auto"/>
            </w:tcBorders>
            <w:shd w:val="clear" w:color="000000" w:fill="00B0F0"/>
            <w:noWrap/>
            <w:vAlign w:val="bottom"/>
            <w:hideMark/>
          </w:tcPr>
          <w:p w14:paraId="77AAABD9" w14:textId="77777777" w:rsidR="00EB5570" w:rsidRPr="00EB5570" w:rsidRDefault="00EB5570" w:rsidP="00EB5570">
            <w:pPr>
              <w:rPr>
                <w:rFonts w:ascii="Tw Cen MT" w:hAnsi="Tw Cen MT" w:cs="Calibri"/>
                <w:b/>
                <w:bCs/>
                <w:color w:val="FFFFFF"/>
                <w:lang w:eastAsia="fr-FR"/>
              </w:rPr>
            </w:pPr>
            <w:r w:rsidRPr="00EB5570">
              <w:rPr>
                <w:rFonts w:ascii="Tw Cen MT" w:hAnsi="Tw Cen MT" w:cs="Calibri"/>
                <w:b/>
                <w:bCs/>
                <w:color w:val="FFFFFF"/>
                <w:lang w:eastAsia="fr-FR"/>
              </w:rPr>
              <w:t> </w:t>
            </w:r>
          </w:p>
        </w:tc>
        <w:tc>
          <w:tcPr>
            <w:tcW w:w="2665" w:type="dxa"/>
            <w:tcBorders>
              <w:top w:val="nil"/>
              <w:left w:val="nil"/>
              <w:bottom w:val="single" w:sz="8" w:space="0" w:color="auto"/>
              <w:right w:val="single" w:sz="8" w:space="0" w:color="auto"/>
            </w:tcBorders>
            <w:shd w:val="clear" w:color="000000" w:fill="00B0F0"/>
            <w:noWrap/>
            <w:vAlign w:val="bottom"/>
            <w:hideMark/>
          </w:tcPr>
          <w:p w14:paraId="698FA921" w14:textId="77777777" w:rsidR="00EB5570" w:rsidRPr="00EB5570" w:rsidRDefault="00EB5570" w:rsidP="00EB5570">
            <w:pPr>
              <w:rPr>
                <w:rFonts w:ascii="Tw Cen MT" w:hAnsi="Tw Cen MT" w:cs="Calibri"/>
                <w:b/>
                <w:bCs/>
                <w:color w:val="FFFFFF"/>
                <w:lang w:eastAsia="fr-FR"/>
              </w:rPr>
            </w:pPr>
            <w:r w:rsidRPr="00EB5570">
              <w:rPr>
                <w:rFonts w:ascii="Tw Cen MT" w:hAnsi="Tw Cen MT" w:cs="Calibri"/>
                <w:b/>
                <w:bCs/>
                <w:color w:val="FFFFFF"/>
                <w:lang w:eastAsia="fr-FR"/>
              </w:rPr>
              <w:t> </w:t>
            </w:r>
          </w:p>
        </w:tc>
        <w:tc>
          <w:tcPr>
            <w:tcW w:w="1843" w:type="dxa"/>
            <w:tcBorders>
              <w:top w:val="nil"/>
              <w:left w:val="nil"/>
              <w:bottom w:val="single" w:sz="8" w:space="0" w:color="auto"/>
              <w:right w:val="single" w:sz="8" w:space="0" w:color="auto"/>
            </w:tcBorders>
            <w:shd w:val="clear" w:color="000000" w:fill="00B0F0"/>
            <w:noWrap/>
            <w:vAlign w:val="bottom"/>
            <w:hideMark/>
          </w:tcPr>
          <w:p w14:paraId="47583639" w14:textId="6C5C1369" w:rsidR="00EB5570" w:rsidRPr="00EB5570" w:rsidRDefault="00EB5570" w:rsidP="00EB5570">
            <w:pPr>
              <w:rPr>
                <w:rFonts w:ascii="Tw Cen MT" w:hAnsi="Tw Cen MT" w:cs="Calibri"/>
                <w:b/>
                <w:bCs/>
                <w:color w:val="FFFFFF"/>
                <w:lang w:eastAsia="fr-FR"/>
              </w:rPr>
            </w:pPr>
            <w:r w:rsidRPr="00EB5570">
              <w:rPr>
                <w:rFonts w:ascii="Tw Cen MT" w:hAnsi="Tw Cen MT" w:cs="Calibri"/>
                <w:b/>
                <w:bCs/>
                <w:color w:val="FFFFFF"/>
                <w:lang w:eastAsia="fr-FR"/>
              </w:rPr>
              <w:t xml:space="preserve">         6 145 231 690 </w:t>
            </w:r>
          </w:p>
        </w:tc>
      </w:tr>
      <w:tr w:rsidR="00EB5570" w:rsidRPr="00EB5570" w14:paraId="3588FB32" w14:textId="77777777" w:rsidTr="00851ED2">
        <w:trPr>
          <w:trHeight w:val="210"/>
        </w:trPr>
        <w:tc>
          <w:tcPr>
            <w:tcW w:w="361" w:type="dxa"/>
            <w:tcBorders>
              <w:top w:val="nil"/>
              <w:left w:val="single" w:sz="8" w:space="0" w:color="auto"/>
              <w:bottom w:val="single" w:sz="8" w:space="0" w:color="auto"/>
              <w:right w:val="single" w:sz="8" w:space="0" w:color="auto"/>
            </w:tcBorders>
            <w:shd w:val="clear" w:color="auto" w:fill="auto"/>
            <w:noWrap/>
            <w:vAlign w:val="bottom"/>
            <w:hideMark/>
          </w:tcPr>
          <w:p w14:paraId="0C192F75" w14:textId="77777777" w:rsidR="00EB5570" w:rsidRPr="00EB5570" w:rsidRDefault="00EB5570" w:rsidP="00EB5570">
            <w:pPr>
              <w:jc w:val="right"/>
              <w:rPr>
                <w:rFonts w:ascii="Tw Cen MT" w:hAnsi="Tw Cen MT" w:cs="Calibri"/>
                <w:b/>
                <w:bCs/>
                <w:color w:val="FFFFFF"/>
                <w:lang w:eastAsia="fr-FR"/>
              </w:rPr>
            </w:pPr>
            <w:r w:rsidRPr="00EB5570">
              <w:rPr>
                <w:rFonts w:ascii="Tw Cen MT" w:hAnsi="Tw Cen MT" w:cs="Calibri"/>
                <w:b/>
                <w:bCs/>
                <w:color w:val="FFFFFF"/>
                <w:lang w:eastAsia="fr-FR"/>
              </w:rPr>
              <w:t> </w:t>
            </w:r>
          </w:p>
        </w:tc>
        <w:tc>
          <w:tcPr>
            <w:tcW w:w="1288" w:type="dxa"/>
            <w:tcBorders>
              <w:top w:val="nil"/>
              <w:left w:val="nil"/>
              <w:bottom w:val="single" w:sz="8" w:space="0" w:color="auto"/>
              <w:right w:val="single" w:sz="8" w:space="0" w:color="auto"/>
            </w:tcBorders>
            <w:shd w:val="clear" w:color="auto" w:fill="auto"/>
            <w:noWrap/>
            <w:vAlign w:val="bottom"/>
            <w:hideMark/>
          </w:tcPr>
          <w:p w14:paraId="3D3E5E57" w14:textId="77777777" w:rsidR="00EB5570" w:rsidRPr="00EB5570" w:rsidRDefault="00EB5570" w:rsidP="00EB5570">
            <w:pPr>
              <w:jc w:val="right"/>
              <w:rPr>
                <w:rFonts w:ascii="Tw Cen MT" w:hAnsi="Tw Cen MT" w:cs="Calibri"/>
                <w:b/>
                <w:bCs/>
                <w:color w:val="FFFFFF"/>
                <w:lang w:eastAsia="fr-FR"/>
              </w:rPr>
            </w:pPr>
            <w:r w:rsidRPr="00EB5570">
              <w:rPr>
                <w:rFonts w:ascii="Tw Cen MT" w:hAnsi="Tw Cen MT" w:cs="Calibri"/>
                <w:b/>
                <w:bCs/>
                <w:color w:val="FFFFFF"/>
                <w:lang w:eastAsia="fr-FR"/>
              </w:rPr>
              <w:t> </w:t>
            </w:r>
          </w:p>
        </w:tc>
        <w:tc>
          <w:tcPr>
            <w:tcW w:w="5967" w:type="dxa"/>
            <w:tcBorders>
              <w:top w:val="nil"/>
              <w:left w:val="nil"/>
              <w:bottom w:val="single" w:sz="8" w:space="0" w:color="auto"/>
              <w:right w:val="single" w:sz="8" w:space="0" w:color="auto"/>
            </w:tcBorders>
            <w:shd w:val="clear" w:color="auto" w:fill="auto"/>
            <w:noWrap/>
            <w:vAlign w:val="bottom"/>
            <w:hideMark/>
          </w:tcPr>
          <w:p w14:paraId="1CB60A59" w14:textId="77777777" w:rsidR="00EB5570" w:rsidRPr="00EB5570" w:rsidRDefault="00EB5570" w:rsidP="00EB5570">
            <w:pPr>
              <w:rPr>
                <w:rFonts w:ascii="Tw Cen MT" w:hAnsi="Tw Cen MT" w:cs="Calibri"/>
                <w:b/>
                <w:bCs/>
                <w:color w:val="FFFFFF"/>
                <w:lang w:eastAsia="fr-FR"/>
              </w:rPr>
            </w:pPr>
            <w:r w:rsidRPr="00EB5570">
              <w:rPr>
                <w:rFonts w:ascii="Tw Cen MT" w:hAnsi="Tw Cen MT" w:cs="Calibri"/>
                <w:b/>
                <w:bCs/>
                <w:color w:val="FFFFFF"/>
                <w:lang w:eastAsia="fr-FR"/>
              </w:rPr>
              <w:t> </w:t>
            </w:r>
          </w:p>
        </w:tc>
        <w:tc>
          <w:tcPr>
            <w:tcW w:w="1900" w:type="dxa"/>
            <w:tcBorders>
              <w:top w:val="nil"/>
              <w:left w:val="nil"/>
              <w:bottom w:val="single" w:sz="8" w:space="0" w:color="auto"/>
              <w:right w:val="single" w:sz="8" w:space="0" w:color="auto"/>
            </w:tcBorders>
            <w:shd w:val="clear" w:color="auto" w:fill="auto"/>
            <w:noWrap/>
            <w:vAlign w:val="bottom"/>
            <w:hideMark/>
          </w:tcPr>
          <w:p w14:paraId="0EB7AA8A" w14:textId="77777777" w:rsidR="00EB5570" w:rsidRPr="00EB5570" w:rsidRDefault="00EB5570" w:rsidP="00EB5570">
            <w:pPr>
              <w:rPr>
                <w:rFonts w:ascii="Tw Cen MT" w:hAnsi="Tw Cen MT" w:cs="Calibri"/>
                <w:b/>
                <w:bCs/>
                <w:color w:val="FFFFFF"/>
                <w:lang w:eastAsia="fr-FR"/>
              </w:rPr>
            </w:pPr>
            <w:r w:rsidRPr="00EB5570">
              <w:rPr>
                <w:rFonts w:ascii="Tw Cen MT" w:hAnsi="Tw Cen MT" w:cs="Calibri"/>
                <w:b/>
                <w:bCs/>
                <w:color w:val="FFFFFF"/>
                <w:lang w:eastAsia="fr-FR"/>
              </w:rPr>
              <w:t> </w:t>
            </w:r>
          </w:p>
        </w:tc>
        <w:tc>
          <w:tcPr>
            <w:tcW w:w="2665" w:type="dxa"/>
            <w:tcBorders>
              <w:top w:val="nil"/>
              <w:left w:val="nil"/>
              <w:bottom w:val="single" w:sz="8" w:space="0" w:color="auto"/>
              <w:right w:val="single" w:sz="8" w:space="0" w:color="auto"/>
            </w:tcBorders>
            <w:shd w:val="clear" w:color="auto" w:fill="auto"/>
            <w:noWrap/>
            <w:vAlign w:val="bottom"/>
            <w:hideMark/>
          </w:tcPr>
          <w:p w14:paraId="37161812" w14:textId="77777777" w:rsidR="00EB5570" w:rsidRPr="00EB5570" w:rsidRDefault="00EB5570" w:rsidP="00EB5570">
            <w:pPr>
              <w:rPr>
                <w:rFonts w:ascii="Tw Cen MT" w:hAnsi="Tw Cen MT" w:cs="Calibri"/>
                <w:b/>
                <w:bCs/>
                <w:color w:val="FFFFFF"/>
                <w:lang w:eastAsia="fr-FR"/>
              </w:rPr>
            </w:pPr>
            <w:r w:rsidRPr="00EB5570">
              <w:rPr>
                <w:rFonts w:ascii="Tw Cen MT" w:hAnsi="Tw Cen MT" w:cs="Calibri"/>
                <w:b/>
                <w:bCs/>
                <w:color w:val="FFFFFF"/>
                <w:lang w:eastAsia="fr-FR"/>
              </w:rPr>
              <w:t> </w:t>
            </w:r>
          </w:p>
        </w:tc>
        <w:tc>
          <w:tcPr>
            <w:tcW w:w="1843" w:type="dxa"/>
            <w:tcBorders>
              <w:top w:val="nil"/>
              <w:left w:val="nil"/>
              <w:bottom w:val="single" w:sz="8" w:space="0" w:color="auto"/>
              <w:right w:val="single" w:sz="8" w:space="0" w:color="auto"/>
            </w:tcBorders>
            <w:shd w:val="clear" w:color="auto" w:fill="auto"/>
            <w:noWrap/>
            <w:vAlign w:val="bottom"/>
            <w:hideMark/>
          </w:tcPr>
          <w:p w14:paraId="65A63D42" w14:textId="77777777" w:rsidR="00EB5570" w:rsidRPr="00EB5570" w:rsidRDefault="00EB5570" w:rsidP="00EB5570">
            <w:pPr>
              <w:rPr>
                <w:rFonts w:ascii="Tw Cen MT" w:hAnsi="Tw Cen MT" w:cs="Calibri"/>
                <w:b/>
                <w:bCs/>
                <w:color w:val="FFFFFF"/>
                <w:lang w:eastAsia="fr-FR"/>
              </w:rPr>
            </w:pPr>
            <w:r w:rsidRPr="00EB5570">
              <w:rPr>
                <w:rFonts w:ascii="Tw Cen MT" w:hAnsi="Tw Cen MT" w:cs="Calibri"/>
                <w:b/>
                <w:bCs/>
                <w:color w:val="FFFFFF"/>
                <w:lang w:eastAsia="fr-FR"/>
              </w:rPr>
              <w:t> </w:t>
            </w:r>
          </w:p>
        </w:tc>
      </w:tr>
      <w:tr w:rsidR="00EB5570" w:rsidRPr="00EB5570" w14:paraId="1F8D56A3" w14:textId="77777777" w:rsidTr="00851ED2">
        <w:trPr>
          <w:trHeight w:val="315"/>
        </w:trPr>
        <w:tc>
          <w:tcPr>
            <w:tcW w:w="361" w:type="dxa"/>
            <w:tcBorders>
              <w:top w:val="nil"/>
              <w:left w:val="single" w:sz="8" w:space="0" w:color="auto"/>
              <w:bottom w:val="single" w:sz="8" w:space="0" w:color="auto"/>
              <w:right w:val="single" w:sz="8" w:space="0" w:color="auto"/>
            </w:tcBorders>
            <w:shd w:val="clear" w:color="000000" w:fill="00B0F0"/>
            <w:noWrap/>
            <w:vAlign w:val="bottom"/>
            <w:hideMark/>
          </w:tcPr>
          <w:p w14:paraId="63198E6B" w14:textId="77777777" w:rsidR="00EB5570" w:rsidRPr="00EB5570" w:rsidRDefault="00EB5570" w:rsidP="00EB5570">
            <w:pPr>
              <w:jc w:val="right"/>
              <w:rPr>
                <w:rFonts w:ascii="Tw Cen MT" w:hAnsi="Tw Cen MT" w:cs="Calibri"/>
                <w:b/>
                <w:bCs/>
                <w:color w:val="FFFFFF"/>
                <w:lang w:eastAsia="fr-FR"/>
              </w:rPr>
            </w:pPr>
            <w:r w:rsidRPr="00EB5570">
              <w:rPr>
                <w:rFonts w:ascii="Tw Cen MT" w:hAnsi="Tw Cen MT" w:cs="Calibri"/>
                <w:b/>
                <w:bCs/>
                <w:color w:val="FFFFFF"/>
                <w:lang w:eastAsia="fr-FR"/>
              </w:rPr>
              <w:t> </w:t>
            </w:r>
          </w:p>
        </w:tc>
        <w:tc>
          <w:tcPr>
            <w:tcW w:w="1288" w:type="dxa"/>
            <w:tcBorders>
              <w:top w:val="nil"/>
              <w:left w:val="nil"/>
              <w:bottom w:val="single" w:sz="8" w:space="0" w:color="auto"/>
              <w:right w:val="single" w:sz="8" w:space="0" w:color="auto"/>
            </w:tcBorders>
            <w:shd w:val="clear" w:color="000000" w:fill="00B0F0"/>
            <w:noWrap/>
            <w:vAlign w:val="bottom"/>
            <w:hideMark/>
          </w:tcPr>
          <w:p w14:paraId="6679963B" w14:textId="77777777" w:rsidR="00EB5570" w:rsidRPr="00EB5570" w:rsidRDefault="00EB5570" w:rsidP="00EB5570">
            <w:pPr>
              <w:jc w:val="right"/>
              <w:rPr>
                <w:rFonts w:ascii="Tw Cen MT" w:hAnsi="Tw Cen MT" w:cs="Calibri"/>
                <w:b/>
                <w:bCs/>
                <w:color w:val="FFFFFF"/>
                <w:lang w:eastAsia="fr-FR"/>
              </w:rPr>
            </w:pPr>
            <w:r w:rsidRPr="00EB5570">
              <w:rPr>
                <w:rFonts w:ascii="Tw Cen MT" w:hAnsi="Tw Cen MT" w:cs="Calibri"/>
                <w:b/>
                <w:bCs/>
                <w:color w:val="FFFFFF"/>
                <w:lang w:eastAsia="fr-FR"/>
              </w:rPr>
              <w:t> </w:t>
            </w:r>
          </w:p>
        </w:tc>
        <w:tc>
          <w:tcPr>
            <w:tcW w:w="5967" w:type="dxa"/>
            <w:tcBorders>
              <w:top w:val="nil"/>
              <w:left w:val="nil"/>
              <w:bottom w:val="single" w:sz="8" w:space="0" w:color="auto"/>
              <w:right w:val="single" w:sz="8" w:space="0" w:color="auto"/>
            </w:tcBorders>
            <w:shd w:val="clear" w:color="000000" w:fill="00B0F0"/>
            <w:noWrap/>
            <w:vAlign w:val="bottom"/>
            <w:hideMark/>
          </w:tcPr>
          <w:p w14:paraId="61853CD5" w14:textId="50E2EDB4" w:rsidR="00EB5570" w:rsidRPr="00EB5570" w:rsidRDefault="00EB5570" w:rsidP="00EB5570">
            <w:pPr>
              <w:rPr>
                <w:rFonts w:ascii="Tw Cen MT" w:hAnsi="Tw Cen MT" w:cs="Calibri"/>
                <w:b/>
                <w:bCs/>
                <w:color w:val="FFFFFF"/>
                <w:lang w:eastAsia="fr-FR"/>
              </w:rPr>
            </w:pPr>
            <w:r w:rsidRPr="00EB5570">
              <w:rPr>
                <w:rFonts w:ascii="Tw Cen MT" w:hAnsi="Tw Cen MT" w:cs="Calibri"/>
                <w:b/>
                <w:bCs/>
                <w:color w:val="FFFFFF"/>
                <w:lang w:eastAsia="fr-FR"/>
              </w:rPr>
              <w:t>Total Périmètre 2019</w:t>
            </w:r>
          </w:p>
        </w:tc>
        <w:tc>
          <w:tcPr>
            <w:tcW w:w="1900" w:type="dxa"/>
            <w:tcBorders>
              <w:top w:val="nil"/>
              <w:left w:val="nil"/>
              <w:bottom w:val="single" w:sz="8" w:space="0" w:color="auto"/>
              <w:right w:val="single" w:sz="8" w:space="0" w:color="auto"/>
            </w:tcBorders>
            <w:shd w:val="clear" w:color="000000" w:fill="00B0F0"/>
            <w:noWrap/>
            <w:vAlign w:val="bottom"/>
            <w:hideMark/>
          </w:tcPr>
          <w:p w14:paraId="4F7BAAB1" w14:textId="77777777" w:rsidR="00EB5570" w:rsidRPr="00EB5570" w:rsidRDefault="00EB5570" w:rsidP="00EB5570">
            <w:pPr>
              <w:rPr>
                <w:rFonts w:ascii="Tw Cen MT" w:hAnsi="Tw Cen MT" w:cs="Calibri"/>
                <w:b/>
                <w:bCs/>
                <w:color w:val="FFFFFF"/>
                <w:lang w:eastAsia="fr-FR"/>
              </w:rPr>
            </w:pPr>
            <w:r w:rsidRPr="00EB5570">
              <w:rPr>
                <w:rFonts w:ascii="Tw Cen MT" w:hAnsi="Tw Cen MT" w:cs="Calibri"/>
                <w:b/>
                <w:bCs/>
                <w:color w:val="FFFFFF"/>
                <w:lang w:eastAsia="fr-FR"/>
              </w:rPr>
              <w:t> </w:t>
            </w:r>
          </w:p>
        </w:tc>
        <w:tc>
          <w:tcPr>
            <w:tcW w:w="2665" w:type="dxa"/>
            <w:tcBorders>
              <w:top w:val="nil"/>
              <w:left w:val="nil"/>
              <w:bottom w:val="single" w:sz="8" w:space="0" w:color="auto"/>
              <w:right w:val="single" w:sz="8" w:space="0" w:color="auto"/>
            </w:tcBorders>
            <w:shd w:val="clear" w:color="000000" w:fill="00B0F0"/>
            <w:noWrap/>
            <w:vAlign w:val="bottom"/>
            <w:hideMark/>
          </w:tcPr>
          <w:p w14:paraId="5650370B" w14:textId="77777777" w:rsidR="00EB5570" w:rsidRPr="00EB5570" w:rsidRDefault="00EB5570" w:rsidP="00EB5570">
            <w:pPr>
              <w:rPr>
                <w:rFonts w:ascii="Tw Cen MT" w:hAnsi="Tw Cen MT" w:cs="Calibri"/>
                <w:b/>
                <w:bCs/>
                <w:color w:val="FFFFFF"/>
                <w:lang w:eastAsia="fr-FR"/>
              </w:rPr>
            </w:pPr>
            <w:r w:rsidRPr="00EB5570">
              <w:rPr>
                <w:rFonts w:ascii="Tw Cen MT" w:hAnsi="Tw Cen MT" w:cs="Calibri"/>
                <w:b/>
                <w:bCs/>
                <w:color w:val="FFFFFF"/>
                <w:lang w:eastAsia="fr-FR"/>
              </w:rPr>
              <w:t> </w:t>
            </w:r>
          </w:p>
        </w:tc>
        <w:tc>
          <w:tcPr>
            <w:tcW w:w="1843" w:type="dxa"/>
            <w:tcBorders>
              <w:top w:val="nil"/>
              <w:left w:val="nil"/>
              <w:bottom w:val="single" w:sz="8" w:space="0" w:color="auto"/>
              <w:right w:val="single" w:sz="8" w:space="0" w:color="auto"/>
            </w:tcBorders>
            <w:shd w:val="clear" w:color="000000" w:fill="00B0F0"/>
            <w:noWrap/>
            <w:vAlign w:val="bottom"/>
            <w:hideMark/>
          </w:tcPr>
          <w:p w14:paraId="5E5C8CAB" w14:textId="77777777" w:rsidR="00EB5570" w:rsidRPr="00EB5570" w:rsidRDefault="00EB5570" w:rsidP="00EB5570">
            <w:pPr>
              <w:rPr>
                <w:rFonts w:ascii="Tw Cen MT" w:hAnsi="Tw Cen MT" w:cs="Calibri"/>
                <w:b/>
                <w:bCs/>
                <w:color w:val="FFFFFF"/>
                <w:lang w:eastAsia="fr-FR"/>
              </w:rPr>
            </w:pPr>
            <w:r w:rsidRPr="00EB5570">
              <w:rPr>
                <w:rFonts w:ascii="Tw Cen MT" w:hAnsi="Tw Cen MT" w:cs="Calibri"/>
                <w:b/>
                <w:bCs/>
                <w:color w:val="FFFFFF"/>
                <w:lang w:eastAsia="fr-FR"/>
              </w:rPr>
              <w:t xml:space="preserve">     341 690 359 501 </w:t>
            </w:r>
          </w:p>
        </w:tc>
      </w:tr>
      <w:bookmarkEnd w:id="60"/>
      <w:bookmarkEnd w:id="61"/>
      <w:bookmarkEnd w:id="62"/>
    </w:tbl>
    <w:p w14:paraId="3A29D982" w14:textId="3374AE84" w:rsidR="00C2763E" w:rsidRPr="00B11D3B" w:rsidRDefault="00C2763E" w:rsidP="00851ED2">
      <w:pPr>
        <w:spacing w:after="240"/>
        <w:outlineLvl w:val="1"/>
        <w:rPr>
          <w:rFonts w:ascii="Tw Cen MT" w:hAnsi="Tw Cen MT"/>
          <w:bCs/>
          <w:iCs/>
          <w:sz w:val="2"/>
          <w:szCs w:val="2"/>
        </w:rPr>
      </w:pPr>
    </w:p>
    <w:p w14:paraId="2D0A4174" w14:textId="53F35C90" w:rsidR="00CA067E" w:rsidRDefault="00CA067E" w:rsidP="00EB5570">
      <w:pPr>
        <w:pStyle w:val="Paragraphedeliste"/>
        <w:numPr>
          <w:ilvl w:val="2"/>
          <w:numId w:val="9"/>
        </w:numPr>
        <w:spacing w:after="240"/>
        <w:contextualSpacing w:val="0"/>
        <w:outlineLvl w:val="1"/>
        <w:rPr>
          <w:rFonts w:ascii="Tw Cen MT" w:hAnsi="Tw Cen MT"/>
          <w:b/>
          <w:iCs/>
          <w:sz w:val="26"/>
          <w:szCs w:val="26"/>
        </w:rPr>
      </w:pPr>
      <w:bookmarkStart w:id="64" w:name="_Toc90999728"/>
      <w:r>
        <w:rPr>
          <w:rFonts w:ascii="Tw Cen MT" w:hAnsi="Tw Cen MT"/>
          <w:b/>
          <w:iCs/>
          <w:sz w:val="26"/>
          <w:szCs w:val="26"/>
        </w:rPr>
        <w:t>Details des paiements des sociétés du périmètre de conciliation 2019</w:t>
      </w:r>
      <w:bookmarkEnd w:id="64"/>
    </w:p>
    <w:p w14:paraId="251FDC8E" w14:textId="56466AAC" w:rsidR="00CA067E" w:rsidRPr="00C606D1" w:rsidRDefault="00CA067E" w:rsidP="00C606D1">
      <w:pPr>
        <w:pStyle w:val="BodyText"/>
        <w:spacing w:line="276" w:lineRule="auto"/>
        <w:rPr>
          <w:rFonts w:ascii="Tw Cen MT" w:hAnsi="Tw Cen MT"/>
          <w:color w:val="auto"/>
          <w:sz w:val="24"/>
          <w:lang w:val="fr-FR"/>
        </w:rPr>
      </w:pPr>
      <w:r w:rsidRPr="00C606D1">
        <w:rPr>
          <w:rFonts w:ascii="Tw Cen MT" w:hAnsi="Tw Cen MT"/>
          <w:color w:val="auto"/>
          <w:sz w:val="24"/>
          <w:lang w:val="fr-FR"/>
        </w:rPr>
        <w:t>Le tableau ci-dessous présente le détail des paiements déclarés pour les sociétés proposées dans le périmètre de conciliation en 2019.</w:t>
      </w:r>
    </w:p>
    <w:p w14:paraId="045B3118" w14:textId="387FD3FE" w:rsidR="00A255CD" w:rsidRPr="00A255CD" w:rsidRDefault="00A255CD" w:rsidP="00A255CD">
      <w:pPr>
        <w:pStyle w:val="Lgende"/>
        <w:rPr>
          <w:rFonts w:ascii="Tw Cen MT" w:hAnsi="Tw Cen MT"/>
          <w:b/>
          <w:bCs/>
          <w:i w:val="0"/>
          <w:iCs w:val="0"/>
          <w:color w:val="auto"/>
          <w:sz w:val="24"/>
          <w:szCs w:val="24"/>
        </w:rPr>
      </w:pPr>
      <w:bookmarkStart w:id="65" w:name="_Toc90995629"/>
      <w:r w:rsidRPr="00A255CD">
        <w:rPr>
          <w:rFonts w:ascii="Tw Cen MT" w:hAnsi="Tw Cen MT"/>
          <w:b/>
          <w:bCs/>
          <w:i w:val="0"/>
          <w:iCs w:val="0"/>
          <w:color w:val="auto"/>
          <w:sz w:val="24"/>
          <w:szCs w:val="24"/>
        </w:rPr>
        <w:t xml:space="preserve">Tableau </w:t>
      </w:r>
      <w:r w:rsidRPr="00A255CD">
        <w:rPr>
          <w:rFonts w:ascii="Tw Cen MT" w:hAnsi="Tw Cen MT"/>
          <w:b/>
          <w:bCs/>
          <w:i w:val="0"/>
          <w:iCs w:val="0"/>
          <w:color w:val="auto"/>
          <w:sz w:val="24"/>
          <w:szCs w:val="24"/>
        </w:rPr>
        <w:fldChar w:fldCharType="begin"/>
      </w:r>
      <w:r w:rsidRPr="00A255CD">
        <w:rPr>
          <w:rFonts w:ascii="Tw Cen MT" w:hAnsi="Tw Cen MT"/>
          <w:b/>
          <w:bCs/>
          <w:i w:val="0"/>
          <w:iCs w:val="0"/>
          <w:color w:val="auto"/>
          <w:sz w:val="24"/>
          <w:szCs w:val="24"/>
        </w:rPr>
        <w:instrText xml:space="preserve"> SEQ Tableau \* ARABIC </w:instrText>
      </w:r>
      <w:r w:rsidRPr="00A255CD">
        <w:rPr>
          <w:rFonts w:ascii="Tw Cen MT" w:hAnsi="Tw Cen MT"/>
          <w:b/>
          <w:bCs/>
          <w:i w:val="0"/>
          <w:iCs w:val="0"/>
          <w:color w:val="auto"/>
          <w:sz w:val="24"/>
          <w:szCs w:val="24"/>
        </w:rPr>
        <w:fldChar w:fldCharType="separate"/>
      </w:r>
      <w:r w:rsidR="00A54243">
        <w:rPr>
          <w:rFonts w:ascii="Tw Cen MT" w:hAnsi="Tw Cen MT"/>
          <w:b/>
          <w:bCs/>
          <w:i w:val="0"/>
          <w:iCs w:val="0"/>
          <w:noProof/>
          <w:color w:val="auto"/>
          <w:sz w:val="24"/>
          <w:szCs w:val="24"/>
        </w:rPr>
        <w:t>7</w:t>
      </w:r>
      <w:r w:rsidRPr="00A255CD">
        <w:rPr>
          <w:rFonts w:ascii="Tw Cen MT" w:hAnsi="Tw Cen MT"/>
          <w:b/>
          <w:bCs/>
          <w:i w:val="0"/>
          <w:iCs w:val="0"/>
          <w:color w:val="auto"/>
          <w:sz w:val="24"/>
          <w:szCs w:val="24"/>
        </w:rPr>
        <w:fldChar w:fldCharType="end"/>
      </w:r>
      <w:r w:rsidRPr="00A255CD">
        <w:rPr>
          <w:rFonts w:ascii="Tw Cen MT" w:hAnsi="Tw Cen MT"/>
          <w:b/>
          <w:bCs/>
          <w:i w:val="0"/>
          <w:iCs w:val="0"/>
          <w:color w:val="auto"/>
          <w:sz w:val="24"/>
          <w:szCs w:val="24"/>
        </w:rPr>
        <w:t xml:space="preserve"> : </w:t>
      </w:r>
      <w:r>
        <w:rPr>
          <w:rFonts w:ascii="Tw Cen MT" w:hAnsi="Tw Cen MT"/>
          <w:b/>
          <w:bCs/>
          <w:i w:val="0"/>
          <w:iCs w:val="0"/>
          <w:color w:val="auto"/>
          <w:sz w:val="24"/>
          <w:szCs w:val="24"/>
        </w:rPr>
        <w:t xml:space="preserve">Details des paiements de </w:t>
      </w:r>
      <w:r w:rsidRPr="00A255CD">
        <w:rPr>
          <w:rFonts w:ascii="Tw Cen MT" w:hAnsi="Tw Cen MT"/>
          <w:b/>
          <w:bCs/>
          <w:i w:val="0"/>
          <w:iCs w:val="0"/>
          <w:color w:val="auto"/>
          <w:sz w:val="24"/>
          <w:szCs w:val="24"/>
        </w:rPr>
        <w:t>sociétés extractives proposées pour le périmètre de conciliation 2019</w:t>
      </w:r>
      <w:bookmarkEnd w:id="65"/>
    </w:p>
    <w:tbl>
      <w:tblPr>
        <w:tblW w:w="14449" w:type="dxa"/>
        <w:tblCellMar>
          <w:left w:w="70" w:type="dxa"/>
          <w:right w:w="70" w:type="dxa"/>
        </w:tblCellMar>
        <w:tblLook w:val="04A0" w:firstRow="1" w:lastRow="0" w:firstColumn="1" w:lastColumn="0" w:noHBand="0" w:noVBand="1"/>
      </w:tblPr>
      <w:tblGrid>
        <w:gridCol w:w="460"/>
        <w:gridCol w:w="1300"/>
        <w:gridCol w:w="1349"/>
        <w:gridCol w:w="1673"/>
        <w:gridCol w:w="1660"/>
        <w:gridCol w:w="1628"/>
        <w:gridCol w:w="1300"/>
        <w:gridCol w:w="1300"/>
        <w:gridCol w:w="1560"/>
        <w:gridCol w:w="620"/>
        <w:gridCol w:w="1599"/>
      </w:tblGrid>
      <w:tr w:rsidR="00CA067E" w:rsidRPr="00851ED2" w14:paraId="2220FEEF" w14:textId="77777777" w:rsidTr="00851ED2">
        <w:trPr>
          <w:trHeight w:val="315"/>
          <w:tblHeader/>
        </w:trPr>
        <w:tc>
          <w:tcPr>
            <w:tcW w:w="460" w:type="dxa"/>
            <w:tcBorders>
              <w:top w:val="single" w:sz="8" w:space="0" w:color="auto"/>
              <w:left w:val="single" w:sz="8" w:space="0" w:color="auto"/>
              <w:bottom w:val="single" w:sz="8" w:space="0" w:color="auto"/>
              <w:right w:val="single" w:sz="8" w:space="0" w:color="auto"/>
            </w:tcBorders>
            <w:shd w:val="clear" w:color="000000" w:fill="00B0F0"/>
            <w:vAlign w:val="center"/>
            <w:hideMark/>
          </w:tcPr>
          <w:p w14:paraId="33AB3FA7" w14:textId="77777777" w:rsidR="00CA067E" w:rsidRPr="00CA067E" w:rsidRDefault="00CA067E" w:rsidP="00CA067E">
            <w:pPr>
              <w:jc w:val="center"/>
              <w:rPr>
                <w:rFonts w:ascii="Tw Cen MT" w:hAnsi="Tw Cen MT" w:cs="Calibri"/>
                <w:b/>
                <w:bCs/>
                <w:color w:val="FFFFFF"/>
                <w:lang w:eastAsia="fr-FR"/>
              </w:rPr>
            </w:pPr>
            <w:r w:rsidRPr="00CA067E">
              <w:rPr>
                <w:rFonts w:ascii="Tw Cen MT" w:hAnsi="Tw Cen MT" w:cs="Calibri"/>
                <w:b/>
                <w:bCs/>
                <w:color w:val="FFFFFF"/>
                <w:lang w:eastAsia="fr-FR"/>
              </w:rPr>
              <w:t xml:space="preserve">N° </w:t>
            </w:r>
          </w:p>
        </w:tc>
        <w:tc>
          <w:tcPr>
            <w:tcW w:w="1300" w:type="dxa"/>
            <w:tcBorders>
              <w:top w:val="single" w:sz="8" w:space="0" w:color="auto"/>
              <w:left w:val="nil"/>
              <w:bottom w:val="single" w:sz="8" w:space="0" w:color="auto"/>
              <w:right w:val="single" w:sz="8" w:space="0" w:color="auto"/>
            </w:tcBorders>
            <w:shd w:val="clear" w:color="000000" w:fill="00B0F0"/>
            <w:vAlign w:val="center"/>
            <w:hideMark/>
          </w:tcPr>
          <w:p w14:paraId="4BB5BC3D" w14:textId="77777777" w:rsidR="00CA067E" w:rsidRPr="00CA067E" w:rsidRDefault="00CA067E" w:rsidP="00CA067E">
            <w:pPr>
              <w:jc w:val="center"/>
              <w:rPr>
                <w:rFonts w:ascii="Tw Cen MT" w:hAnsi="Tw Cen MT" w:cs="Calibri"/>
                <w:b/>
                <w:bCs/>
                <w:color w:val="FFFFFF"/>
                <w:lang w:eastAsia="fr-FR"/>
              </w:rPr>
            </w:pPr>
            <w:r w:rsidRPr="00CA067E">
              <w:rPr>
                <w:rFonts w:ascii="Tw Cen MT" w:hAnsi="Tw Cen MT" w:cs="Calibri"/>
                <w:b/>
                <w:bCs/>
                <w:color w:val="FFFFFF"/>
                <w:lang w:eastAsia="fr-FR"/>
              </w:rPr>
              <w:t>NIF</w:t>
            </w:r>
          </w:p>
        </w:tc>
        <w:tc>
          <w:tcPr>
            <w:tcW w:w="1349" w:type="dxa"/>
            <w:tcBorders>
              <w:top w:val="single" w:sz="8" w:space="0" w:color="auto"/>
              <w:left w:val="nil"/>
              <w:bottom w:val="single" w:sz="8" w:space="0" w:color="auto"/>
              <w:right w:val="single" w:sz="8" w:space="0" w:color="auto"/>
            </w:tcBorders>
            <w:shd w:val="clear" w:color="000000" w:fill="00B0F0"/>
            <w:noWrap/>
            <w:vAlign w:val="center"/>
            <w:hideMark/>
          </w:tcPr>
          <w:p w14:paraId="16035072" w14:textId="77777777" w:rsidR="00CA067E" w:rsidRPr="00CA067E" w:rsidRDefault="00CA067E" w:rsidP="00CA067E">
            <w:pPr>
              <w:jc w:val="center"/>
              <w:rPr>
                <w:rFonts w:ascii="Tw Cen MT" w:hAnsi="Tw Cen MT" w:cs="Calibri"/>
                <w:b/>
                <w:bCs/>
                <w:color w:val="FFFFFF"/>
                <w:lang w:eastAsia="fr-FR"/>
              </w:rPr>
            </w:pPr>
            <w:r w:rsidRPr="00CA067E">
              <w:rPr>
                <w:rFonts w:ascii="Tw Cen MT" w:hAnsi="Tw Cen MT" w:cs="Calibri"/>
                <w:b/>
                <w:bCs/>
                <w:color w:val="FFFFFF"/>
                <w:lang w:eastAsia="fr-FR"/>
              </w:rPr>
              <w:t>SIGLES</w:t>
            </w:r>
          </w:p>
        </w:tc>
        <w:tc>
          <w:tcPr>
            <w:tcW w:w="1673" w:type="dxa"/>
            <w:tcBorders>
              <w:top w:val="single" w:sz="8" w:space="0" w:color="auto"/>
              <w:left w:val="nil"/>
              <w:bottom w:val="single" w:sz="8" w:space="0" w:color="auto"/>
              <w:right w:val="single" w:sz="8" w:space="0" w:color="auto"/>
            </w:tcBorders>
            <w:shd w:val="clear" w:color="000000" w:fill="00B0F0"/>
            <w:noWrap/>
            <w:vAlign w:val="center"/>
            <w:hideMark/>
          </w:tcPr>
          <w:p w14:paraId="1831E88D" w14:textId="77777777" w:rsidR="00CA067E" w:rsidRPr="00CA067E" w:rsidRDefault="00CA067E" w:rsidP="00CA067E">
            <w:pPr>
              <w:jc w:val="center"/>
              <w:rPr>
                <w:rFonts w:ascii="Tw Cen MT" w:hAnsi="Tw Cen MT" w:cs="Calibri"/>
                <w:b/>
                <w:bCs/>
                <w:color w:val="FFFFFF"/>
                <w:lang w:eastAsia="fr-FR"/>
              </w:rPr>
            </w:pPr>
            <w:r w:rsidRPr="00CA067E">
              <w:rPr>
                <w:rFonts w:ascii="Tw Cen MT" w:hAnsi="Tw Cen MT" w:cs="Calibri"/>
                <w:b/>
                <w:bCs/>
                <w:color w:val="FFFFFF"/>
                <w:lang w:eastAsia="fr-FR"/>
              </w:rPr>
              <w:t>SUBSTANCES</w:t>
            </w:r>
          </w:p>
        </w:tc>
        <w:tc>
          <w:tcPr>
            <w:tcW w:w="1660" w:type="dxa"/>
            <w:tcBorders>
              <w:top w:val="single" w:sz="8" w:space="0" w:color="auto"/>
              <w:left w:val="nil"/>
              <w:bottom w:val="single" w:sz="8" w:space="0" w:color="auto"/>
              <w:right w:val="single" w:sz="8" w:space="0" w:color="auto"/>
            </w:tcBorders>
            <w:shd w:val="clear" w:color="000000" w:fill="00B0F0"/>
            <w:noWrap/>
            <w:vAlign w:val="center"/>
            <w:hideMark/>
          </w:tcPr>
          <w:p w14:paraId="4DB33978" w14:textId="77777777" w:rsidR="00CA067E" w:rsidRPr="00CA067E" w:rsidRDefault="00CA067E" w:rsidP="00851ED2">
            <w:pPr>
              <w:jc w:val="right"/>
              <w:rPr>
                <w:rFonts w:ascii="Tw Cen MT" w:hAnsi="Tw Cen MT" w:cs="Calibri"/>
                <w:b/>
                <w:bCs/>
                <w:color w:val="FFFFFF"/>
                <w:lang w:eastAsia="fr-FR"/>
              </w:rPr>
            </w:pPr>
            <w:r w:rsidRPr="00CA067E">
              <w:rPr>
                <w:rFonts w:ascii="Tw Cen MT" w:hAnsi="Tw Cen MT" w:cs="Calibri"/>
                <w:b/>
                <w:bCs/>
                <w:color w:val="FFFFFF"/>
                <w:lang w:eastAsia="fr-FR"/>
              </w:rPr>
              <w:t>DGE 2019</w:t>
            </w:r>
          </w:p>
        </w:tc>
        <w:tc>
          <w:tcPr>
            <w:tcW w:w="1628" w:type="dxa"/>
            <w:tcBorders>
              <w:top w:val="single" w:sz="8" w:space="0" w:color="auto"/>
              <w:left w:val="nil"/>
              <w:bottom w:val="single" w:sz="8" w:space="0" w:color="auto"/>
              <w:right w:val="single" w:sz="8" w:space="0" w:color="auto"/>
            </w:tcBorders>
            <w:shd w:val="clear" w:color="000000" w:fill="00B0F0"/>
            <w:noWrap/>
            <w:vAlign w:val="center"/>
            <w:hideMark/>
          </w:tcPr>
          <w:p w14:paraId="6FB09F09" w14:textId="77777777" w:rsidR="00CA067E" w:rsidRPr="00CA067E" w:rsidRDefault="00CA067E" w:rsidP="00851ED2">
            <w:pPr>
              <w:jc w:val="right"/>
              <w:rPr>
                <w:rFonts w:ascii="Tw Cen MT" w:hAnsi="Tw Cen MT" w:cs="Calibri"/>
                <w:b/>
                <w:bCs/>
                <w:color w:val="FFFFFF"/>
                <w:lang w:eastAsia="fr-FR"/>
              </w:rPr>
            </w:pPr>
            <w:r w:rsidRPr="00CA067E">
              <w:rPr>
                <w:rFonts w:ascii="Tw Cen MT" w:hAnsi="Tw Cen MT" w:cs="Calibri"/>
                <w:b/>
                <w:bCs/>
                <w:color w:val="FFFFFF"/>
                <w:lang w:eastAsia="fr-FR"/>
              </w:rPr>
              <w:t>DND 2019</w:t>
            </w:r>
          </w:p>
        </w:tc>
        <w:tc>
          <w:tcPr>
            <w:tcW w:w="1300" w:type="dxa"/>
            <w:tcBorders>
              <w:top w:val="single" w:sz="8" w:space="0" w:color="auto"/>
              <w:left w:val="nil"/>
              <w:bottom w:val="single" w:sz="8" w:space="0" w:color="auto"/>
              <w:right w:val="single" w:sz="8" w:space="0" w:color="auto"/>
            </w:tcBorders>
            <w:shd w:val="clear" w:color="000000" w:fill="00B0F0"/>
            <w:noWrap/>
            <w:vAlign w:val="center"/>
            <w:hideMark/>
          </w:tcPr>
          <w:p w14:paraId="65D2126E" w14:textId="77777777" w:rsidR="00CA067E" w:rsidRPr="00CA067E" w:rsidRDefault="00CA067E" w:rsidP="00851ED2">
            <w:pPr>
              <w:jc w:val="right"/>
              <w:rPr>
                <w:rFonts w:ascii="Tw Cen MT" w:hAnsi="Tw Cen MT" w:cs="Calibri"/>
                <w:b/>
                <w:bCs/>
                <w:color w:val="FFFFFF"/>
                <w:lang w:eastAsia="fr-FR"/>
              </w:rPr>
            </w:pPr>
            <w:r w:rsidRPr="00CA067E">
              <w:rPr>
                <w:rFonts w:ascii="Tw Cen MT" w:hAnsi="Tw Cen MT" w:cs="Calibri"/>
                <w:b/>
                <w:bCs/>
                <w:color w:val="FFFFFF"/>
                <w:lang w:eastAsia="fr-FR"/>
              </w:rPr>
              <w:t>DNGM 2019</w:t>
            </w:r>
          </w:p>
        </w:tc>
        <w:tc>
          <w:tcPr>
            <w:tcW w:w="1300" w:type="dxa"/>
            <w:tcBorders>
              <w:top w:val="single" w:sz="8" w:space="0" w:color="auto"/>
              <w:left w:val="nil"/>
              <w:bottom w:val="single" w:sz="8" w:space="0" w:color="auto"/>
              <w:right w:val="single" w:sz="8" w:space="0" w:color="auto"/>
            </w:tcBorders>
            <w:shd w:val="clear" w:color="000000" w:fill="00B0F0"/>
            <w:noWrap/>
            <w:vAlign w:val="center"/>
            <w:hideMark/>
          </w:tcPr>
          <w:p w14:paraId="4719F109" w14:textId="77777777" w:rsidR="00CA067E" w:rsidRPr="00CA067E" w:rsidRDefault="00CA067E" w:rsidP="00851ED2">
            <w:pPr>
              <w:jc w:val="right"/>
              <w:rPr>
                <w:rFonts w:ascii="Tw Cen MT" w:hAnsi="Tw Cen MT" w:cs="Calibri"/>
                <w:b/>
                <w:bCs/>
                <w:color w:val="FFFFFF"/>
                <w:lang w:eastAsia="fr-FR"/>
              </w:rPr>
            </w:pPr>
            <w:r w:rsidRPr="00CA067E">
              <w:rPr>
                <w:rFonts w:ascii="Tw Cen MT" w:hAnsi="Tw Cen MT" w:cs="Calibri"/>
                <w:b/>
                <w:bCs/>
                <w:color w:val="FFFFFF"/>
                <w:lang w:eastAsia="fr-FR"/>
              </w:rPr>
              <w:t>ONRP</w:t>
            </w:r>
          </w:p>
        </w:tc>
        <w:tc>
          <w:tcPr>
            <w:tcW w:w="1560" w:type="dxa"/>
            <w:tcBorders>
              <w:top w:val="single" w:sz="8" w:space="0" w:color="auto"/>
              <w:left w:val="nil"/>
              <w:bottom w:val="single" w:sz="8" w:space="0" w:color="auto"/>
              <w:right w:val="single" w:sz="8" w:space="0" w:color="auto"/>
            </w:tcBorders>
            <w:shd w:val="clear" w:color="000000" w:fill="00B0F0"/>
            <w:noWrap/>
            <w:vAlign w:val="center"/>
            <w:hideMark/>
          </w:tcPr>
          <w:p w14:paraId="4940AF66" w14:textId="77777777" w:rsidR="00CA067E" w:rsidRPr="00CA067E" w:rsidRDefault="00CA067E" w:rsidP="00851ED2">
            <w:pPr>
              <w:jc w:val="right"/>
              <w:rPr>
                <w:rFonts w:ascii="Tw Cen MT" w:hAnsi="Tw Cen MT" w:cs="Calibri"/>
                <w:b/>
                <w:bCs/>
                <w:color w:val="FFFFFF"/>
                <w:lang w:eastAsia="fr-FR"/>
              </w:rPr>
            </w:pPr>
            <w:r w:rsidRPr="00CA067E">
              <w:rPr>
                <w:rFonts w:ascii="Tw Cen MT" w:hAnsi="Tw Cen MT" w:cs="Calibri"/>
                <w:b/>
                <w:bCs/>
                <w:color w:val="FFFFFF"/>
                <w:lang w:eastAsia="fr-FR"/>
              </w:rPr>
              <w:t>DGD</w:t>
            </w:r>
          </w:p>
        </w:tc>
        <w:tc>
          <w:tcPr>
            <w:tcW w:w="620" w:type="dxa"/>
            <w:tcBorders>
              <w:top w:val="single" w:sz="8" w:space="0" w:color="auto"/>
              <w:left w:val="nil"/>
              <w:bottom w:val="single" w:sz="8" w:space="0" w:color="auto"/>
              <w:right w:val="single" w:sz="8" w:space="0" w:color="auto"/>
            </w:tcBorders>
            <w:shd w:val="clear" w:color="000000" w:fill="00B0F0"/>
            <w:noWrap/>
            <w:vAlign w:val="center"/>
            <w:hideMark/>
          </w:tcPr>
          <w:p w14:paraId="5195C0AF" w14:textId="77777777" w:rsidR="00CA067E" w:rsidRPr="00CA067E" w:rsidRDefault="00CA067E" w:rsidP="00851ED2">
            <w:pPr>
              <w:jc w:val="right"/>
              <w:rPr>
                <w:rFonts w:ascii="Tw Cen MT" w:hAnsi="Tw Cen MT" w:cs="Calibri"/>
                <w:b/>
                <w:bCs/>
                <w:color w:val="FFFFFF"/>
                <w:lang w:eastAsia="fr-FR"/>
              </w:rPr>
            </w:pPr>
            <w:r w:rsidRPr="00CA067E">
              <w:rPr>
                <w:rFonts w:ascii="Tw Cen MT" w:hAnsi="Tw Cen MT" w:cs="Calibri"/>
                <w:b/>
                <w:bCs/>
                <w:color w:val="FFFFFF"/>
                <w:lang w:eastAsia="fr-FR"/>
              </w:rPr>
              <w:t>INPS</w:t>
            </w:r>
          </w:p>
        </w:tc>
        <w:tc>
          <w:tcPr>
            <w:tcW w:w="1599" w:type="dxa"/>
            <w:tcBorders>
              <w:top w:val="single" w:sz="8" w:space="0" w:color="auto"/>
              <w:left w:val="nil"/>
              <w:bottom w:val="single" w:sz="8" w:space="0" w:color="auto"/>
              <w:right w:val="single" w:sz="8" w:space="0" w:color="auto"/>
            </w:tcBorders>
            <w:shd w:val="clear" w:color="000000" w:fill="00B0F0"/>
            <w:noWrap/>
            <w:vAlign w:val="center"/>
            <w:hideMark/>
          </w:tcPr>
          <w:p w14:paraId="790DD13D" w14:textId="77777777" w:rsidR="00CA067E" w:rsidRPr="00CA067E" w:rsidRDefault="00CA067E" w:rsidP="00851ED2">
            <w:pPr>
              <w:jc w:val="right"/>
              <w:rPr>
                <w:rFonts w:ascii="Tw Cen MT" w:hAnsi="Tw Cen MT" w:cs="Calibri"/>
                <w:b/>
                <w:bCs/>
                <w:color w:val="FFFFFF"/>
                <w:lang w:eastAsia="fr-FR"/>
              </w:rPr>
            </w:pPr>
            <w:r w:rsidRPr="00CA067E">
              <w:rPr>
                <w:rFonts w:ascii="Tw Cen MT" w:hAnsi="Tw Cen MT" w:cs="Calibri"/>
                <w:b/>
                <w:bCs/>
                <w:color w:val="FFFFFF"/>
                <w:lang w:eastAsia="fr-FR"/>
              </w:rPr>
              <w:t>MONTANT EN FCFA</w:t>
            </w:r>
          </w:p>
        </w:tc>
      </w:tr>
      <w:tr w:rsidR="00CA067E" w:rsidRPr="00CA067E" w14:paraId="240A732E"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66E0CE58"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1</w:t>
            </w:r>
          </w:p>
        </w:tc>
        <w:tc>
          <w:tcPr>
            <w:tcW w:w="1300" w:type="dxa"/>
            <w:tcBorders>
              <w:top w:val="nil"/>
              <w:left w:val="nil"/>
              <w:bottom w:val="single" w:sz="8" w:space="0" w:color="auto"/>
              <w:right w:val="single" w:sz="8" w:space="0" w:color="auto"/>
            </w:tcBorders>
            <w:shd w:val="clear" w:color="auto" w:fill="auto"/>
            <w:noWrap/>
            <w:vAlign w:val="bottom"/>
            <w:hideMark/>
          </w:tcPr>
          <w:p w14:paraId="5958F6A9"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081102335F</w:t>
            </w:r>
          </w:p>
        </w:tc>
        <w:tc>
          <w:tcPr>
            <w:tcW w:w="1349" w:type="dxa"/>
            <w:tcBorders>
              <w:top w:val="nil"/>
              <w:left w:val="nil"/>
              <w:bottom w:val="single" w:sz="8" w:space="0" w:color="auto"/>
              <w:right w:val="single" w:sz="8" w:space="0" w:color="auto"/>
            </w:tcBorders>
            <w:shd w:val="clear" w:color="auto" w:fill="auto"/>
            <w:noWrap/>
            <w:vAlign w:val="bottom"/>
            <w:hideMark/>
          </w:tcPr>
          <w:p w14:paraId="44FB926D"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 xml:space="preserve">CMM </w:t>
            </w:r>
          </w:p>
        </w:tc>
        <w:tc>
          <w:tcPr>
            <w:tcW w:w="1673" w:type="dxa"/>
            <w:tcBorders>
              <w:top w:val="nil"/>
              <w:left w:val="nil"/>
              <w:bottom w:val="single" w:sz="8" w:space="0" w:color="auto"/>
              <w:right w:val="single" w:sz="8" w:space="0" w:color="auto"/>
            </w:tcBorders>
            <w:shd w:val="clear" w:color="auto" w:fill="auto"/>
            <w:noWrap/>
            <w:vAlign w:val="bottom"/>
            <w:hideMark/>
          </w:tcPr>
          <w:p w14:paraId="022D420F"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Exploitation des carrières</w:t>
            </w:r>
          </w:p>
        </w:tc>
        <w:tc>
          <w:tcPr>
            <w:tcW w:w="1660" w:type="dxa"/>
            <w:tcBorders>
              <w:top w:val="nil"/>
              <w:left w:val="nil"/>
              <w:bottom w:val="single" w:sz="8" w:space="0" w:color="auto"/>
              <w:right w:val="single" w:sz="8" w:space="0" w:color="auto"/>
            </w:tcBorders>
            <w:shd w:val="clear" w:color="auto" w:fill="auto"/>
            <w:noWrap/>
            <w:vAlign w:val="bottom"/>
            <w:hideMark/>
          </w:tcPr>
          <w:p w14:paraId="1D4BE07D" w14:textId="0060EE53"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330 046 713 </w:t>
            </w:r>
          </w:p>
        </w:tc>
        <w:tc>
          <w:tcPr>
            <w:tcW w:w="1628" w:type="dxa"/>
            <w:tcBorders>
              <w:top w:val="nil"/>
              <w:left w:val="nil"/>
              <w:bottom w:val="single" w:sz="8" w:space="0" w:color="auto"/>
              <w:right w:val="single" w:sz="8" w:space="0" w:color="auto"/>
            </w:tcBorders>
            <w:shd w:val="clear" w:color="auto" w:fill="auto"/>
            <w:noWrap/>
            <w:vAlign w:val="bottom"/>
            <w:hideMark/>
          </w:tcPr>
          <w:p w14:paraId="02EFE73E"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4886F91C"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7D0F7ADE"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55E9835E"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620" w:type="dxa"/>
            <w:tcBorders>
              <w:top w:val="nil"/>
              <w:left w:val="nil"/>
              <w:bottom w:val="single" w:sz="8" w:space="0" w:color="auto"/>
              <w:right w:val="single" w:sz="8" w:space="0" w:color="auto"/>
            </w:tcBorders>
            <w:shd w:val="clear" w:color="auto" w:fill="auto"/>
            <w:noWrap/>
            <w:vAlign w:val="bottom"/>
            <w:hideMark/>
          </w:tcPr>
          <w:p w14:paraId="7A619C90"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0DC04457" w14:textId="4B635049"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330 046 713 </w:t>
            </w:r>
          </w:p>
        </w:tc>
      </w:tr>
      <w:tr w:rsidR="00CA067E" w:rsidRPr="00CA067E" w14:paraId="68E49247"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3FF180AE"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2</w:t>
            </w:r>
          </w:p>
        </w:tc>
        <w:tc>
          <w:tcPr>
            <w:tcW w:w="1300" w:type="dxa"/>
            <w:tcBorders>
              <w:top w:val="nil"/>
              <w:left w:val="nil"/>
              <w:bottom w:val="single" w:sz="8" w:space="0" w:color="auto"/>
              <w:right w:val="single" w:sz="8" w:space="0" w:color="auto"/>
            </w:tcBorders>
            <w:shd w:val="clear" w:color="auto" w:fill="auto"/>
            <w:noWrap/>
            <w:vAlign w:val="bottom"/>
            <w:hideMark/>
          </w:tcPr>
          <w:p w14:paraId="2EE26C4D"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081104190G</w:t>
            </w:r>
          </w:p>
        </w:tc>
        <w:tc>
          <w:tcPr>
            <w:tcW w:w="1349" w:type="dxa"/>
            <w:tcBorders>
              <w:top w:val="nil"/>
              <w:left w:val="nil"/>
              <w:bottom w:val="single" w:sz="8" w:space="0" w:color="auto"/>
              <w:right w:val="single" w:sz="8" w:space="0" w:color="auto"/>
            </w:tcBorders>
            <w:shd w:val="clear" w:color="auto" w:fill="auto"/>
            <w:noWrap/>
            <w:vAlign w:val="bottom"/>
            <w:hideMark/>
          </w:tcPr>
          <w:p w14:paraId="3F619EB0"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 xml:space="preserve">DIAMOND CEMENT </w:t>
            </w:r>
          </w:p>
        </w:tc>
        <w:tc>
          <w:tcPr>
            <w:tcW w:w="1673" w:type="dxa"/>
            <w:tcBorders>
              <w:top w:val="nil"/>
              <w:left w:val="nil"/>
              <w:bottom w:val="single" w:sz="8" w:space="0" w:color="auto"/>
              <w:right w:val="single" w:sz="8" w:space="0" w:color="auto"/>
            </w:tcBorders>
            <w:shd w:val="clear" w:color="auto" w:fill="auto"/>
            <w:noWrap/>
            <w:vAlign w:val="bottom"/>
            <w:hideMark/>
          </w:tcPr>
          <w:p w14:paraId="1F11A22D"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Exploitation des carrières</w:t>
            </w:r>
          </w:p>
        </w:tc>
        <w:tc>
          <w:tcPr>
            <w:tcW w:w="1660" w:type="dxa"/>
            <w:tcBorders>
              <w:top w:val="nil"/>
              <w:left w:val="nil"/>
              <w:bottom w:val="single" w:sz="8" w:space="0" w:color="auto"/>
              <w:right w:val="single" w:sz="8" w:space="0" w:color="auto"/>
            </w:tcBorders>
            <w:shd w:val="clear" w:color="auto" w:fill="auto"/>
            <w:noWrap/>
            <w:vAlign w:val="bottom"/>
            <w:hideMark/>
          </w:tcPr>
          <w:p w14:paraId="028762D5" w14:textId="56E2E90F"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1 685 704 223 </w:t>
            </w:r>
          </w:p>
        </w:tc>
        <w:tc>
          <w:tcPr>
            <w:tcW w:w="1628" w:type="dxa"/>
            <w:tcBorders>
              <w:top w:val="nil"/>
              <w:left w:val="nil"/>
              <w:bottom w:val="single" w:sz="8" w:space="0" w:color="auto"/>
              <w:right w:val="single" w:sz="8" w:space="0" w:color="auto"/>
            </w:tcBorders>
            <w:shd w:val="clear" w:color="auto" w:fill="auto"/>
            <w:noWrap/>
            <w:vAlign w:val="bottom"/>
            <w:hideMark/>
          </w:tcPr>
          <w:p w14:paraId="1EE727A0"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24E7D8FB"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6D7BD3F9"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427FD98A"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620" w:type="dxa"/>
            <w:tcBorders>
              <w:top w:val="nil"/>
              <w:left w:val="nil"/>
              <w:bottom w:val="single" w:sz="8" w:space="0" w:color="auto"/>
              <w:right w:val="single" w:sz="8" w:space="0" w:color="auto"/>
            </w:tcBorders>
            <w:shd w:val="clear" w:color="auto" w:fill="auto"/>
            <w:noWrap/>
            <w:vAlign w:val="bottom"/>
            <w:hideMark/>
          </w:tcPr>
          <w:p w14:paraId="3DC95421"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6FAD5D63" w14:textId="687F1CE3"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1 685 704 223 </w:t>
            </w:r>
          </w:p>
        </w:tc>
      </w:tr>
      <w:tr w:rsidR="00CA067E" w:rsidRPr="00CA067E" w14:paraId="16F92A8D"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23CC9C9D"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3</w:t>
            </w:r>
          </w:p>
        </w:tc>
        <w:tc>
          <w:tcPr>
            <w:tcW w:w="1300" w:type="dxa"/>
            <w:tcBorders>
              <w:top w:val="nil"/>
              <w:left w:val="nil"/>
              <w:bottom w:val="single" w:sz="8" w:space="0" w:color="auto"/>
              <w:right w:val="single" w:sz="8" w:space="0" w:color="auto"/>
            </w:tcBorders>
            <w:shd w:val="clear" w:color="auto" w:fill="auto"/>
            <w:noWrap/>
            <w:vAlign w:val="bottom"/>
            <w:hideMark/>
          </w:tcPr>
          <w:p w14:paraId="7BA0FF4F"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087800040B</w:t>
            </w:r>
          </w:p>
        </w:tc>
        <w:tc>
          <w:tcPr>
            <w:tcW w:w="1349" w:type="dxa"/>
            <w:tcBorders>
              <w:top w:val="nil"/>
              <w:left w:val="nil"/>
              <w:bottom w:val="single" w:sz="8" w:space="0" w:color="auto"/>
              <w:right w:val="single" w:sz="8" w:space="0" w:color="auto"/>
            </w:tcBorders>
            <w:shd w:val="clear" w:color="auto" w:fill="auto"/>
            <w:noWrap/>
            <w:vAlign w:val="bottom"/>
            <w:hideMark/>
          </w:tcPr>
          <w:p w14:paraId="6A6F7674"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 xml:space="preserve">SOMISY </w:t>
            </w:r>
          </w:p>
        </w:tc>
        <w:tc>
          <w:tcPr>
            <w:tcW w:w="1673" w:type="dxa"/>
            <w:tcBorders>
              <w:top w:val="nil"/>
              <w:left w:val="nil"/>
              <w:bottom w:val="single" w:sz="8" w:space="0" w:color="auto"/>
              <w:right w:val="single" w:sz="8" w:space="0" w:color="auto"/>
            </w:tcBorders>
            <w:shd w:val="clear" w:color="auto" w:fill="auto"/>
            <w:noWrap/>
            <w:vAlign w:val="bottom"/>
            <w:hideMark/>
          </w:tcPr>
          <w:p w14:paraId="51202A9D"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Exploitation Or</w:t>
            </w:r>
          </w:p>
        </w:tc>
        <w:tc>
          <w:tcPr>
            <w:tcW w:w="1660" w:type="dxa"/>
            <w:tcBorders>
              <w:top w:val="nil"/>
              <w:left w:val="nil"/>
              <w:bottom w:val="single" w:sz="8" w:space="0" w:color="auto"/>
              <w:right w:val="single" w:sz="8" w:space="0" w:color="auto"/>
            </w:tcBorders>
            <w:shd w:val="clear" w:color="auto" w:fill="auto"/>
            <w:noWrap/>
            <w:vAlign w:val="bottom"/>
            <w:hideMark/>
          </w:tcPr>
          <w:p w14:paraId="5A0FA725" w14:textId="1DD3F544"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14 250 850 477 </w:t>
            </w:r>
          </w:p>
        </w:tc>
        <w:tc>
          <w:tcPr>
            <w:tcW w:w="1628" w:type="dxa"/>
            <w:tcBorders>
              <w:top w:val="nil"/>
              <w:left w:val="nil"/>
              <w:bottom w:val="single" w:sz="8" w:space="0" w:color="auto"/>
              <w:right w:val="single" w:sz="8" w:space="0" w:color="auto"/>
            </w:tcBorders>
            <w:shd w:val="clear" w:color="auto" w:fill="auto"/>
            <w:noWrap/>
            <w:vAlign w:val="bottom"/>
            <w:hideMark/>
          </w:tcPr>
          <w:p w14:paraId="258C15AD" w14:textId="18E89B2C"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2 797 766 211 </w:t>
            </w:r>
          </w:p>
        </w:tc>
        <w:tc>
          <w:tcPr>
            <w:tcW w:w="1300" w:type="dxa"/>
            <w:tcBorders>
              <w:top w:val="nil"/>
              <w:left w:val="nil"/>
              <w:bottom w:val="single" w:sz="8" w:space="0" w:color="auto"/>
              <w:right w:val="single" w:sz="8" w:space="0" w:color="auto"/>
            </w:tcBorders>
            <w:shd w:val="clear" w:color="auto" w:fill="auto"/>
            <w:noWrap/>
            <w:vAlign w:val="bottom"/>
            <w:hideMark/>
          </w:tcPr>
          <w:p w14:paraId="0A286285"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100 000 000 </w:t>
            </w:r>
          </w:p>
        </w:tc>
        <w:tc>
          <w:tcPr>
            <w:tcW w:w="1300" w:type="dxa"/>
            <w:tcBorders>
              <w:top w:val="nil"/>
              <w:left w:val="nil"/>
              <w:bottom w:val="single" w:sz="8" w:space="0" w:color="auto"/>
              <w:right w:val="single" w:sz="8" w:space="0" w:color="auto"/>
            </w:tcBorders>
            <w:shd w:val="clear" w:color="auto" w:fill="auto"/>
            <w:noWrap/>
            <w:vAlign w:val="bottom"/>
            <w:hideMark/>
          </w:tcPr>
          <w:p w14:paraId="4A584588"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37705B9B" w14:textId="73F89D6B"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8 235 141 328 </w:t>
            </w:r>
          </w:p>
        </w:tc>
        <w:tc>
          <w:tcPr>
            <w:tcW w:w="620" w:type="dxa"/>
            <w:tcBorders>
              <w:top w:val="nil"/>
              <w:left w:val="nil"/>
              <w:bottom w:val="single" w:sz="8" w:space="0" w:color="auto"/>
              <w:right w:val="single" w:sz="8" w:space="0" w:color="auto"/>
            </w:tcBorders>
            <w:shd w:val="clear" w:color="auto" w:fill="auto"/>
            <w:noWrap/>
            <w:vAlign w:val="bottom"/>
            <w:hideMark/>
          </w:tcPr>
          <w:p w14:paraId="6C77240B"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31AEB8ED" w14:textId="268FEA1C"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25 383 758 016 </w:t>
            </w:r>
          </w:p>
        </w:tc>
      </w:tr>
      <w:tr w:rsidR="00CA067E" w:rsidRPr="00CA067E" w14:paraId="75AAB211"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6FE21D84"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4</w:t>
            </w:r>
          </w:p>
        </w:tc>
        <w:tc>
          <w:tcPr>
            <w:tcW w:w="1300" w:type="dxa"/>
            <w:tcBorders>
              <w:top w:val="nil"/>
              <w:left w:val="nil"/>
              <w:bottom w:val="single" w:sz="8" w:space="0" w:color="auto"/>
              <w:right w:val="single" w:sz="8" w:space="0" w:color="auto"/>
            </w:tcBorders>
            <w:shd w:val="clear" w:color="auto" w:fill="auto"/>
            <w:noWrap/>
            <w:vAlign w:val="bottom"/>
            <w:hideMark/>
          </w:tcPr>
          <w:p w14:paraId="509336EE"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087800054F</w:t>
            </w:r>
          </w:p>
        </w:tc>
        <w:tc>
          <w:tcPr>
            <w:tcW w:w="1349" w:type="dxa"/>
            <w:tcBorders>
              <w:top w:val="nil"/>
              <w:left w:val="nil"/>
              <w:bottom w:val="single" w:sz="8" w:space="0" w:color="auto"/>
              <w:right w:val="single" w:sz="8" w:space="0" w:color="auto"/>
            </w:tcBorders>
            <w:shd w:val="clear" w:color="auto" w:fill="auto"/>
            <w:noWrap/>
            <w:vAlign w:val="bottom"/>
            <w:hideMark/>
          </w:tcPr>
          <w:p w14:paraId="3AAF2A8B"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 xml:space="preserve">EMM </w:t>
            </w:r>
          </w:p>
        </w:tc>
        <w:tc>
          <w:tcPr>
            <w:tcW w:w="1673" w:type="dxa"/>
            <w:tcBorders>
              <w:top w:val="nil"/>
              <w:left w:val="nil"/>
              <w:bottom w:val="single" w:sz="8" w:space="0" w:color="auto"/>
              <w:right w:val="single" w:sz="8" w:space="0" w:color="auto"/>
            </w:tcBorders>
            <w:shd w:val="clear" w:color="auto" w:fill="auto"/>
            <w:noWrap/>
            <w:vAlign w:val="bottom"/>
            <w:hideMark/>
          </w:tcPr>
          <w:p w14:paraId="6CFFE76B"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Exploitation eaux minérales</w:t>
            </w:r>
          </w:p>
        </w:tc>
        <w:tc>
          <w:tcPr>
            <w:tcW w:w="1660" w:type="dxa"/>
            <w:tcBorders>
              <w:top w:val="nil"/>
              <w:left w:val="nil"/>
              <w:bottom w:val="single" w:sz="8" w:space="0" w:color="auto"/>
              <w:right w:val="single" w:sz="8" w:space="0" w:color="auto"/>
            </w:tcBorders>
            <w:shd w:val="clear" w:color="auto" w:fill="auto"/>
            <w:noWrap/>
            <w:vAlign w:val="bottom"/>
            <w:hideMark/>
          </w:tcPr>
          <w:p w14:paraId="305DD44E" w14:textId="5C7BE07C"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1 006 708 040 </w:t>
            </w:r>
          </w:p>
        </w:tc>
        <w:tc>
          <w:tcPr>
            <w:tcW w:w="1628" w:type="dxa"/>
            <w:tcBorders>
              <w:top w:val="nil"/>
              <w:left w:val="nil"/>
              <w:bottom w:val="single" w:sz="8" w:space="0" w:color="auto"/>
              <w:right w:val="single" w:sz="8" w:space="0" w:color="auto"/>
            </w:tcBorders>
            <w:shd w:val="clear" w:color="auto" w:fill="auto"/>
            <w:noWrap/>
            <w:vAlign w:val="bottom"/>
            <w:hideMark/>
          </w:tcPr>
          <w:p w14:paraId="1AA6857C"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015BB507"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363C6BE4"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4703D2F6"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620" w:type="dxa"/>
            <w:tcBorders>
              <w:top w:val="nil"/>
              <w:left w:val="nil"/>
              <w:bottom w:val="single" w:sz="8" w:space="0" w:color="auto"/>
              <w:right w:val="single" w:sz="8" w:space="0" w:color="auto"/>
            </w:tcBorders>
            <w:shd w:val="clear" w:color="auto" w:fill="auto"/>
            <w:noWrap/>
            <w:vAlign w:val="bottom"/>
            <w:hideMark/>
          </w:tcPr>
          <w:p w14:paraId="78C0F118"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1CEE1BBC" w14:textId="4654064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1 006 708 040 </w:t>
            </w:r>
          </w:p>
        </w:tc>
      </w:tr>
      <w:tr w:rsidR="00CA067E" w:rsidRPr="00CA067E" w14:paraId="73240AFF"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307E2DEA"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5</w:t>
            </w:r>
          </w:p>
        </w:tc>
        <w:tc>
          <w:tcPr>
            <w:tcW w:w="1300" w:type="dxa"/>
            <w:tcBorders>
              <w:top w:val="nil"/>
              <w:left w:val="nil"/>
              <w:bottom w:val="single" w:sz="8" w:space="0" w:color="auto"/>
              <w:right w:val="single" w:sz="8" w:space="0" w:color="auto"/>
            </w:tcBorders>
            <w:shd w:val="clear" w:color="auto" w:fill="auto"/>
            <w:noWrap/>
            <w:vAlign w:val="bottom"/>
            <w:hideMark/>
          </w:tcPr>
          <w:p w14:paraId="73B427AC"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087800209E</w:t>
            </w:r>
          </w:p>
        </w:tc>
        <w:tc>
          <w:tcPr>
            <w:tcW w:w="1349" w:type="dxa"/>
            <w:tcBorders>
              <w:top w:val="nil"/>
              <w:left w:val="nil"/>
              <w:bottom w:val="single" w:sz="8" w:space="0" w:color="auto"/>
              <w:right w:val="single" w:sz="8" w:space="0" w:color="auto"/>
            </w:tcBorders>
            <w:shd w:val="clear" w:color="auto" w:fill="auto"/>
            <w:noWrap/>
            <w:vAlign w:val="bottom"/>
            <w:hideMark/>
          </w:tcPr>
          <w:p w14:paraId="6162DE21"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 xml:space="preserve">SEMOS </w:t>
            </w:r>
          </w:p>
        </w:tc>
        <w:tc>
          <w:tcPr>
            <w:tcW w:w="1673" w:type="dxa"/>
            <w:tcBorders>
              <w:top w:val="nil"/>
              <w:left w:val="nil"/>
              <w:bottom w:val="single" w:sz="8" w:space="0" w:color="auto"/>
              <w:right w:val="single" w:sz="8" w:space="0" w:color="auto"/>
            </w:tcBorders>
            <w:shd w:val="clear" w:color="auto" w:fill="auto"/>
            <w:noWrap/>
            <w:vAlign w:val="bottom"/>
            <w:hideMark/>
          </w:tcPr>
          <w:p w14:paraId="28F08084"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Exploitation Or</w:t>
            </w:r>
          </w:p>
        </w:tc>
        <w:tc>
          <w:tcPr>
            <w:tcW w:w="1660" w:type="dxa"/>
            <w:tcBorders>
              <w:top w:val="nil"/>
              <w:left w:val="nil"/>
              <w:bottom w:val="single" w:sz="8" w:space="0" w:color="auto"/>
              <w:right w:val="single" w:sz="8" w:space="0" w:color="auto"/>
            </w:tcBorders>
            <w:shd w:val="clear" w:color="auto" w:fill="auto"/>
            <w:noWrap/>
            <w:vAlign w:val="bottom"/>
            <w:hideMark/>
          </w:tcPr>
          <w:p w14:paraId="2D7F0A57" w14:textId="15E6D08D"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10 542 037 814 </w:t>
            </w:r>
          </w:p>
        </w:tc>
        <w:tc>
          <w:tcPr>
            <w:tcW w:w="1628" w:type="dxa"/>
            <w:tcBorders>
              <w:top w:val="nil"/>
              <w:left w:val="nil"/>
              <w:bottom w:val="single" w:sz="8" w:space="0" w:color="auto"/>
              <w:right w:val="single" w:sz="8" w:space="0" w:color="auto"/>
            </w:tcBorders>
            <w:shd w:val="clear" w:color="auto" w:fill="auto"/>
            <w:noWrap/>
            <w:vAlign w:val="bottom"/>
            <w:hideMark/>
          </w:tcPr>
          <w:p w14:paraId="7DBC82E5" w14:textId="555A1415"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4 253 496 618 </w:t>
            </w:r>
          </w:p>
        </w:tc>
        <w:tc>
          <w:tcPr>
            <w:tcW w:w="1300" w:type="dxa"/>
            <w:tcBorders>
              <w:top w:val="nil"/>
              <w:left w:val="nil"/>
              <w:bottom w:val="single" w:sz="8" w:space="0" w:color="auto"/>
              <w:right w:val="single" w:sz="8" w:space="0" w:color="auto"/>
            </w:tcBorders>
            <w:shd w:val="clear" w:color="auto" w:fill="auto"/>
            <w:noWrap/>
            <w:vAlign w:val="bottom"/>
            <w:hideMark/>
          </w:tcPr>
          <w:p w14:paraId="43F67C7C"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62126D19"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77F03FEE" w14:textId="604EE47E"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3 351 717 247 </w:t>
            </w:r>
          </w:p>
        </w:tc>
        <w:tc>
          <w:tcPr>
            <w:tcW w:w="620" w:type="dxa"/>
            <w:tcBorders>
              <w:top w:val="nil"/>
              <w:left w:val="nil"/>
              <w:bottom w:val="single" w:sz="8" w:space="0" w:color="auto"/>
              <w:right w:val="single" w:sz="8" w:space="0" w:color="auto"/>
            </w:tcBorders>
            <w:shd w:val="clear" w:color="auto" w:fill="auto"/>
            <w:noWrap/>
            <w:vAlign w:val="bottom"/>
            <w:hideMark/>
          </w:tcPr>
          <w:p w14:paraId="56D18439"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3ECA54CD" w14:textId="55D33CA4"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18 147 251 679 </w:t>
            </w:r>
          </w:p>
        </w:tc>
      </w:tr>
      <w:tr w:rsidR="00CA067E" w:rsidRPr="00CA067E" w14:paraId="373D7FD1"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48C6C043"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6</w:t>
            </w:r>
          </w:p>
        </w:tc>
        <w:tc>
          <w:tcPr>
            <w:tcW w:w="1300" w:type="dxa"/>
            <w:tcBorders>
              <w:top w:val="nil"/>
              <w:left w:val="nil"/>
              <w:bottom w:val="single" w:sz="8" w:space="0" w:color="auto"/>
              <w:right w:val="single" w:sz="8" w:space="0" w:color="auto"/>
            </w:tcBorders>
            <w:shd w:val="clear" w:color="auto" w:fill="auto"/>
            <w:noWrap/>
            <w:vAlign w:val="bottom"/>
            <w:hideMark/>
          </w:tcPr>
          <w:p w14:paraId="0BCAAC46"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087800300L</w:t>
            </w:r>
          </w:p>
        </w:tc>
        <w:tc>
          <w:tcPr>
            <w:tcW w:w="1349" w:type="dxa"/>
            <w:tcBorders>
              <w:top w:val="nil"/>
              <w:left w:val="nil"/>
              <w:bottom w:val="single" w:sz="8" w:space="0" w:color="auto"/>
              <w:right w:val="single" w:sz="8" w:space="0" w:color="auto"/>
            </w:tcBorders>
            <w:shd w:val="clear" w:color="auto" w:fill="auto"/>
            <w:noWrap/>
            <w:vAlign w:val="bottom"/>
            <w:hideMark/>
          </w:tcPr>
          <w:p w14:paraId="793FBC6A"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 xml:space="preserve">SOMILO </w:t>
            </w:r>
          </w:p>
        </w:tc>
        <w:tc>
          <w:tcPr>
            <w:tcW w:w="1673" w:type="dxa"/>
            <w:tcBorders>
              <w:top w:val="nil"/>
              <w:left w:val="nil"/>
              <w:bottom w:val="single" w:sz="8" w:space="0" w:color="auto"/>
              <w:right w:val="single" w:sz="8" w:space="0" w:color="auto"/>
            </w:tcBorders>
            <w:shd w:val="clear" w:color="auto" w:fill="auto"/>
            <w:noWrap/>
            <w:vAlign w:val="bottom"/>
            <w:hideMark/>
          </w:tcPr>
          <w:p w14:paraId="1D2C172F"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Exploitation Or</w:t>
            </w:r>
          </w:p>
        </w:tc>
        <w:tc>
          <w:tcPr>
            <w:tcW w:w="1660" w:type="dxa"/>
            <w:tcBorders>
              <w:top w:val="nil"/>
              <w:left w:val="nil"/>
              <w:bottom w:val="single" w:sz="8" w:space="0" w:color="auto"/>
              <w:right w:val="single" w:sz="8" w:space="0" w:color="auto"/>
            </w:tcBorders>
            <w:shd w:val="clear" w:color="auto" w:fill="auto"/>
            <w:noWrap/>
            <w:vAlign w:val="bottom"/>
            <w:hideMark/>
          </w:tcPr>
          <w:p w14:paraId="3F823679" w14:textId="4B38E2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46 646 133 692 </w:t>
            </w:r>
          </w:p>
        </w:tc>
        <w:tc>
          <w:tcPr>
            <w:tcW w:w="1628" w:type="dxa"/>
            <w:tcBorders>
              <w:top w:val="nil"/>
              <w:left w:val="nil"/>
              <w:bottom w:val="single" w:sz="8" w:space="0" w:color="auto"/>
              <w:right w:val="single" w:sz="8" w:space="0" w:color="auto"/>
            </w:tcBorders>
            <w:shd w:val="clear" w:color="auto" w:fill="auto"/>
            <w:noWrap/>
            <w:vAlign w:val="bottom"/>
            <w:hideMark/>
          </w:tcPr>
          <w:p w14:paraId="017095FB" w14:textId="027B2783"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11 458 661 438 </w:t>
            </w:r>
          </w:p>
        </w:tc>
        <w:tc>
          <w:tcPr>
            <w:tcW w:w="1300" w:type="dxa"/>
            <w:tcBorders>
              <w:top w:val="nil"/>
              <w:left w:val="nil"/>
              <w:bottom w:val="single" w:sz="8" w:space="0" w:color="auto"/>
              <w:right w:val="single" w:sz="8" w:space="0" w:color="auto"/>
            </w:tcBorders>
            <w:shd w:val="clear" w:color="auto" w:fill="auto"/>
            <w:noWrap/>
            <w:vAlign w:val="bottom"/>
            <w:hideMark/>
          </w:tcPr>
          <w:p w14:paraId="57365F60"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5BF5D19F"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0077ADB6" w14:textId="6903CA88"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14 467 371 238 </w:t>
            </w:r>
          </w:p>
        </w:tc>
        <w:tc>
          <w:tcPr>
            <w:tcW w:w="620" w:type="dxa"/>
            <w:tcBorders>
              <w:top w:val="nil"/>
              <w:left w:val="nil"/>
              <w:bottom w:val="single" w:sz="8" w:space="0" w:color="auto"/>
              <w:right w:val="single" w:sz="8" w:space="0" w:color="auto"/>
            </w:tcBorders>
            <w:shd w:val="clear" w:color="auto" w:fill="auto"/>
            <w:noWrap/>
            <w:vAlign w:val="bottom"/>
            <w:hideMark/>
          </w:tcPr>
          <w:p w14:paraId="0A4FD6A5"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33EA1BE9" w14:textId="1B96B08D"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72 572 166 368 </w:t>
            </w:r>
          </w:p>
        </w:tc>
      </w:tr>
      <w:tr w:rsidR="00CA067E" w:rsidRPr="00CA067E" w14:paraId="46F879A2"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4D5D3FAB"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7</w:t>
            </w:r>
          </w:p>
        </w:tc>
        <w:tc>
          <w:tcPr>
            <w:tcW w:w="1300" w:type="dxa"/>
            <w:tcBorders>
              <w:top w:val="nil"/>
              <w:left w:val="nil"/>
              <w:bottom w:val="single" w:sz="8" w:space="0" w:color="auto"/>
              <w:right w:val="single" w:sz="8" w:space="0" w:color="auto"/>
            </w:tcBorders>
            <w:shd w:val="clear" w:color="auto" w:fill="auto"/>
            <w:noWrap/>
            <w:vAlign w:val="bottom"/>
            <w:hideMark/>
          </w:tcPr>
          <w:p w14:paraId="0D6050E6"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087800368L</w:t>
            </w:r>
          </w:p>
        </w:tc>
        <w:tc>
          <w:tcPr>
            <w:tcW w:w="1349" w:type="dxa"/>
            <w:tcBorders>
              <w:top w:val="nil"/>
              <w:left w:val="nil"/>
              <w:bottom w:val="single" w:sz="8" w:space="0" w:color="auto"/>
              <w:right w:val="single" w:sz="8" w:space="0" w:color="auto"/>
            </w:tcBorders>
            <w:shd w:val="clear" w:color="auto" w:fill="auto"/>
            <w:noWrap/>
            <w:vAlign w:val="bottom"/>
            <w:hideMark/>
          </w:tcPr>
          <w:p w14:paraId="430C4FDC"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 xml:space="preserve">MORILA </w:t>
            </w:r>
          </w:p>
        </w:tc>
        <w:tc>
          <w:tcPr>
            <w:tcW w:w="1673" w:type="dxa"/>
            <w:tcBorders>
              <w:top w:val="nil"/>
              <w:left w:val="nil"/>
              <w:bottom w:val="single" w:sz="8" w:space="0" w:color="auto"/>
              <w:right w:val="single" w:sz="8" w:space="0" w:color="auto"/>
            </w:tcBorders>
            <w:shd w:val="clear" w:color="auto" w:fill="auto"/>
            <w:noWrap/>
            <w:vAlign w:val="bottom"/>
            <w:hideMark/>
          </w:tcPr>
          <w:p w14:paraId="4A608FA0"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Exploitation Or</w:t>
            </w:r>
          </w:p>
        </w:tc>
        <w:tc>
          <w:tcPr>
            <w:tcW w:w="1660" w:type="dxa"/>
            <w:tcBorders>
              <w:top w:val="nil"/>
              <w:left w:val="nil"/>
              <w:bottom w:val="single" w:sz="8" w:space="0" w:color="auto"/>
              <w:right w:val="single" w:sz="8" w:space="0" w:color="auto"/>
            </w:tcBorders>
            <w:shd w:val="clear" w:color="auto" w:fill="auto"/>
            <w:noWrap/>
            <w:vAlign w:val="bottom"/>
            <w:hideMark/>
          </w:tcPr>
          <w:p w14:paraId="7572CBC2" w14:textId="54367B88"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16 042 449 084 </w:t>
            </w:r>
          </w:p>
        </w:tc>
        <w:tc>
          <w:tcPr>
            <w:tcW w:w="1628" w:type="dxa"/>
            <w:tcBorders>
              <w:top w:val="nil"/>
              <w:left w:val="nil"/>
              <w:bottom w:val="single" w:sz="8" w:space="0" w:color="auto"/>
              <w:right w:val="single" w:sz="8" w:space="0" w:color="auto"/>
            </w:tcBorders>
            <w:shd w:val="clear" w:color="auto" w:fill="auto"/>
            <w:noWrap/>
            <w:vAlign w:val="bottom"/>
            <w:hideMark/>
          </w:tcPr>
          <w:p w14:paraId="4FFFBB20" w14:textId="1D5937D3"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1 690 014 392 </w:t>
            </w:r>
          </w:p>
        </w:tc>
        <w:tc>
          <w:tcPr>
            <w:tcW w:w="1300" w:type="dxa"/>
            <w:tcBorders>
              <w:top w:val="nil"/>
              <w:left w:val="nil"/>
              <w:bottom w:val="single" w:sz="8" w:space="0" w:color="auto"/>
              <w:right w:val="single" w:sz="8" w:space="0" w:color="auto"/>
            </w:tcBorders>
            <w:shd w:val="clear" w:color="auto" w:fill="auto"/>
            <w:noWrap/>
            <w:vAlign w:val="bottom"/>
            <w:hideMark/>
          </w:tcPr>
          <w:p w14:paraId="20BA98F6"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318AE325"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3838CABF" w14:textId="746CF5A9"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1 900 758 597 </w:t>
            </w:r>
          </w:p>
        </w:tc>
        <w:tc>
          <w:tcPr>
            <w:tcW w:w="620" w:type="dxa"/>
            <w:tcBorders>
              <w:top w:val="nil"/>
              <w:left w:val="nil"/>
              <w:bottom w:val="single" w:sz="8" w:space="0" w:color="auto"/>
              <w:right w:val="single" w:sz="8" w:space="0" w:color="auto"/>
            </w:tcBorders>
            <w:shd w:val="clear" w:color="auto" w:fill="auto"/>
            <w:noWrap/>
            <w:vAlign w:val="bottom"/>
            <w:hideMark/>
          </w:tcPr>
          <w:p w14:paraId="75C6E616"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6A75DEFD" w14:textId="4830AEF5"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19 633 222 073 </w:t>
            </w:r>
          </w:p>
        </w:tc>
      </w:tr>
      <w:tr w:rsidR="00CA067E" w:rsidRPr="00CA067E" w14:paraId="053CBFD8"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455F2101"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8</w:t>
            </w:r>
          </w:p>
        </w:tc>
        <w:tc>
          <w:tcPr>
            <w:tcW w:w="1300" w:type="dxa"/>
            <w:tcBorders>
              <w:top w:val="nil"/>
              <w:left w:val="nil"/>
              <w:bottom w:val="single" w:sz="8" w:space="0" w:color="auto"/>
              <w:right w:val="single" w:sz="8" w:space="0" w:color="auto"/>
            </w:tcBorders>
            <w:shd w:val="clear" w:color="auto" w:fill="auto"/>
            <w:noWrap/>
            <w:vAlign w:val="bottom"/>
            <w:hideMark/>
          </w:tcPr>
          <w:p w14:paraId="6D820571"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087800378X</w:t>
            </w:r>
          </w:p>
        </w:tc>
        <w:tc>
          <w:tcPr>
            <w:tcW w:w="1349" w:type="dxa"/>
            <w:tcBorders>
              <w:top w:val="nil"/>
              <w:left w:val="nil"/>
              <w:bottom w:val="single" w:sz="8" w:space="0" w:color="auto"/>
              <w:right w:val="single" w:sz="8" w:space="0" w:color="auto"/>
            </w:tcBorders>
            <w:shd w:val="clear" w:color="auto" w:fill="auto"/>
            <w:noWrap/>
            <w:vAlign w:val="bottom"/>
            <w:hideMark/>
          </w:tcPr>
          <w:p w14:paraId="3017B757"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 xml:space="preserve">SEMICO </w:t>
            </w:r>
          </w:p>
        </w:tc>
        <w:tc>
          <w:tcPr>
            <w:tcW w:w="1673" w:type="dxa"/>
            <w:tcBorders>
              <w:top w:val="nil"/>
              <w:left w:val="nil"/>
              <w:bottom w:val="single" w:sz="8" w:space="0" w:color="auto"/>
              <w:right w:val="single" w:sz="8" w:space="0" w:color="auto"/>
            </w:tcBorders>
            <w:shd w:val="clear" w:color="auto" w:fill="auto"/>
            <w:noWrap/>
            <w:vAlign w:val="bottom"/>
            <w:hideMark/>
          </w:tcPr>
          <w:p w14:paraId="18E13EAD"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Exploitation Or</w:t>
            </w:r>
          </w:p>
        </w:tc>
        <w:tc>
          <w:tcPr>
            <w:tcW w:w="1660" w:type="dxa"/>
            <w:tcBorders>
              <w:top w:val="nil"/>
              <w:left w:val="nil"/>
              <w:bottom w:val="single" w:sz="8" w:space="0" w:color="auto"/>
              <w:right w:val="single" w:sz="8" w:space="0" w:color="auto"/>
            </w:tcBorders>
            <w:shd w:val="clear" w:color="auto" w:fill="auto"/>
            <w:noWrap/>
            <w:vAlign w:val="bottom"/>
            <w:hideMark/>
          </w:tcPr>
          <w:p w14:paraId="142E43EC" w14:textId="28B00FFA"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16 228 937 216 </w:t>
            </w:r>
          </w:p>
        </w:tc>
        <w:tc>
          <w:tcPr>
            <w:tcW w:w="1628" w:type="dxa"/>
            <w:tcBorders>
              <w:top w:val="nil"/>
              <w:left w:val="nil"/>
              <w:bottom w:val="single" w:sz="8" w:space="0" w:color="auto"/>
              <w:right w:val="single" w:sz="8" w:space="0" w:color="auto"/>
            </w:tcBorders>
            <w:shd w:val="clear" w:color="auto" w:fill="auto"/>
            <w:noWrap/>
            <w:vAlign w:val="bottom"/>
            <w:hideMark/>
          </w:tcPr>
          <w:p w14:paraId="4DF07CBD" w14:textId="549F16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1 887 850 670 </w:t>
            </w:r>
          </w:p>
        </w:tc>
        <w:tc>
          <w:tcPr>
            <w:tcW w:w="1300" w:type="dxa"/>
            <w:tcBorders>
              <w:top w:val="nil"/>
              <w:left w:val="nil"/>
              <w:bottom w:val="single" w:sz="8" w:space="0" w:color="auto"/>
              <w:right w:val="single" w:sz="8" w:space="0" w:color="auto"/>
            </w:tcBorders>
            <w:shd w:val="clear" w:color="auto" w:fill="auto"/>
            <w:noWrap/>
            <w:vAlign w:val="bottom"/>
            <w:hideMark/>
          </w:tcPr>
          <w:p w14:paraId="1DEE4DDB"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5A2D9350"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21794C37" w14:textId="1687FEC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2 722 370 950 </w:t>
            </w:r>
          </w:p>
        </w:tc>
        <w:tc>
          <w:tcPr>
            <w:tcW w:w="620" w:type="dxa"/>
            <w:tcBorders>
              <w:top w:val="nil"/>
              <w:left w:val="nil"/>
              <w:bottom w:val="single" w:sz="8" w:space="0" w:color="auto"/>
              <w:right w:val="single" w:sz="8" w:space="0" w:color="auto"/>
            </w:tcBorders>
            <w:shd w:val="clear" w:color="auto" w:fill="auto"/>
            <w:noWrap/>
            <w:vAlign w:val="bottom"/>
            <w:hideMark/>
          </w:tcPr>
          <w:p w14:paraId="456D9FE3"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199BB35D" w14:textId="19FC0E02"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20 839 158 836 </w:t>
            </w:r>
          </w:p>
        </w:tc>
      </w:tr>
      <w:tr w:rsidR="00CA067E" w:rsidRPr="00CA067E" w14:paraId="2623907D"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069878C5"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9</w:t>
            </w:r>
          </w:p>
        </w:tc>
        <w:tc>
          <w:tcPr>
            <w:tcW w:w="1300" w:type="dxa"/>
            <w:tcBorders>
              <w:top w:val="nil"/>
              <w:left w:val="nil"/>
              <w:bottom w:val="single" w:sz="8" w:space="0" w:color="auto"/>
              <w:right w:val="single" w:sz="8" w:space="0" w:color="auto"/>
            </w:tcBorders>
            <w:shd w:val="clear" w:color="auto" w:fill="auto"/>
            <w:noWrap/>
            <w:vAlign w:val="bottom"/>
            <w:hideMark/>
          </w:tcPr>
          <w:p w14:paraId="225DD2FE"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087800492H</w:t>
            </w:r>
          </w:p>
        </w:tc>
        <w:tc>
          <w:tcPr>
            <w:tcW w:w="1349" w:type="dxa"/>
            <w:tcBorders>
              <w:top w:val="nil"/>
              <w:left w:val="nil"/>
              <w:bottom w:val="single" w:sz="8" w:space="0" w:color="auto"/>
              <w:right w:val="single" w:sz="8" w:space="0" w:color="auto"/>
            </w:tcBorders>
            <w:shd w:val="clear" w:color="auto" w:fill="auto"/>
            <w:noWrap/>
            <w:vAlign w:val="bottom"/>
            <w:hideMark/>
          </w:tcPr>
          <w:p w14:paraId="0474214F"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FABOULA</w:t>
            </w:r>
          </w:p>
        </w:tc>
        <w:tc>
          <w:tcPr>
            <w:tcW w:w="1673" w:type="dxa"/>
            <w:tcBorders>
              <w:top w:val="nil"/>
              <w:left w:val="nil"/>
              <w:bottom w:val="single" w:sz="8" w:space="0" w:color="auto"/>
              <w:right w:val="single" w:sz="8" w:space="0" w:color="auto"/>
            </w:tcBorders>
            <w:shd w:val="clear" w:color="auto" w:fill="auto"/>
            <w:noWrap/>
            <w:vAlign w:val="bottom"/>
            <w:hideMark/>
          </w:tcPr>
          <w:p w14:paraId="762E8EAA"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Exploitation Or</w:t>
            </w:r>
          </w:p>
        </w:tc>
        <w:tc>
          <w:tcPr>
            <w:tcW w:w="1660" w:type="dxa"/>
            <w:tcBorders>
              <w:top w:val="nil"/>
              <w:left w:val="nil"/>
              <w:bottom w:val="single" w:sz="8" w:space="0" w:color="auto"/>
              <w:right w:val="single" w:sz="8" w:space="0" w:color="auto"/>
            </w:tcBorders>
            <w:shd w:val="clear" w:color="auto" w:fill="auto"/>
            <w:noWrap/>
            <w:vAlign w:val="bottom"/>
            <w:hideMark/>
          </w:tcPr>
          <w:p w14:paraId="73240E16" w14:textId="4F9781D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1 081 901 464 </w:t>
            </w:r>
          </w:p>
        </w:tc>
        <w:tc>
          <w:tcPr>
            <w:tcW w:w="1628" w:type="dxa"/>
            <w:tcBorders>
              <w:top w:val="nil"/>
              <w:left w:val="nil"/>
              <w:bottom w:val="single" w:sz="8" w:space="0" w:color="auto"/>
              <w:right w:val="single" w:sz="8" w:space="0" w:color="auto"/>
            </w:tcBorders>
            <w:shd w:val="clear" w:color="auto" w:fill="auto"/>
            <w:noWrap/>
            <w:vAlign w:val="bottom"/>
            <w:hideMark/>
          </w:tcPr>
          <w:p w14:paraId="493D456C" w14:textId="0D6F6C73"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332 847 300 </w:t>
            </w:r>
          </w:p>
        </w:tc>
        <w:tc>
          <w:tcPr>
            <w:tcW w:w="1300" w:type="dxa"/>
            <w:tcBorders>
              <w:top w:val="nil"/>
              <w:left w:val="nil"/>
              <w:bottom w:val="single" w:sz="8" w:space="0" w:color="auto"/>
              <w:right w:val="single" w:sz="8" w:space="0" w:color="auto"/>
            </w:tcBorders>
            <w:shd w:val="clear" w:color="auto" w:fill="auto"/>
            <w:noWrap/>
            <w:vAlign w:val="bottom"/>
            <w:hideMark/>
          </w:tcPr>
          <w:p w14:paraId="4E9D1B92"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7C3799FC"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7C1B529A"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35 985 439 </w:t>
            </w:r>
          </w:p>
        </w:tc>
        <w:tc>
          <w:tcPr>
            <w:tcW w:w="620" w:type="dxa"/>
            <w:tcBorders>
              <w:top w:val="nil"/>
              <w:left w:val="nil"/>
              <w:bottom w:val="single" w:sz="8" w:space="0" w:color="auto"/>
              <w:right w:val="single" w:sz="8" w:space="0" w:color="auto"/>
            </w:tcBorders>
            <w:shd w:val="clear" w:color="auto" w:fill="auto"/>
            <w:noWrap/>
            <w:vAlign w:val="bottom"/>
            <w:hideMark/>
          </w:tcPr>
          <w:p w14:paraId="3F3CDA1A"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1C87F08A" w14:textId="6109F90F"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1 450 734 203 </w:t>
            </w:r>
          </w:p>
        </w:tc>
      </w:tr>
      <w:tr w:rsidR="00CA067E" w:rsidRPr="00CA067E" w14:paraId="7716F4D0"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3D6AC149"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10</w:t>
            </w:r>
          </w:p>
        </w:tc>
        <w:tc>
          <w:tcPr>
            <w:tcW w:w="1300" w:type="dxa"/>
            <w:tcBorders>
              <w:top w:val="nil"/>
              <w:left w:val="nil"/>
              <w:bottom w:val="single" w:sz="8" w:space="0" w:color="auto"/>
              <w:right w:val="single" w:sz="8" w:space="0" w:color="auto"/>
            </w:tcBorders>
            <w:shd w:val="clear" w:color="auto" w:fill="auto"/>
            <w:noWrap/>
            <w:vAlign w:val="bottom"/>
            <w:hideMark/>
          </w:tcPr>
          <w:p w14:paraId="4385D800"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087800500E</w:t>
            </w:r>
          </w:p>
        </w:tc>
        <w:tc>
          <w:tcPr>
            <w:tcW w:w="1349" w:type="dxa"/>
            <w:tcBorders>
              <w:top w:val="nil"/>
              <w:left w:val="nil"/>
              <w:bottom w:val="single" w:sz="8" w:space="0" w:color="auto"/>
              <w:right w:val="single" w:sz="8" w:space="0" w:color="auto"/>
            </w:tcBorders>
            <w:shd w:val="clear" w:color="auto" w:fill="auto"/>
            <w:noWrap/>
            <w:vAlign w:val="bottom"/>
            <w:hideMark/>
          </w:tcPr>
          <w:p w14:paraId="00BC409C"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 xml:space="preserve">SOCARCO </w:t>
            </w:r>
          </w:p>
        </w:tc>
        <w:tc>
          <w:tcPr>
            <w:tcW w:w="1673" w:type="dxa"/>
            <w:tcBorders>
              <w:top w:val="nil"/>
              <w:left w:val="nil"/>
              <w:bottom w:val="single" w:sz="8" w:space="0" w:color="auto"/>
              <w:right w:val="single" w:sz="8" w:space="0" w:color="auto"/>
            </w:tcBorders>
            <w:shd w:val="clear" w:color="auto" w:fill="auto"/>
            <w:noWrap/>
            <w:vAlign w:val="bottom"/>
            <w:hideMark/>
          </w:tcPr>
          <w:p w14:paraId="51075486"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Exploitation des carrières</w:t>
            </w:r>
          </w:p>
        </w:tc>
        <w:tc>
          <w:tcPr>
            <w:tcW w:w="1660" w:type="dxa"/>
            <w:tcBorders>
              <w:top w:val="nil"/>
              <w:left w:val="nil"/>
              <w:bottom w:val="single" w:sz="8" w:space="0" w:color="auto"/>
              <w:right w:val="single" w:sz="8" w:space="0" w:color="auto"/>
            </w:tcBorders>
            <w:shd w:val="clear" w:color="auto" w:fill="auto"/>
            <w:noWrap/>
            <w:vAlign w:val="bottom"/>
            <w:hideMark/>
          </w:tcPr>
          <w:p w14:paraId="214266D5"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280 919 066 </w:t>
            </w:r>
          </w:p>
        </w:tc>
        <w:tc>
          <w:tcPr>
            <w:tcW w:w="1628" w:type="dxa"/>
            <w:tcBorders>
              <w:top w:val="nil"/>
              <w:left w:val="nil"/>
              <w:bottom w:val="single" w:sz="8" w:space="0" w:color="auto"/>
              <w:right w:val="single" w:sz="8" w:space="0" w:color="auto"/>
            </w:tcBorders>
            <w:shd w:val="clear" w:color="auto" w:fill="auto"/>
            <w:noWrap/>
            <w:vAlign w:val="bottom"/>
            <w:hideMark/>
          </w:tcPr>
          <w:p w14:paraId="0B6FC9A1"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5A96ED91"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6B24C9D6"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7D6001BD"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68 031 676 </w:t>
            </w:r>
          </w:p>
        </w:tc>
        <w:tc>
          <w:tcPr>
            <w:tcW w:w="620" w:type="dxa"/>
            <w:tcBorders>
              <w:top w:val="nil"/>
              <w:left w:val="nil"/>
              <w:bottom w:val="single" w:sz="8" w:space="0" w:color="auto"/>
              <w:right w:val="single" w:sz="8" w:space="0" w:color="auto"/>
            </w:tcBorders>
            <w:shd w:val="clear" w:color="auto" w:fill="auto"/>
            <w:noWrap/>
            <w:vAlign w:val="bottom"/>
            <w:hideMark/>
          </w:tcPr>
          <w:p w14:paraId="672F982F"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27EE2BE7" w14:textId="4ABA3A10"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348 950 742 </w:t>
            </w:r>
          </w:p>
        </w:tc>
      </w:tr>
      <w:tr w:rsidR="00CA067E" w:rsidRPr="00CA067E" w14:paraId="7A8F5118"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46BABCBC"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11</w:t>
            </w:r>
          </w:p>
        </w:tc>
        <w:tc>
          <w:tcPr>
            <w:tcW w:w="1300" w:type="dxa"/>
            <w:tcBorders>
              <w:top w:val="nil"/>
              <w:left w:val="nil"/>
              <w:bottom w:val="single" w:sz="8" w:space="0" w:color="auto"/>
              <w:right w:val="single" w:sz="8" w:space="0" w:color="auto"/>
            </w:tcBorders>
            <w:shd w:val="clear" w:color="auto" w:fill="auto"/>
            <w:noWrap/>
            <w:vAlign w:val="bottom"/>
            <w:hideMark/>
          </w:tcPr>
          <w:p w14:paraId="04E744CD"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087800504A</w:t>
            </w:r>
          </w:p>
        </w:tc>
        <w:tc>
          <w:tcPr>
            <w:tcW w:w="1349" w:type="dxa"/>
            <w:tcBorders>
              <w:top w:val="nil"/>
              <w:left w:val="nil"/>
              <w:bottom w:val="single" w:sz="8" w:space="0" w:color="auto"/>
              <w:right w:val="single" w:sz="8" w:space="0" w:color="auto"/>
            </w:tcBorders>
            <w:shd w:val="clear" w:color="auto" w:fill="auto"/>
            <w:noWrap/>
            <w:vAlign w:val="bottom"/>
            <w:hideMark/>
          </w:tcPr>
          <w:p w14:paraId="37473168"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 xml:space="preserve">SOMIKA </w:t>
            </w:r>
          </w:p>
        </w:tc>
        <w:tc>
          <w:tcPr>
            <w:tcW w:w="1673" w:type="dxa"/>
            <w:tcBorders>
              <w:top w:val="nil"/>
              <w:left w:val="nil"/>
              <w:bottom w:val="single" w:sz="8" w:space="0" w:color="auto"/>
              <w:right w:val="single" w:sz="8" w:space="0" w:color="auto"/>
            </w:tcBorders>
            <w:shd w:val="clear" w:color="auto" w:fill="auto"/>
            <w:noWrap/>
            <w:vAlign w:val="bottom"/>
            <w:hideMark/>
          </w:tcPr>
          <w:p w14:paraId="413F40D1"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Exploitation Or</w:t>
            </w:r>
          </w:p>
        </w:tc>
        <w:tc>
          <w:tcPr>
            <w:tcW w:w="1660" w:type="dxa"/>
            <w:tcBorders>
              <w:top w:val="nil"/>
              <w:left w:val="nil"/>
              <w:bottom w:val="single" w:sz="8" w:space="0" w:color="auto"/>
              <w:right w:val="single" w:sz="8" w:space="0" w:color="auto"/>
            </w:tcBorders>
            <w:shd w:val="clear" w:color="auto" w:fill="auto"/>
            <w:noWrap/>
            <w:vAlign w:val="bottom"/>
            <w:hideMark/>
          </w:tcPr>
          <w:p w14:paraId="32A66A31"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599 845 488 </w:t>
            </w:r>
          </w:p>
        </w:tc>
        <w:tc>
          <w:tcPr>
            <w:tcW w:w="1628" w:type="dxa"/>
            <w:tcBorders>
              <w:top w:val="nil"/>
              <w:left w:val="nil"/>
              <w:bottom w:val="single" w:sz="8" w:space="0" w:color="auto"/>
              <w:right w:val="single" w:sz="8" w:space="0" w:color="auto"/>
            </w:tcBorders>
            <w:shd w:val="clear" w:color="auto" w:fill="auto"/>
            <w:noWrap/>
            <w:vAlign w:val="bottom"/>
            <w:hideMark/>
          </w:tcPr>
          <w:p w14:paraId="3544B297" w14:textId="3E78B9BA"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38 740 000 </w:t>
            </w:r>
          </w:p>
        </w:tc>
        <w:tc>
          <w:tcPr>
            <w:tcW w:w="1300" w:type="dxa"/>
            <w:tcBorders>
              <w:top w:val="nil"/>
              <w:left w:val="nil"/>
              <w:bottom w:val="single" w:sz="8" w:space="0" w:color="auto"/>
              <w:right w:val="single" w:sz="8" w:space="0" w:color="auto"/>
            </w:tcBorders>
            <w:shd w:val="clear" w:color="auto" w:fill="auto"/>
            <w:noWrap/>
            <w:vAlign w:val="bottom"/>
            <w:hideMark/>
          </w:tcPr>
          <w:p w14:paraId="27842E10"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14E7E22C"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1EDC7AF8"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1 328 095 </w:t>
            </w:r>
          </w:p>
        </w:tc>
        <w:tc>
          <w:tcPr>
            <w:tcW w:w="620" w:type="dxa"/>
            <w:tcBorders>
              <w:top w:val="nil"/>
              <w:left w:val="nil"/>
              <w:bottom w:val="single" w:sz="8" w:space="0" w:color="auto"/>
              <w:right w:val="single" w:sz="8" w:space="0" w:color="auto"/>
            </w:tcBorders>
            <w:shd w:val="clear" w:color="auto" w:fill="auto"/>
            <w:noWrap/>
            <w:vAlign w:val="bottom"/>
            <w:hideMark/>
          </w:tcPr>
          <w:p w14:paraId="0B662C6D"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69C30B24" w14:textId="4D5A40FD"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639 913 583 </w:t>
            </w:r>
          </w:p>
        </w:tc>
      </w:tr>
      <w:tr w:rsidR="00CA067E" w:rsidRPr="00CA067E" w14:paraId="6FF94308"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672710EF"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lastRenderedPageBreak/>
              <w:t>12</w:t>
            </w:r>
          </w:p>
        </w:tc>
        <w:tc>
          <w:tcPr>
            <w:tcW w:w="1300" w:type="dxa"/>
            <w:tcBorders>
              <w:top w:val="nil"/>
              <w:left w:val="nil"/>
              <w:bottom w:val="single" w:sz="8" w:space="0" w:color="auto"/>
              <w:right w:val="single" w:sz="8" w:space="0" w:color="auto"/>
            </w:tcBorders>
            <w:shd w:val="clear" w:color="auto" w:fill="auto"/>
            <w:noWrap/>
            <w:vAlign w:val="bottom"/>
            <w:hideMark/>
          </w:tcPr>
          <w:p w14:paraId="60C18D8B"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087800533T</w:t>
            </w:r>
          </w:p>
        </w:tc>
        <w:tc>
          <w:tcPr>
            <w:tcW w:w="1349" w:type="dxa"/>
            <w:tcBorders>
              <w:top w:val="nil"/>
              <w:left w:val="nil"/>
              <w:bottom w:val="single" w:sz="8" w:space="0" w:color="auto"/>
              <w:right w:val="single" w:sz="8" w:space="0" w:color="auto"/>
            </w:tcBorders>
            <w:shd w:val="clear" w:color="auto" w:fill="auto"/>
            <w:noWrap/>
            <w:vAlign w:val="bottom"/>
            <w:hideMark/>
          </w:tcPr>
          <w:p w14:paraId="7C5FFCD6"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 xml:space="preserve">NEVSUN </w:t>
            </w:r>
          </w:p>
        </w:tc>
        <w:tc>
          <w:tcPr>
            <w:tcW w:w="1673" w:type="dxa"/>
            <w:tcBorders>
              <w:top w:val="nil"/>
              <w:left w:val="nil"/>
              <w:bottom w:val="single" w:sz="8" w:space="0" w:color="auto"/>
              <w:right w:val="single" w:sz="8" w:space="0" w:color="auto"/>
            </w:tcBorders>
            <w:shd w:val="clear" w:color="auto" w:fill="auto"/>
            <w:noWrap/>
            <w:vAlign w:val="bottom"/>
            <w:hideMark/>
          </w:tcPr>
          <w:p w14:paraId="09739ACD"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Recherche</w:t>
            </w:r>
          </w:p>
        </w:tc>
        <w:tc>
          <w:tcPr>
            <w:tcW w:w="1660" w:type="dxa"/>
            <w:tcBorders>
              <w:top w:val="nil"/>
              <w:left w:val="nil"/>
              <w:bottom w:val="single" w:sz="8" w:space="0" w:color="auto"/>
              <w:right w:val="single" w:sz="8" w:space="0" w:color="auto"/>
            </w:tcBorders>
            <w:shd w:val="clear" w:color="auto" w:fill="auto"/>
            <w:noWrap/>
            <w:vAlign w:val="bottom"/>
            <w:hideMark/>
          </w:tcPr>
          <w:p w14:paraId="33066418"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45 263 336 </w:t>
            </w:r>
          </w:p>
        </w:tc>
        <w:tc>
          <w:tcPr>
            <w:tcW w:w="1628" w:type="dxa"/>
            <w:tcBorders>
              <w:top w:val="nil"/>
              <w:left w:val="nil"/>
              <w:bottom w:val="single" w:sz="8" w:space="0" w:color="auto"/>
              <w:right w:val="single" w:sz="8" w:space="0" w:color="auto"/>
            </w:tcBorders>
            <w:shd w:val="clear" w:color="auto" w:fill="auto"/>
            <w:noWrap/>
            <w:vAlign w:val="bottom"/>
            <w:hideMark/>
          </w:tcPr>
          <w:p w14:paraId="173ABA59" w14:textId="553E2BDD"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5 200 000 </w:t>
            </w:r>
          </w:p>
        </w:tc>
        <w:tc>
          <w:tcPr>
            <w:tcW w:w="1300" w:type="dxa"/>
            <w:tcBorders>
              <w:top w:val="nil"/>
              <w:left w:val="nil"/>
              <w:bottom w:val="single" w:sz="8" w:space="0" w:color="auto"/>
              <w:right w:val="single" w:sz="8" w:space="0" w:color="auto"/>
            </w:tcBorders>
            <w:shd w:val="clear" w:color="auto" w:fill="auto"/>
            <w:noWrap/>
            <w:vAlign w:val="bottom"/>
            <w:hideMark/>
          </w:tcPr>
          <w:p w14:paraId="430BA2B4"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260 780 </w:t>
            </w:r>
          </w:p>
        </w:tc>
        <w:tc>
          <w:tcPr>
            <w:tcW w:w="1300" w:type="dxa"/>
            <w:tcBorders>
              <w:top w:val="nil"/>
              <w:left w:val="nil"/>
              <w:bottom w:val="single" w:sz="8" w:space="0" w:color="auto"/>
              <w:right w:val="single" w:sz="8" w:space="0" w:color="auto"/>
            </w:tcBorders>
            <w:shd w:val="clear" w:color="auto" w:fill="auto"/>
            <w:noWrap/>
            <w:vAlign w:val="bottom"/>
            <w:hideMark/>
          </w:tcPr>
          <w:p w14:paraId="306D99F9"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77B8C357"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620" w:type="dxa"/>
            <w:tcBorders>
              <w:top w:val="nil"/>
              <w:left w:val="nil"/>
              <w:bottom w:val="single" w:sz="8" w:space="0" w:color="auto"/>
              <w:right w:val="single" w:sz="8" w:space="0" w:color="auto"/>
            </w:tcBorders>
            <w:shd w:val="clear" w:color="auto" w:fill="auto"/>
            <w:noWrap/>
            <w:vAlign w:val="bottom"/>
            <w:hideMark/>
          </w:tcPr>
          <w:p w14:paraId="062AD14D"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33AC31A5" w14:textId="74138640"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50 724 116 </w:t>
            </w:r>
          </w:p>
        </w:tc>
      </w:tr>
      <w:tr w:rsidR="00CA067E" w:rsidRPr="00CA067E" w14:paraId="0BF37EA6"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488D7DAC"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13</w:t>
            </w:r>
          </w:p>
        </w:tc>
        <w:tc>
          <w:tcPr>
            <w:tcW w:w="1300" w:type="dxa"/>
            <w:tcBorders>
              <w:top w:val="nil"/>
              <w:left w:val="nil"/>
              <w:bottom w:val="single" w:sz="8" w:space="0" w:color="auto"/>
              <w:right w:val="single" w:sz="8" w:space="0" w:color="auto"/>
            </w:tcBorders>
            <w:shd w:val="clear" w:color="auto" w:fill="auto"/>
            <w:noWrap/>
            <w:vAlign w:val="bottom"/>
            <w:hideMark/>
          </w:tcPr>
          <w:p w14:paraId="771AFB62"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087800566G</w:t>
            </w:r>
          </w:p>
        </w:tc>
        <w:tc>
          <w:tcPr>
            <w:tcW w:w="1349" w:type="dxa"/>
            <w:tcBorders>
              <w:top w:val="nil"/>
              <w:left w:val="nil"/>
              <w:bottom w:val="single" w:sz="8" w:space="0" w:color="auto"/>
              <w:right w:val="single" w:sz="8" w:space="0" w:color="auto"/>
            </w:tcBorders>
            <w:shd w:val="clear" w:color="auto" w:fill="auto"/>
            <w:noWrap/>
            <w:vAlign w:val="bottom"/>
            <w:hideMark/>
          </w:tcPr>
          <w:p w14:paraId="612ADEE1"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 xml:space="preserve">MMR </w:t>
            </w:r>
          </w:p>
        </w:tc>
        <w:tc>
          <w:tcPr>
            <w:tcW w:w="1673" w:type="dxa"/>
            <w:tcBorders>
              <w:top w:val="nil"/>
              <w:left w:val="nil"/>
              <w:bottom w:val="single" w:sz="8" w:space="0" w:color="auto"/>
              <w:right w:val="single" w:sz="8" w:space="0" w:color="auto"/>
            </w:tcBorders>
            <w:shd w:val="clear" w:color="auto" w:fill="auto"/>
            <w:noWrap/>
            <w:vAlign w:val="bottom"/>
            <w:hideMark/>
          </w:tcPr>
          <w:p w14:paraId="44B53661"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Recherche Bauxite</w:t>
            </w:r>
          </w:p>
        </w:tc>
        <w:tc>
          <w:tcPr>
            <w:tcW w:w="1660" w:type="dxa"/>
            <w:tcBorders>
              <w:top w:val="nil"/>
              <w:left w:val="nil"/>
              <w:bottom w:val="single" w:sz="8" w:space="0" w:color="auto"/>
              <w:right w:val="single" w:sz="8" w:space="0" w:color="auto"/>
            </w:tcBorders>
            <w:shd w:val="clear" w:color="auto" w:fill="auto"/>
            <w:noWrap/>
            <w:vAlign w:val="bottom"/>
            <w:hideMark/>
          </w:tcPr>
          <w:p w14:paraId="76F3FC81"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26 106 533 </w:t>
            </w:r>
          </w:p>
        </w:tc>
        <w:tc>
          <w:tcPr>
            <w:tcW w:w="1628" w:type="dxa"/>
            <w:tcBorders>
              <w:top w:val="nil"/>
              <w:left w:val="nil"/>
              <w:bottom w:val="single" w:sz="8" w:space="0" w:color="auto"/>
              <w:right w:val="single" w:sz="8" w:space="0" w:color="auto"/>
            </w:tcBorders>
            <w:shd w:val="clear" w:color="auto" w:fill="auto"/>
            <w:noWrap/>
            <w:vAlign w:val="bottom"/>
            <w:hideMark/>
          </w:tcPr>
          <w:p w14:paraId="092AD5D4"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4B59EE52"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5418A47E"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506B5468"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620" w:type="dxa"/>
            <w:tcBorders>
              <w:top w:val="nil"/>
              <w:left w:val="nil"/>
              <w:bottom w:val="single" w:sz="8" w:space="0" w:color="auto"/>
              <w:right w:val="single" w:sz="8" w:space="0" w:color="auto"/>
            </w:tcBorders>
            <w:shd w:val="clear" w:color="auto" w:fill="auto"/>
            <w:noWrap/>
            <w:vAlign w:val="bottom"/>
            <w:hideMark/>
          </w:tcPr>
          <w:p w14:paraId="4092036E"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3C9A7125" w14:textId="6BE457DB"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26 106 533 </w:t>
            </w:r>
          </w:p>
        </w:tc>
      </w:tr>
      <w:tr w:rsidR="00CA067E" w:rsidRPr="00CA067E" w14:paraId="206D019F"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174E507E"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14</w:t>
            </w:r>
          </w:p>
        </w:tc>
        <w:tc>
          <w:tcPr>
            <w:tcW w:w="1300" w:type="dxa"/>
            <w:tcBorders>
              <w:top w:val="nil"/>
              <w:left w:val="nil"/>
              <w:bottom w:val="single" w:sz="8" w:space="0" w:color="auto"/>
              <w:right w:val="single" w:sz="8" w:space="0" w:color="auto"/>
            </w:tcBorders>
            <w:shd w:val="clear" w:color="auto" w:fill="auto"/>
            <w:noWrap/>
            <w:vAlign w:val="bottom"/>
            <w:hideMark/>
          </w:tcPr>
          <w:p w14:paraId="3272AF5E"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087800681E</w:t>
            </w:r>
          </w:p>
        </w:tc>
        <w:tc>
          <w:tcPr>
            <w:tcW w:w="1349" w:type="dxa"/>
            <w:tcBorders>
              <w:top w:val="nil"/>
              <w:left w:val="nil"/>
              <w:bottom w:val="single" w:sz="8" w:space="0" w:color="auto"/>
              <w:right w:val="single" w:sz="8" w:space="0" w:color="auto"/>
            </w:tcBorders>
            <w:shd w:val="clear" w:color="auto" w:fill="auto"/>
            <w:noWrap/>
            <w:vAlign w:val="bottom"/>
            <w:hideMark/>
          </w:tcPr>
          <w:p w14:paraId="74BE6876"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 xml:space="preserve">IAMGOLD </w:t>
            </w:r>
          </w:p>
        </w:tc>
        <w:tc>
          <w:tcPr>
            <w:tcW w:w="1673" w:type="dxa"/>
            <w:tcBorders>
              <w:top w:val="nil"/>
              <w:left w:val="nil"/>
              <w:bottom w:val="single" w:sz="8" w:space="0" w:color="auto"/>
              <w:right w:val="single" w:sz="8" w:space="0" w:color="auto"/>
            </w:tcBorders>
            <w:shd w:val="clear" w:color="auto" w:fill="auto"/>
            <w:noWrap/>
            <w:vAlign w:val="bottom"/>
            <w:hideMark/>
          </w:tcPr>
          <w:p w14:paraId="47BA635D"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Recherche Or</w:t>
            </w:r>
          </w:p>
        </w:tc>
        <w:tc>
          <w:tcPr>
            <w:tcW w:w="1660" w:type="dxa"/>
            <w:tcBorders>
              <w:top w:val="nil"/>
              <w:left w:val="nil"/>
              <w:bottom w:val="single" w:sz="8" w:space="0" w:color="auto"/>
              <w:right w:val="single" w:sz="8" w:space="0" w:color="auto"/>
            </w:tcBorders>
            <w:shd w:val="clear" w:color="auto" w:fill="auto"/>
            <w:noWrap/>
            <w:vAlign w:val="bottom"/>
            <w:hideMark/>
          </w:tcPr>
          <w:p w14:paraId="5482C139" w14:textId="7C3302A8"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133 923 881 </w:t>
            </w:r>
          </w:p>
        </w:tc>
        <w:tc>
          <w:tcPr>
            <w:tcW w:w="1628" w:type="dxa"/>
            <w:tcBorders>
              <w:top w:val="nil"/>
              <w:left w:val="nil"/>
              <w:bottom w:val="single" w:sz="8" w:space="0" w:color="auto"/>
              <w:right w:val="single" w:sz="8" w:space="0" w:color="auto"/>
            </w:tcBorders>
            <w:shd w:val="clear" w:color="auto" w:fill="auto"/>
            <w:noWrap/>
            <w:vAlign w:val="bottom"/>
            <w:hideMark/>
          </w:tcPr>
          <w:p w14:paraId="373B8AC3"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024739A1"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017A805A"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539AAC47"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9 319 546 </w:t>
            </w:r>
          </w:p>
        </w:tc>
        <w:tc>
          <w:tcPr>
            <w:tcW w:w="620" w:type="dxa"/>
            <w:tcBorders>
              <w:top w:val="nil"/>
              <w:left w:val="nil"/>
              <w:bottom w:val="single" w:sz="8" w:space="0" w:color="auto"/>
              <w:right w:val="single" w:sz="8" w:space="0" w:color="auto"/>
            </w:tcBorders>
            <w:shd w:val="clear" w:color="auto" w:fill="auto"/>
            <w:noWrap/>
            <w:vAlign w:val="bottom"/>
            <w:hideMark/>
          </w:tcPr>
          <w:p w14:paraId="6FCFF760"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185217F0" w14:textId="501E3302"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143 243 427 </w:t>
            </w:r>
          </w:p>
        </w:tc>
      </w:tr>
      <w:tr w:rsidR="00CA067E" w:rsidRPr="00CA067E" w14:paraId="1EFC48AE"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10E3E36B"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15</w:t>
            </w:r>
          </w:p>
        </w:tc>
        <w:tc>
          <w:tcPr>
            <w:tcW w:w="1300" w:type="dxa"/>
            <w:tcBorders>
              <w:top w:val="nil"/>
              <w:left w:val="nil"/>
              <w:bottom w:val="single" w:sz="8" w:space="0" w:color="auto"/>
              <w:right w:val="single" w:sz="8" w:space="0" w:color="auto"/>
            </w:tcBorders>
            <w:shd w:val="clear" w:color="auto" w:fill="auto"/>
            <w:noWrap/>
            <w:vAlign w:val="bottom"/>
            <w:hideMark/>
          </w:tcPr>
          <w:p w14:paraId="11982B42"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087800766A</w:t>
            </w:r>
          </w:p>
        </w:tc>
        <w:tc>
          <w:tcPr>
            <w:tcW w:w="1349" w:type="dxa"/>
            <w:tcBorders>
              <w:top w:val="nil"/>
              <w:left w:val="nil"/>
              <w:bottom w:val="single" w:sz="8" w:space="0" w:color="auto"/>
              <w:right w:val="single" w:sz="8" w:space="0" w:color="auto"/>
            </w:tcBorders>
            <w:shd w:val="clear" w:color="auto" w:fill="auto"/>
            <w:noWrap/>
            <w:vAlign w:val="bottom"/>
            <w:hideMark/>
          </w:tcPr>
          <w:p w14:paraId="15C03CF9"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 xml:space="preserve">GOUNKOTO </w:t>
            </w:r>
          </w:p>
        </w:tc>
        <w:tc>
          <w:tcPr>
            <w:tcW w:w="1673" w:type="dxa"/>
            <w:tcBorders>
              <w:top w:val="nil"/>
              <w:left w:val="nil"/>
              <w:bottom w:val="single" w:sz="8" w:space="0" w:color="auto"/>
              <w:right w:val="single" w:sz="8" w:space="0" w:color="auto"/>
            </w:tcBorders>
            <w:shd w:val="clear" w:color="auto" w:fill="auto"/>
            <w:noWrap/>
            <w:vAlign w:val="bottom"/>
            <w:hideMark/>
          </w:tcPr>
          <w:p w14:paraId="0AEFE691"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Exploitation Or</w:t>
            </w:r>
          </w:p>
        </w:tc>
        <w:tc>
          <w:tcPr>
            <w:tcW w:w="1660" w:type="dxa"/>
            <w:tcBorders>
              <w:top w:val="nil"/>
              <w:left w:val="nil"/>
              <w:bottom w:val="single" w:sz="8" w:space="0" w:color="auto"/>
              <w:right w:val="single" w:sz="8" w:space="0" w:color="auto"/>
            </w:tcBorders>
            <w:shd w:val="clear" w:color="auto" w:fill="auto"/>
            <w:noWrap/>
            <w:vAlign w:val="bottom"/>
            <w:hideMark/>
          </w:tcPr>
          <w:p w14:paraId="306CEE71" w14:textId="1D63F79A"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27 784 328 706 </w:t>
            </w:r>
          </w:p>
        </w:tc>
        <w:tc>
          <w:tcPr>
            <w:tcW w:w="1628" w:type="dxa"/>
            <w:tcBorders>
              <w:top w:val="nil"/>
              <w:left w:val="nil"/>
              <w:bottom w:val="single" w:sz="8" w:space="0" w:color="auto"/>
              <w:right w:val="single" w:sz="8" w:space="0" w:color="auto"/>
            </w:tcBorders>
            <w:shd w:val="clear" w:color="auto" w:fill="auto"/>
            <w:noWrap/>
            <w:vAlign w:val="bottom"/>
            <w:hideMark/>
          </w:tcPr>
          <w:p w14:paraId="5E042D81" w14:textId="082B215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15 908 981 978 </w:t>
            </w:r>
          </w:p>
        </w:tc>
        <w:tc>
          <w:tcPr>
            <w:tcW w:w="1300" w:type="dxa"/>
            <w:tcBorders>
              <w:top w:val="nil"/>
              <w:left w:val="nil"/>
              <w:bottom w:val="single" w:sz="8" w:space="0" w:color="auto"/>
              <w:right w:val="single" w:sz="8" w:space="0" w:color="auto"/>
            </w:tcBorders>
            <w:shd w:val="clear" w:color="auto" w:fill="auto"/>
            <w:noWrap/>
            <w:vAlign w:val="bottom"/>
            <w:hideMark/>
          </w:tcPr>
          <w:p w14:paraId="6152A080"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39E44B42"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0627E704" w14:textId="3BA8235A"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1 527 259 029 </w:t>
            </w:r>
          </w:p>
        </w:tc>
        <w:tc>
          <w:tcPr>
            <w:tcW w:w="620" w:type="dxa"/>
            <w:tcBorders>
              <w:top w:val="nil"/>
              <w:left w:val="nil"/>
              <w:bottom w:val="single" w:sz="8" w:space="0" w:color="auto"/>
              <w:right w:val="single" w:sz="8" w:space="0" w:color="auto"/>
            </w:tcBorders>
            <w:shd w:val="clear" w:color="auto" w:fill="auto"/>
            <w:noWrap/>
            <w:vAlign w:val="bottom"/>
            <w:hideMark/>
          </w:tcPr>
          <w:p w14:paraId="43D6353B"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0BC4FBCB" w14:textId="72FB476D"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45 220 569 713 </w:t>
            </w:r>
          </w:p>
        </w:tc>
      </w:tr>
      <w:tr w:rsidR="00CA067E" w:rsidRPr="00CA067E" w14:paraId="3EE9BBE4"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4F7CFBF3"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16</w:t>
            </w:r>
          </w:p>
        </w:tc>
        <w:tc>
          <w:tcPr>
            <w:tcW w:w="1300" w:type="dxa"/>
            <w:tcBorders>
              <w:top w:val="nil"/>
              <w:left w:val="nil"/>
              <w:bottom w:val="single" w:sz="8" w:space="0" w:color="auto"/>
              <w:right w:val="single" w:sz="8" w:space="0" w:color="auto"/>
            </w:tcBorders>
            <w:shd w:val="clear" w:color="auto" w:fill="auto"/>
            <w:noWrap/>
            <w:vAlign w:val="bottom"/>
            <w:hideMark/>
          </w:tcPr>
          <w:p w14:paraId="08DA70B9"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087800776J</w:t>
            </w:r>
          </w:p>
        </w:tc>
        <w:tc>
          <w:tcPr>
            <w:tcW w:w="1349" w:type="dxa"/>
            <w:tcBorders>
              <w:top w:val="nil"/>
              <w:left w:val="nil"/>
              <w:bottom w:val="single" w:sz="8" w:space="0" w:color="auto"/>
              <w:right w:val="single" w:sz="8" w:space="0" w:color="auto"/>
            </w:tcBorders>
            <w:shd w:val="clear" w:color="auto" w:fill="auto"/>
            <w:noWrap/>
            <w:vAlign w:val="bottom"/>
            <w:hideMark/>
          </w:tcPr>
          <w:p w14:paraId="3F231BB6"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 xml:space="preserve">NAMPALA </w:t>
            </w:r>
          </w:p>
        </w:tc>
        <w:tc>
          <w:tcPr>
            <w:tcW w:w="1673" w:type="dxa"/>
            <w:tcBorders>
              <w:top w:val="nil"/>
              <w:left w:val="nil"/>
              <w:bottom w:val="single" w:sz="8" w:space="0" w:color="auto"/>
              <w:right w:val="single" w:sz="8" w:space="0" w:color="auto"/>
            </w:tcBorders>
            <w:shd w:val="clear" w:color="auto" w:fill="auto"/>
            <w:noWrap/>
            <w:vAlign w:val="bottom"/>
            <w:hideMark/>
          </w:tcPr>
          <w:p w14:paraId="40EAD8ED"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Exploitation Or</w:t>
            </w:r>
          </w:p>
        </w:tc>
        <w:tc>
          <w:tcPr>
            <w:tcW w:w="1660" w:type="dxa"/>
            <w:tcBorders>
              <w:top w:val="nil"/>
              <w:left w:val="nil"/>
              <w:bottom w:val="single" w:sz="8" w:space="0" w:color="auto"/>
              <w:right w:val="single" w:sz="8" w:space="0" w:color="auto"/>
            </w:tcBorders>
            <w:shd w:val="clear" w:color="auto" w:fill="auto"/>
            <w:noWrap/>
            <w:vAlign w:val="bottom"/>
            <w:hideMark/>
          </w:tcPr>
          <w:p w14:paraId="0C90E4B3" w14:textId="0346C348"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1 963 597 085 </w:t>
            </w:r>
          </w:p>
        </w:tc>
        <w:tc>
          <w:tcPr>
            <w:tcW w:w="1628" w:type="dxa"/>
            <w:tcBorders>
              <w:top w:val="nil"/>
              <w:left w:val="nil"/>
              <w:bottom w:val="single" w:sz="8" w:space="0" w:color="auto"/>
              <w:right w:val="single" w:sz="8" w:space="0" w:color="auto"/>
            </w:tcBorders>
            <w:shd w:val="clear" w:color="auto" w:fill="auto"/>
            <w:noWrap/>
            <w:vAlign w:val="bottom"/>
            <w:hideMark/>
          </w:tcPr>
          <w:p w14:paraId="2DA27062" w14:textId="15B5B2B0"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1 760 000 </w:t>
            </w:r>
          </w:p>
        </w:tc>
        <w:tc>
          <w:tcPr>
            <w:tcW w:w="1300" w:type="dxa"/>
            <w:tcBorders>
              <w:top w:val="nil"/>
              <w:left w:val="nil"/>
              <w:bottom w:val="single" w:sz="8" w:space="0" w:color="auto"/>
              <w:right w:val="single" w:sz="8" w:space="0" w:color="auto"/>
            </w:tcBorders>
            <w:shd w:val="clear" w:color="auto" w:fill="auto"/>
            <w:noWrap/>
            <w:vAlign w:val="bottom"/>
            <w:hideMark/>
          </w:tcPr>
          <w:p w14:paraId="4BBE32C6"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5AAEA13B"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786C4353" w14:textId="4D7442C6"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1 023 269 846 </w:t>
            </w:r>
          </w:p>
        </w:tc>
        <w:tc>
          <w:tcPr>
            <w:tcW w:w="620" w:type="dxa"/>
            <w:tcBorders>
              <w:top w:val="nil"/>
              <w:left w:val="nil"/>
              <w:bottom w:val="single" w:sz="8" w:space="0" w:color="auto"/>
              <w:right w:val="single" w:sz="8" w:space="0" w:color="auto"/>
            </w:tcBorders>
            <w:shd w:val="clear" w:color="auto" w:fill="auto"/>
            <w:noWrap/>
            <w:vAlign w:val="bottom"/>
            <w:hideMark/>
          </w:tcPr>
          <w:p w14:paraId="6C5FC0C2"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3072CB30" w14:textId="56623E1E"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2 988 626 931 </w:t>
            </w:r>
          </w:p>
        </w:tc>
      </w:tr>
      <w:tr w:rsidR="00CA067E" w:rsidRPr="00CA067E" w14:paraId="7EABC711"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27D9F04C"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17</w:t>
            </w:r>
          </w:p>
        </w:tc>
        <w:tc>
          <w:tcPr>
            <w:tcW w:w="1300" w:type="dxa"/>
            <w:tcBorders>
              <w:top w:val="nil"/>
              <w:left w:val="nil"/>
              <w:bottom w:val="single" w:sz="8" w:space="0" w:color="auto"/>
              <w:right w:val="single" w:sz="8" w:space="0" w:color="auto"/>
            </w:tcBorders>
            <w:shd w:val="clear" w:color="auto" w:fill="auto"/>
            <w:noWrap/>
            <w:vAlign w:val="bottom"/>
            <w:hideMark/>
          </w:tcPr>
          <w:p w14:paraId="6EE45E9C"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087800795T</w:t>
            </w:r>
          </w:p>
        </w:tc>
        <w:tc>
          <w:tcPr>
            <w:tcW w:w="1349" w:type="dxa"/>
            <w:tcBorders>
              <w:top w:val="nil"/>
              <w:left w:val="nil"/>
              <w:bottom w:val="single" w:sz="8" w:space="0" w:color="auto"/>
              <w:right w:val="single" w:sz="8" w:space="0" w:color="auto"/>
            </w:tcBorders>
            <w:shd w:val="clear" w:color="auto" w:fill="auto"/>
            <w:noWrap/>
            <w:vAlign w:val="bottom"/>
            <w:hideMark/>
          </w:tcPr>
          <w:p w14:paraId="4A0E800E"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 xml:space="preserve">SOMIFI.SA </w:t>
            </w:r>
          </w:p>
        </w:tc>
        <w:tc>
          <w:tcPr>
            <w:tcW w:w="1673" w:type="dxa"/>
            <w:tcBorders>
              <w:top w:val="nil"/>
              <w:left w:val="nil"/>
              <w:bottom w:val="single" w:sz="8" w:space="0" w:color="auto"/>
              <w:right w:val="single" w:sz="8" w:space="0" w:color="auto"/>
            </w:tcBorders>
            <w:shd w:val="clear" w:color="auto" w:fill="auto"/>
            <w:noWrap/>
            <w:vAlign w:val="bottom"/>
            <w:hideMark/>
          </w:tcPr>
          <w:p w14:paraId="29537CD1"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Exploitation Or</w:t>
            </w:r>
          </w:p>
        </w:tc>
        <w:tc>
          <w:tcPr>
            <w:tcW w:w="1660" w:type="dxa"/>
            <w:tcBorders>
              <w:top w:val="nil"/>
              <w:left w:val="nil"/>
              <w:bottom w:val="single" w:sz="8" w:space="0" w:color="auto"/>
              <w:right w:val="single" w:sz="8" w:space="0" w:color="auto"/>
            </w:tcBorders>
            <w:shd w:val="clear" w:color="auto" w:fill="auto"/>
            <w:noWrap/>
            <w:vAlign w:val="bottom"/>
            <w:hideMark/>
          </w:tcPr>
          <w:p w14:paraId="02E82EB4" w14:textId="7BE71955"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7 686 044 365 </w:t>
            </w:r>
          </w:p>
        </w:tc>
        <w:tc>
          <w:tcPr>
            <w:tcW w:w="1628" w:type="dxa"/>
            <w:tcBorders>
              <w:top w:val="nil"/>
              <w:left w:val="nil"/>
              <w:bottom w:val="single" w:sz="8" w:space="0" w:color="auto"/>
              <w:right w:val="single" w:sz="8" w:space="0" w:color="auto"/>
            </w:tcBorders>
            <w:shd w:val="clear" w:color="auto" w:fill="auto"/>
            <w:noWrap/>
            <w:vAlign w:val="bottom"/>
            <w:hideMark/>
          </w:tcPr>
          <w:p w14:paraId="20545B87" w14:textId="77B86C1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4 120 933 933 </w:t>
            </w:r>
          </w:p>
        </w:tc>
        <w:tc>
          <w:tcPr>
            <w:tcW w:w="1300" w:type="dxa"/>
            <w:tcBorders>
              <w:top w:val="nil"/>
              <w:left w:val="nil"/>
              <w:bottom w:val="single" w:sz="8" w:space="0" w:color="auto"/>
              <w:right w:val="single" w:sz="8" w:space="0" w:color="auto"/>
            </w:tcBorders>
            <w:shd w:val="clear" w:color="auto" w:fill="auto"/>
            <w:noWrap/>
            <w:vAlign w:val="bottom"/>
            <w:hideMark/>
          </w:tcPr>
          <w:p w14:paraId="5F47FCFF"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67C1A0E5"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0A465E5E"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23 443 585 </w:t>
            </w:r>
          </w:p>
        </w:tc>
        <w:tc>
          <w:tcPr>
            <w:tcW w:w="620" w:type="dxa"/>
            <w:tcBorders>
              <w:top w:val="nil"/>
              <w:left w:val="nil"/>
              <w:bottom w:val="single" w:sz="8" w:space="0" w:color="auto"/>
              <w:right w:val="single" w:sz="8" w:space="0" w:color="auto"/>
            </w:tcBorders>
            <w:shd w:val="clear" w:color="auto" w:fill="auto"/>
            <w:noWrap/>
            <w:vAlign w:val="bottom"/>
            <w:hideMark/>
          </w:tcPr>
          <w:p w14:paraId="489EE236"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125915F3" w14:textId="49720A59"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11 830 421 883 </w:t>
            </w:r>
          </w:p>
        </w:tc>
      </w:tr>
      <w:tr w:rsidR="00CA067E" w:rsidRPr="00CA067E" w14:paraId="1D44AE21"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1F00D56F"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18</w:t>
            </w:r>
          </w:p>
        </w:tc>
        <w:tc>
          <w:tcPr>
            <w:tcW w:w="1300" w:type="dxa"/>
            <w:tcBorders>
              <w:top w:val="nil"/>
              <w:left w:val="nil"/>
              <w:bottom w:val="single" w:sz="8" w:space="0" w:color="auto"/>
              <w:right w:val="single" w:sz="8" w:space="0" w:color="auto"/>
            </w:tcBorders>
            <w:shd w:val="clear" w:color="auto" w:fill="auto"/>
            <w:noWrap/>
            <w:vAlign w:val="bottom"/>
            <w:hideMark/>
          </w:tcPr>
          <w:p w14:paraId="7E08B958"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087800828P</w:t>
            </w:r>
          </w:p>
        </w:tc>
        <w:tc>
          <w:tcPr>
            <w:tcW w:w="1349" w:type="dxa"/>
            <w:tcBorders>
              <w:top w:val="nil"/>
              <w:left w:val="nil"/>
              <w:bottom w:val="single" w:sz="8" w:space="0" w:color="auto"/>
              <w:right w:val="single" w:sz="8" w:space="0" w:color="auto"/>
            </w:tcBorders>
            <w:shd w:val="clear" w:color="auto" w:fill="auto"/>
            <w:noWrap/>
            <w:vAlign w:val="bottom"/>
            <w:hideMark/>
          </w:tcPr>
          <w:p w14:paraId="2FBB63C0"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 xml:space="preserve">SMK </w:t>
            </w:r>
          </w:p>
        </w:tc>
        <w:tc>
          <w:tcPr>
            <w:tcW w:w="1673" w:type="dxa"/>
            <w:tcBorders>
              <w:top w:val="nil"/>
              <w:left w:val="nil"/>
              <w:bottom w:val="single" w:sz="8" w:space="0" w:color="auto"/>
              <w:right w:val="single" w:sz="8" w:space="0" w:color="auto"/>
            </w:tcBorders>
            <w:shd w:val="clear" w:color="auto" w:fill="auto"/>
            <w:noWrap/>
            <w:vAlign w:val="bottom"/>
            <w:hideMark/>
          </w:tcPr>
          <w:p w14:paraId="42EE7D1D"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Exploitation Or</w:t>
            </w:r>
          </w:p>
        </w:tc>
        <w:tc>
          <w:tcPr>
            <w:tcW w:w="1660" w:type="dxa"/>
            <w:tcBorders>
              <w:top w:val="nil"/>
              <w:left w:val="nil"/>
              <w:bottom w:val="single" w:sz="8" w:space="0" w:color="auto"/>
              <w:right w:val="single" w:sz="8" w:space="0" w:color="auto"/>
            </w:tcBorders>
            <w:shd w:val="clear" w:color="auto" w:fill="auto"/>
            <w:noWrap/>
            <w:vAlign w:val="bottom"/>
            <w:hideMark/>
          </w:tcPr>
          <w:p w14:paraId="52429C7F" w14:textId="1DEC7972"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6 006 025 362 </w:t>
            </w:r>
          </w:p>
        </w:tc>
        <w:tc>
          <w:tcPr>
            <w:tcW w:w="1628" w:type="dxa"/>
            <w:tcBorders>
              <w:top w:val="nil"/>
              <w:left w:val="nil"/>
              <w:bottom w:val="single" w:sz="8" w:space="0" w:color="auto"/>
              <w:right w:val="single" w:sz="8" w:space="0" w:color="auto"/>
            </w:tcBorders>
            <w:shd w:val="clear" w:color="auto" w:fill="auto"/>
            <w:noWrap/>
            <w:vAlign w:val="bottom"/>
            <w:hideMark/>
          </w:tcPr>
          <w:p w14:paraId="607AA19B" w14:textId="5CD98D7E"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25 000 000 </w:t>
            </w:r>
          </w:p>
        </w:tc>
        <w:tc>
          <w:tcPr>
            <w:tcW w:w="1300" w:type="dxa"/>
            <w:tcBorders>
              <w:top w:val="nil"/>
              <w:left w:val="nil"/>
              <w:bottom w:val="single" w:sz="8" w:space="0" w:color="auto"/>
              <w:right w:val="single" w:sz="8" w:space="0" w:color="auto"/>
            </w:tcBorders>
            <w:shd w:val="clear" w:color="auto" w:fill="auto"/>
            <w:noWrap/>
            <w:vAlign w:val="bottom"/>
            <w:hideMark/>
          </w:tcPr>
          <w:p w14:paraId="5B969F9B"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3C75F784"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14A5669C"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620" w:type="dxa"/>
            <w:tcBorders>
              <w:top w:val="nil"/>
              <w:left w:val="nil"/>
              <w:bottom w:val="single" w:sz="8" w:space="0" w:color="auto"/>
              <w:right w:val="single" w:sz="8" w:space="0" w:color="auto"/>
            </w:tcBorders>
            <w:shd w:val="clear" w:color="auto" w:fill="auto"/>
            <w:noWrap/>
            <w:vAlign w:val="bottom"/>
            <w:hideMark/>
          </w:tcPr>
          <w:p w14:paraId="285E387A"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41A976F0" w14:textId="3D4ABC3A"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6 031 025 362 </w:t>
            </w:r>
          </w:p>
        </w:tc>
      </w:tr>
      <w:tr w:rsidR="00CA067E" w:rsidRPr="00CA067E" w14:paraId="16911E55"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6ED8F2C4"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19</w:t>
            </w:r>
          </w:p>
        </w:tc>
        <w:tc>
          <w:tcPr>
            <w:tcW w:w="1300" w:type="dxa"/>
            <w:tcBorders>
              <w:top w:val="nil"/>
              <w:left w:val="nil"/>
              <w:bottom w:val="single" w:sz="8" w:space="0" w:color="auto"/>
              <w:right w:val="single" w:sz="8" w:space="0" w:color="auto"/>
            </w:tcBorders>
            <w:shd w:val="clear" w:color="auto" w:fill="auto"/>
            <w:noWrap/>
            <w:vAlign w:val="bottom"/>
            <w:hideMark/>
          </w:tcPr>
          <w:p w14:paraId="13E62DAF"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087800848K</w:t>
            </w:r>
          </w:p>
        </w:tc>
        <w:tc>
          <w:tcPr>
            <w:tcW w:w="1349" w:type="dxa"/>
            <w:tcBorders>
              <w:top w:val="nil"/>
              <w:left w:val="nil"/>
              <w:bottom w:val="single" w:sz="8" w:space="0" w:color="auto"/>
              <w:right w:val="single" w:sz="8" w:space="0" w:color="auto"/>
            </w:tcBorders>
            <w:shd w:val="clear" w:color="auto" w:fill="auto"/>
            <w:noWrap/>
            <w:vAlign w:val="bottom"/>
            <w:hideMark/>
          </w:tcPr>
          <w:p w14:paraId="00735C62"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 xml:space="preserve">FEKOLA </w:t>
            </w:r>
          </w:p>
        </w:tc>
        <w:tc>
          <w:tcPr>
            <w:tcW w:w="1673" w:type="dxa"/>
            <w:tcBorders>
              <w:top w:val="nil"/>
              <w:left w:val="nil"/>
              <w:bottom w:val="single" w:sz="8" w:space="0" w:color="auto"/>
              <w:right w:val="single" w:sz="8" w:space="0" w:color="auto"/>
            </w:tcBorders>
            <w:shd w:val="clear" w:color="auto" w:fill="auto"/>
            <w:noWrap/>
            <w:vAlign w:val="bottom"/>
            <w:hideMark/>
          </w:tcPr>
          <w:p w14:paraId="64ABCBDA"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Exploitation Or</w:t>
            </w:r>
          </w:p>
        </w:tc>
        <w:tc>
          <w:tcPr>
            <w:tcW w:w="1660" w:type="dxa"/>
            <w:tcBorders>
              <w:top w:val="nil"/>
              <w:left w:val="nil"/>
              <w:bottom w:val="single" w:sz="8" w:space="0" w:color="auto"/>
              <w:right w:val="single" w:sz="8" w:space="0" w:color="auto"/>
            </w:tcBorders>
            <w:shd w:val="clear" w:color="auto" w:fill="auto"/>
            <w:noWrap/>
            <w:vAlign w:val="bottom"/>
            <w:hideMark/>
          </w:tcPr>
          <w:p w14:paraId="2DB86980" w14:textId="112E9278"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85 928 503 808 </w:t>
            </w:r>
          </w:p>
        </w:tc>
        <w:tc>
          <w:tcPr>
            <w:tcW w:w="1628" w:type="dxa"/>
            <w:tcBorders>
              <w:top w:val="nil"/>
              <w:left w:val="nil"/>
              <w:bottom w:val="single" w:sz="8" w:space="0" w:color="auto"/>
              <w:right w:val="single" w:sz="8" w:space="0" w:color="auto"/>
            </w:tcBorders>
            <w:shd w:val="clear" w:color="auto" w:fill="auto"/>
            <w:noWrap/>
            <w:vAlign w:val="bottom"/>
            <w:hideMark/>
          </w:tcPr>
          <w:p w14:paraId="16B429BF" w14:textId="1A109FB4"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20 504 661 234 </w:t>
            </w:r>
          </w:p>
        </w:tc>
        <w:tc>
          <w:tcPr>
            <w:tcW w:w="1300" w:type="dxa"/>
            <w:tcBorders>
              <w:top w:val="nil"/>
              <w:left w:val="nil"/>
              <w:bottom w:val="single" w:sz="8" w:space="0" w:color="auto"/>
              <w:right w:val="single" w:sz="8" w:space="0" w:color="auto"/>
            </w:tcBorders>
            <w:shd w:val="clear" w:color="auto" w:fill="auto"/>
            <w:noWrap/>
            <w:vAlign w:val="bottom"/>
            <w:hideMark/>
          </w:tcPr>
          <w:p w14:paraId="18B23A7D"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087A866F"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5F840C91"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620" w:type="dxa"/>
            <w:tcBorders>
              <w:top w:val="nil"/>
              <w:left w:val="nil"/>
              <w:bottom w:val="single" w:sz="8" w:space="0" w:color="auto"/>
              <w:right w:val="single" w:sz="8" w:space="0" w:color="auto"/>
            </w:tcBorders>
            <w:shd w:val="clear" w:color="auto" w:fill="auto"/>
            <w:noWrap/>
            <w:vAlign w:val="bottom"/>
            <w:hideMark/>
          </w:tcPr>
          <w:p w14:paraId="67E2F203"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086B470B" w14:textId="010A7AEC"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106 433 165 042 </w:t>
            </w:r>
          </w:p>
        </w:tc>
      </w:tr>
      <w:tr w:rsidR="00CA067E" w:rsidRPr="00CA067E" w14:paraId="1212731C"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5845523C"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20</w:t>
            </w:r>
          </w:p>
        </w:tc>
        <w:tc>
          <w:tcPr>
            <w:tcW w:w="1300" w:type="dxa"/>
            <w:tcBorders>
              <w:top w:val="nil"/>
              <w:left w:val="nil"/>
              <w:bottom w:val="single" w:sz="8" w:space="0" w:color="auto"/>
              <w:right w:val="single" w:sz="8" w:space="0" w:color="auto"/>
            </w:tcBorders>
            <w:shd w:val="clear" w:color="auto" w:fill="auto"/>
            <w:noWrap/>
            <w:vAlign w:val="bottom"/>
            <w:hideMark/>
          </w:tcPr>
          <w:p w14:paraId="767099D7"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087800382N</w:t>
            </w:r>
          </w:p>
        </w:tc>
        <w:tc>
          <w:tcPr>
            <w:tcW w:w="1349" w:type="dxa"/>
            <w:tcBorders>
              <w:top w:val="nil"/>
              <w:left w:val="nil"/>
              <w:bottom w:val="single" w:sz="8" w:space="0" w:color="auto"/>
              <w:right w:val="single" w:sz="8" w:space="0" w:color="auto"/>
            </w:tcBorders>
            <w:shd w:val="clear" w:color="auto" w:fill="auto"/>
            <w:noWrap/>
            <w:vAlign w:val="bottom"/>
            <w:hideMark/>
          </w:tcPr>
          <w:p w14:paraId="58CAC956"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 xml:space="preserve">YATELA </w:t>
            </w:r>
          </w:p>
        </w:tc>
        <w:tc>
          <w:tcPr>
            <w:tcW w:w="1673" w:type="dxa"/>
            <w:tcBorders>
              <w:top w:val="nil"/>
              <w:left w:val="nil"/>
              <w:bottom w:val="single" w:sz="8" w:space="0" w:color="auto"/>
              <w:right w:val="single" w:sz="8" w:space="0" w:color="auto"/>
            </w:tcBorders>
            <w:shd w:val="clear" w:color="auto" w:fill="auto"/>
            <w:noWrap/>
            <w:vAlign w:val="bottom"/>
            <w:hideMark/>
          </w:tcPr>
          <w:p w14:paraId="769AC85F"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Exploitation Or</w:t>
            </w:r>
          </w:p>
        </w:tc>
        <w:tc>
          <w:tcPr>
            <w:tcW w:w="1660" w:type="dxa"/>
            <w:tcBorders>
              <w:top w:val="nil"/>
              <w:left w:val="nil"/>
              <w:bottom w:val="single" w:sz="8" w:space="0" w:color="auto"/>
              <w:right w:val="single" w:sz="8" w:space="0" w:color="auto"/>
            </w:tcBorders>
            <w:shd w:val="clear" w:color="auto" w:fill="auto"/>
            <w:noWrap/>
            <w:vAlign w:val="bottom"/>
            <w:hideMark/>
          </w:tcPr>
          <w:p w14:paraId="2B05E670"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w:t>
            </w:r>
          </w:p>
        </w:tc>
        <w:tc>
          <w:tcPr>
            <w:tcW w:w="1628" w:type="dxa"/>
            <w:tcBorders>
              <w:top w:val="nil"/>
              <w:left w:val="nil"/>
              <w:bottom w:val="single" w:sz="8" w:space="0" w:color="auto"/>
              <w:right w:val="single" w:sz="8" w:space="0" w:color="auto"/>
            </w:tcBorders>
            <w:shd w:val="clear" w:color="auto" w:fill="auto"/>
            <w:noWrap/>
            <w:vAlign w:val="bottom"/>
            <w:hideMark/>
          </w:tcPr>
          <w:p w14:paraId="1C662F55" w14:textId="66C86FDC"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106 245 869 </w:t>
            </w:r>
          </w:p>
        </w:tc>
        <w:tc>
          <w:tcPr>
            <w:tcW w:w="1300" w:type="dxa"/>
            <w:tcBorders>
              <w:top w:val="nil"/>
              <w:left w:val="nil"/>
              <w:bottom w:val="single" w:sz="8" w:space="0" w:color="auto"/>
              <w:right w:val="single" w:sz="8" w:space="0" w:color="auto"/>
            </w:tcBorders>
            <w:shd w:val="clear" w:color="auto" w:fill="auto"/>
            <w:noWrap/>
            <w:vAlign w:val="bottom"/>
            <w:hideMark/>
          </w:tcPr>
          <w:p w14:paraId="17327EC9"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0736B3A0"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5895A2FE"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620" w:type="dxa"/>
            <w:tcBorders>
              <w:top w:val="nil"/>
              <w:left w:val="nil"/>
              <w:bottom w:val="single" w:sz="8" w:space="0" w:color="auto"/>
              <w:right w:val="single" w:sz="8" w:space="0" w:color="auto"/>
            </w:tcBorders>
            <w:shd w:val="clear" w:color="auto" w:fill="auto"/>
            <w:noWrap/>
            <w:vAlign w:val="bottom"/>
            <w:hideMark/>
          </w:tcPr>
          <w:p w14:paraId="7F9AC801"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6FF7D77B" w14:textId="4F4674E9"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106 245 869 </w:t>
            </w:r>
          </w:p>
        </w:tc>
      </w:tr>
      <w:tr w:rsidR="00CA067E" w:rsidRPr="00CA067E" w14:paraId="41C51A03"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68D6C286"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21</w:t>
            </w:r>
          </w:p>
        </w:tc>
        <w:tc>
          <w:tcPr>
            <w:tcW w:w="1300" w:type="dxa"/>
            <w:tcBorders>
              <w:top w:val="nil"/>
              <w:left w:val="nil"/>
              <w:bottom w:val="single" w:sz="8" w:space="0" w:color="auto"/>
              <w:right w:val="single" w:sz="8" w:space="0" w:color="auto"/>
            </w:tcBorders>
            <w:shd w:val="clear" w:color="auto" w:fill="auto"/>
            <w:noWrap/>
            <w:vAlign w:val="bottom"/>
            <w:hideMark/>
          </w:tcPr>
          <w:p w14:paraId="11F18837"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087800709Y</w:t>
            </w:r>
          </w:p>
        </w:tc>
        <w:tc>
          <w:tcPr>
            <w:tcW w:w="1349" w:type="dxa"/>
            <w:tcBorders>
              <w:top w:val="nil"/>
              <w:left w:val="nil"/>
              <w:bottom w:val="single" w:sz="8" w:space="0" w:color="auto"/>
              <w:right w:val="single" w:sz="8" w:space="0" w:color="auto"/>
            </w:tcBorders>
            <w:shd w:val="clear" w:color="auto" w:fill="auto"/>
            <w:noWrap/>
            <w:vAlign w:val="bottom"/>
            <w:hideMark/>
          </w:tcPr>
          <w:p w14:paraId="7A037148"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 xml:space="preserve">RAZEL </w:t>
            </w:r>
          </w:p>
        </w:tc>
        <w:tc>
          <w:tcPr>
            <w:tcW w:w="1673" w:type="dxa"/>
            <w:tcBorders>
              <w:top w:val="nil"/>
              <w:left w:val="nil"/>
              <w:bottom w:val="single" w:sz="8" w:space="0" w:color="auto"/>
              <w:right w:val="single" w:sz="8" w:space="0" w:color="auto"/>
            </w:tcBorders>
            <w:shd w:val="clear" w:color="auto" w:fill="auto"/>
            <w:noWrap/>
            <w:vAlign w:val="bottom"/>
            <w:hideMark/>
          </w:tcPr>
          <w:p w14:paraId="711DC60C"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Exploitation des carrières</w:t>
            </w:r>
          </w:p>
        </w:tc>
        <w:tc>
          <w:tcPr>
            <w:tcW w:w="1660" w:type="dxa"/>
            <w:tcBorders>
              <w:top w:val="nil"/>
              <w:left w:val="nil"/>
              <w:bottom w:val="single" w:sz="8" w:space="0" w:color="auto"/>
              <w:right w:val="single" w:sz="8" w:space="0" w:color="auto"/>
            </w:tcBorders>
            <w:shd w:val="clear" w:color="auto" w:fill="auto"/>
            <w:noWrap/>
            <w:vAlign w:val="bottom"/>
            <w:hideMark/>
          </w:tcPr>
          <w:p w14:paraId="1E43B3F8"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w:t>
            </w:r>
          </w:p>
        </w:tc>
        <w:tc>
          <w:tcPr>
            <w:tcW w:w="1628" w:type="dxa"/>
            <w:tcBorders>
              <w:top w:val="nil"/>
              <w:left w:val="nil"/>
              <w:bottom w:val="single" w:sz="8" w:space="0" w:color="auto"/>
              <w:right w:val="single" w:sz="8" w:space="0" w:color="auto"/>
            </w:tcBorders>
            <w:shd w:val="clear" w:color="auto" w:fill="auto"/>
            <w:noWrap/>
            <w:vAlign w:val="bottom"/>
            <w:hideMark/>
          </w:tcPr>
          <w:p w14:paraId="265C0371" w14:textId="11EF25B3"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32FCD16E"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5 000 000 </w:t>
            </w:r>
          </w:p>
        </w:tc>
        <w:tc>
          <w:tcPr>
            <w:tcW w:w="1300" w:type="dxa"/>
            <w:tcBorders>
              <w:top w:val="nil"/>
              <w:left w:val="nil"/>
              <w:bottom w:val="single" w:sz="8" w:space="0" w:color="auto"/>
              <w:right w:val="single" w:sz="8" w:space="0" w:color="auto"/>
            </w:tcBorders>
            <w:shd w:val="clear" w:color="auto" w:fill="auto"/>
            <w:noWrap/>
            <w:vAlign w:val="bottom"/>
            <w:hideMark/>
          </w:tcPr>
          <w:p w14:paraId="27FB3876"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6BB1D5FD"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620" w:type="dxa"/>
            <w:tcBorders>
              <w:top w:val="nil"/>
              <w:left w:val="nil"/>
              <w:bottom w:val="single" w:sz="8" w:space="0" w:color="auto"/>
              <w:right w:val="single" w:sz="8" w:space="0" w:color="auto"/>
            </w:tcBorders>
            <w:shd w:val="clear" w:color="auto" w:fill="auto"/>
            <w:noWrap/>
            <w:vAlign w:val="bottom"/>
            <w:hideMark/>
          </w:tcPr>
          <w:p w14:paraId="206B43EC"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4E1975B2" w14:textId="38DD5D85"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5 000 000 </w:t>
            </w:r>
          </w:p>
        </w:tc>
      </w:tr>
      <w:tr w:rsidR="00CA067E" w:rsidRPr="00CA067E" w14:paraId="699BBDFE"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4183B198"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22</w:t>
            </w:r>
          </w:p>
        </w:tc>
        <w:tc>
          <w:tcPr>
            <w:tcW w:w="1300" w:type="dxa"/>
            <w:tcBorders>
              <w:top w:val="nil"/>
              <w:left w:val="nil"/>
              <w:bottom w:val="single" w:sz="8" w:space="0" w:color="auto"/>
              <w:right w:val="single" w:sz="8" w:space="0" w:color="auto"/>
            </w:tcBorders>
            <w:shd w:val="clear" w:color="auto" w:fill="auto"/>
            <w:noWrap/>
            <w:vAlign w:val="bottom"/>
            <w:hideMark/>
          </w:tcPr>
          <w:p w14:paraId="7440D926"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087800180A</w:t>
            </w:r>
          </w:p>
        </w:tc>
        <w:tc>
          <w:tcPr>
            <w:tcW w:w="1349" w:type="dxa"/>
            <w:tcBorders>
              <w:top w:val="nil"/>
              <w:left w:val="nil"/>
              <w:bottom w:val="single" w:sz="8" w:space="0" w:color="auto"/>
              <w:right w:val="single" w:sz="8" w:space="0" w:color="auto"/>
            </w:tcBorders>
            <w:shd w:val="clear" w:color="auto" w:fill="auto"/>
            <w:noWrap/>
            <w:vAlign w:val="bottom"/>
            <w:hideMark/>
          </w:tcPr>
          <w:p w14:paraId="76D78B33"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 xml:space="preserve">RANDGOLD </w:t>
            </w:r>
          </w:p>
        </w:tc>
        <w:tc>
          <w:tcPr>
            <w:tcW w:w="1673" w:type="dxa"/>
            <w:tcBorders>
              <w:top w:val="nil"/>
              <w:left w:val="nil"/>
              <w:bottom w:val="single" w:sz="8" w:space="0" w:color="auto"/>
              <w:right w:val="single" w:sz="8" w:space="0" w:color="auto"/>
            </w:tcBorders>
            <w:shd w:val="clear" w:color="auto" w:fill="auto"/>
            <w:noWrap/>
            <w:vAlign w:val="bottom"/>
            <w:hideMark/>
          </w:tcPr>
          <w:p w14:paraId="4604223B"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Recherche Or</w:t>
            </w:r>
          </w:p>
        </w:tc>
        <w:tc>
          <w:tcPr>
            <w:tcW w:w="1660" w:type="dxa"/>
            <w:tcBorders>
              <w:top w:val="nil"/>
              <w:left w:val="nil"/>
              <w:bottom w:val="single" w:sz="8" w:space="0" w:color="auto"/>
              <w:right w:val="single" w:sz="8" w:space="0" w:color="auto"/>
            </w:tcBorders>
            <w:shd w:val="clear" w:color="auto" w:fill="auto"/>
            <w:noWrap/>
            <w:vAlign w:val="bottom"/>
            <w:hideMark/>
          </w:tcPr>
          <w:p w14:paraId="27A21145"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439 002 024 </w:t>
            </w:r>
          </w:p>
        </w:tc>
        <w:tc>
          <w:tcPr>
            <w:tcW w:w="1628" w:type="dxa"/>
            <w:tcBorders>
              <w:top w:val="nil"/>
              <w:left w:val="nil"/>
              <w:bottom w:val="single" w:sz="8" w:space="0" w:color="auto"/>
              <w:right w:val="single" w:sz="8" w:space="0" w:color="auto"/>
            </w:tcBorders>
            <w:shd w:val="clear" w:color="auto" w:fill="auto"/>
            <w:noWrap/>
            <w:vAlign w:val="bottom"/>
            <w:hideMark/>
          </w:tcPr>
          <w:p w14:paraId="0F7D43C2" w14:textId="1321B0CC"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539D2C16"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447 435 </w:t>
            </w:r>
          </w:p>
        </w:tc>
        <w:tc>
          <w:tcPr>
            <w:tcW w:w="1300" w:type="dxa"/>
            <w:tcBorders>
              <w:top w:val="nil"/>
              <w:left w:val="nil"/>
              <w:bottom w:val="single" w:sz="8" w:space="0" w:color="auto"/>
              <w:right w:val="single" w:sz="8" w:space="0" w:color="auto"/>
            </w:tcBorders>
            <w:shd w:val="clear" w:color="auto" w:fill="auto"/>
            <w:noWrap/>
            <w:vAlign w:val="bottom"/>
            <w:hideMark/>
          </w:tcPr>
          <w:p w14:paraId="4FB13430"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5C2BFA5D"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620" w:type="dxa"/>
            <w:tcBorders>
              <w:top w:val="nil"/>
              <w:left w:val="nil"/>
              <w:bottom w:val="single" w:sz="8" w:space="0" w:color="auto"/>
              <w:right w:val="single" w:sz="8" w:space="0" w:color="auto"/>
            </w:tcBorders>
            <w:shd w:val="clear" w:color="auto" w:fill="auto"/>
            <w:noWrap/>
            <w:vAlign w:val="bottom"/>
            <w:hideMark/>
          </w:tcPr>
          <w:p w14:paraId="1E30B554"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4DA90E70" w14:textId="0053C81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439 449 459 </w:t>
            </w:r>
          </w:p>
        </w:tc>
      </w:tr>
      <w:tr w:rsidR="00CA067E" w:rsidRPr="00CA067E" w14:paraId="379E4422"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16D4BB47"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23</w:t>
            </w:r>
          </w:p>
        </w:tc>
        <w:tc>
          <w:tcPr>
            <w:tcW w:w="1300" w:type="dxa"/>
            <w:tcBorders>
              <w:top w:val="nil"/>
              <w:left w:val="nil"/>
              <w:bottom w:val="single" w:sz="8" w:space="0" w:color="auto"/>
              <w:right w:val="single" w:sz="8" w:space="0" w:color="auto"/>
            </w:tcBorders>
            <w:shd w:val="clear" w:color="auto" w:fill="auto"/>
            <w:noWrap/>
            <w:vAlign w:val="bottom"/>
            <w:hideMark/>
          </w:tcPr>
          <w:p w14:paraId="7A214BE3"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087800617C</w:t>
            </w:r>
          </w:p>
        </w:tc>
        <w:tc>
          <w:tcPr>
            <w:tcW w:w="1349" w:type="dxa"/>
            <w:tcBorders>
              <w:top w:val="nil"/>
              <w:left w:val="nil"/>
              <w:bottom w:val="single" w:sz="8" w:space="0" w:color="auto"/>
              <w:right w:val="single" w:sz="8" w:space="0" w:color="auto"/>
            </w:tcBorders>
            <w:shd w:val="clear" w:color="auto" w:fill="auto"/>
            <w:noWrap/>
            <w:vAlign w:val="bottom"/>
            <w:hideMark/>
          </w:tcPr>
          <w:p w14:paraId="6A692D09"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HYDROMA</w:t>
            </w:r>
          </w:p>
        </w:tc>
        <w:tc>
          <w:tcPr>
            <w:tcW w:w="1673" w:type="dxa"/>
            <w:tcBorders>
              <w:top w:val="nil"/>
              <w:left w:val="nil"/>
              <w:bottom w:val="single" w:sz="8" w:space="0" w:color="auto"/>
              <w:right w:val="single" w:sz="8" w:space="0" w:color="auto"/>
            </w:tcBorders>
            <w:shd w:val="clear" w:color="auto" w:fill="auto"/>
            <w:noWrap/>
            <w:vAlign w:val="bottom"/>
            <w:hideMark/>
          </w:tcPr>
          <w:p w14:paraId="5FF1AFEC"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Recherche Pétrolière</w:t>
            </w:r>
          </w:p>
        </w:tc>
        <w:tc>
          <w:tcPr>
            <w:tcW w:w="1660" w:type="dxa"/>
            <w:tcBorders>
              <w:top w:val="nil"/>
              <w:left w:val="nil"/>
              <w:bottom w:val="single" w:sz="8" w:space="0" w:color="auto"/>
              <w:right w:val="single" w:sz="8" w:space="0" w:color="auto"/>
            </w:tcBorders>
            <w:shd w:val="clear" w:color="auto" w:fill="auto"/>
            <w:noWrap/>
            <w:vAlign w:val="bottom"/>
            <w:hideMark/>
          </w:tcPr>
          <w:p w14:paraId="55F6E206"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w:t>
            </w:r>
          </w:p>
        </w:tc>
        <w:tc>
          <w:tcPr>
            <w:tcW w:w="1628" w:type="dxa"/>
            <w:tcBorders>
              <w:top w:val="nil"/>
              <w:left w:val="nil"/>
              <w:bottom w:val="single" w:sz="8" w:space="0" w:color="auto"/>
              <w:right w:val="single" w:sz="8" w:space="0" w:color="auto"/>
            </w:tcBorders>
            <w:shd w:val="clear" w:color="auto" w:fill="auto"/>
            <w:noWrap/>
            <w:vAlign w:val="bottom"/>
            <w:hideMark/>
          </w:tcPr>
          <w:p w14:paraId="7B49F298" w14:textId="1E4DE132"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5EEC9911"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35B91817"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232 935 000 </w:t>
            </w:r>
          </w:p>
        </w:tc>
        <w:tc>
          <w:tcPr>
            <w:tcW w:w="1560" w:type="dxa"/>
            <w:tcBorders>
              <w:top w:val="nil"/>
              <w:left w:val="nil"/>
              <w:bottom w:val="single" w:sz="8" w:space="0" w:color="auto"/>
              <w:right w:val="single" w:sz="8" w:space="0" w:color="auto"/>
            </w:tcBorders>
            <w:shd w:val="clear" w:color="auto" w:fill="auto"/>
            <w:noWrap/>
            <w:vAlign w:val="bottom"/>
            <w:hideMark/>
          </w:tcPr>
          <w:p w14:paraId="18DDE7F3"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620" w:type="dxa"/>
            <w:tcBorders>
              <w:top w:val="nil"/>
              <w:left w:val="nil"/>
              <w:bottom w:val="single" w:sz="8" w:space="0" w:color="auto"/>
              <w:right w:val="single" w:sz="8" w:space="0" w:color="auto"/>
            </w:tcBorders>
            <w:shd w:val="clear" w:color="auto" w:fill="auto"/>
            <w:noWrap/>
            <w:vAlign w:val="bottom"/>
            <w:hideMark/>
          </w:tcPr>
          <w:p w14:paraId="14181498"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7ADAD159" w14:textId="74253638"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232 935 000 </w:t>
            </w:r>
          </w:p>
        </w:tc>
      </w:tr>
      <w:tr w:rsidR="00CA067E" w:rsidRPr="00CA067E" w14:paraId="3D468EEE"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4DA8AF7B"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24</w:t>
            </w:r>
          </w:p>
        </w:tc>
        <w:tc>
          <w:tcPr>
            <w:tcW w:w="1300" w:type="dxa"/>
            <w:tcBorders>
              <w:top w:val="nil"/>
              <w:left w:val="nil"/>
              <w:bottom w:val="single" w:sz="8" w:space="0" w:color="auto"/>
              <w:right w:val="single" w:sz="8" w:space="0" w:color="auto"/>
            </w:tcBorders>
            <w:shd w:val="clear" w:color="auto" w:fill="auto"/>
            <w:noWrap/>
            <w:vAlign w:val="bottom"/>
            <w:hideMark/>
          </w:tcPr>
          <w:p w14:paraId="5B60E76F"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081127797Y</w:t>
            </w:r>
          </w:p>
        </w:tc>
        <w:tc>
          <w:tcPr>
            <w:tcW w:w="1349" w:type="dxa"/>
            <w:tcBorders>
              <w:top w:val="nil"/>
              <w:left w:val="nil"/>
              <w:bottom w:val="single" w:sz="8" w:space="0" w:color="auto"/>
              <w:right w:val="single" w:sz="8" w:space="0" w:color="auto"/>
            </w:tcBorders>
            <w:shd w:val="clear" w:color="auto" w:fill="auto"/>
            <w:noWrap/>
            <w:vAlign w:val="bottom"/>
            <w:hideMark/>
          </w:tcPr>
          <w:p w14:paraId="2F9B80CA"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 xml:space="preserve">KOFI.SA </w:t>
            </w:r>
          </w:p>
        </w:tc>
        <w:tc>
          <w:tcPr>
            <w:tcW w:w="1673" w:type="dxa"/>
            <w:tcBorders>
              <w:top w:val="nil"/>
              <w:left w:val="nil"/>
              <w:bottom w:val="single" w:sz="8" w:space="0" w:color="auto"/>
              <w:right w:val="single" w:sz="8" w:space="0" w:color="auto"/>
            </w:tcBorders>
            <w:shd w:val="clear" w:color="auto" w:fill="auto"/>
            <w:noWrap/>
            <w:vAlign w:val="bottom"/>
            <w:hideMark/>
          </w:tcPr>
          <w:p w14:paraId="7BA89BB2"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Exploitation Or</w:t>
            </w:r>
          </w:p>
        </w:tc>
        <w:tc>
          <w:tcPr>
            <w:tcW w:w="1660" w:type="dxa"/>
            <w:tcBorders>
              <w:top w:val="nil"/>
              <w:left w:val="nil"/>
              <w:bottom w:val="single" w:sz="8" w:space="0" w:color="auto"/>
              <w:right w:val="single" w:sz="8" w:space="0" w:color="auto"/>
            </w:tcBorders>
            <w:shd w:val="clear" w:color="auto" w:fill="auto"/>
            <w:noWrap/>
            <w:vAlign w:val="bottom"/>
            <w:hideMark/>
          </w:tcPr>
          <w:p w14:paraId="0E6A0576"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w:t>
            </w:r>
          </w:p>
        </w:tc>
        <w:tc>
          <w:tcPr>
            <w:tcW w:w="1628" w:type="dxa"/>
            <w:tcBorders>
              <w:top w:val="nil"/>
              <w:left w:val="nil"/>
              <w:bottom w:val="single" w:sz="8" w:space="0" w:color="auto"/>
              <w:right w:val="single" w:sz="8" w:space="0" w:color="auto"/>
            </w:tcBorders>
            <w:shd w:val="clear" w:color="auto" w:fill="auto"/>
            <w:noWrap/>
            <w:vAlign w:val="bottom"/>
            <w:hideMark/>
          </w:tcPr>
          <w:p w14:paraId="146034D8" w14:textId="1CAFFC79"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49D8060E"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7F6D1AC7"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17A94061"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620" w:type="dxa"/>
            <w:tcBorders>
              <w:top w:val="nil"/>
              <w:left w:val="nil"/>
              <w:bottom w:val="single" w:sz="8" w:space="0" w:color="auto"/>
              <w:right w:val="single" w:sz="8" w:space="0" w:color="auto"/>
            </w:tcBorders>
            <w:shd w:val="clear" w:color="auto" w:fill="auto"/>
            <w:noWrap/>
            <w:vAlign w:val="bottom"/>
            <w:hideMark/>
          </w:tcPr>
          <w:p w14:paraId="531774EC"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45ED579A"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r>
      <w:tr w:rsidR="00CA067E" w:rsidRPr="00CA067E" w14:paraId="178200C5"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56E60E16"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 </w:t>
            </w:r>
          </w:p>
        </w:tc>
        <w:tc>
          <w:tcPr>
            <w:tcW w:w="1300" w:type="dxa"/>
            <w:tcBorders>
              <w:top w:val="nil"/>
              <w:left w:val="nil"/>
              <w:bottom w:val="single" w:sz="8" w:space="0" w:color="auto"/>
              <w:right w:val="single" w:sz="8" w:space="0" w:color="auto"/>
            </w:tcBorders>
            <w:shd w:val="clear" w:color="auto" w:fill="auto"/>
            <w:noWrap/>
            <w:vAlign w:val="bottom"/>
            <w:hideMark/>
          </w:tcPr>
          <w:p w14:paraId="52B742B9" w14:textId="77777777" w:rsidR="00CA067E" w:rsidRPr="00CA067E" w:rsidRDefault="00CA067E" w:rsidP="00CA067E">
            <w:pPr>
              <w:jc w:val="right"/>
              <w:rPr>
                <w:rFonts w:ascii="Tw Cen MT" w:hAnsi="Tw Cen MT" w:cs="Calibri"/>
                <w:color w:val="000000"/>
                <w:lang w:eastAsia="fr-FR"/>
              </w:rPr>
            </w:pPr>
            <w:r w:rsidRPr="00851ED2">
              <w:rPr>
                <w:rFonts w:ascii="Tw Cen MT" w:hAnsi="Tw Cen MT" w:cs="Calibri"/>
                <w:lang w:eastAsia="fr-FR"/>
              </w:rPr>
              <w:t>084122677T</w:t>
            </w:r>
          </w:p>
        </w:tc>
        <w:tc>
          <w:tcPr>
            <w:tcW w:w="1349" w:type="dxa"/>
            <w:tcBorders>
              <w:top w:val="nil"/>
              <w:left w:val="nil"/>
              <w:bottom w:val="single" w:sz="8" w:space="0" w:color="auto"/>
              <w:right w:val="single" w:sz="8" w:space="0" w:color="auto"/>
            </w:tcBorders>
            <w:shd w:val="clear" w:color="auto" w:fill="auto"/>
            <w:noWrap/>
            <w:vAlign w:val="bottom"/>
            <w:hideMark/>
          </w:tcPr>
          <w:p w14:paraId="5B87A027"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TIMBUCTU</w:t>
            </w:r>
          </w:p>
        </w:tc>
        <w:tc>
          <w:tcPr>
            <w:tcW w:w="1673" w:type="dxa"/>
            <w:tcBorders>
              <w:top w:val="nil"/>
              <w:left w:val="nil"/>
              <w:bottom w:val="single" w:sz="8" w:space="0" w:color="auto"/>
              <w:right w:val="single" w:sz="8" w:space="0" w:color="auto"/>
            </w:tcBorders>
            <w:shd w:val="clear" w:color="auto" w:fill="auto"/>
            <w:noWrap/>
            <w:vAlign w:val="bottom"/>
            <w:hideMark/>
          </w:tcPr>
          <w:p w14:paraId="7D17D60D"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Recherche Litium</w:t>
            </w:r>
          </w:p>
        </w:tc>
        <w:tc>
          <w:tcPr>
            <w:tcW w:w="1660" w:type="dxa"/>
            <w:tcBorders>
              <w:top w:val="nil"/>
              <w:left w:val="nil"/>
              <w:bottom w:val="single" w:sz="8" w:space="0" w:color="auto"/>
              <w:right w:val="single" w:sz="8" w:space="0" w:color="auto"/>
            </w:tcBorders>
            <w:shd w:val="clear" w:color="auto" w:fill="auto"/>
            <w:noWrap/>
            <w:vAlign w:val="bottom"/>
            <w:hideMark/>
          </w:tcPr>
          <w:p w14:paraId="167BA16B"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w:t>
            </w:r>
          </w:p>
        </w:tc>
        <w:tc>
          <w:tcPr>
            <w:tcW w:w="1628" w:type="dxa"/>
            <w:tcBorders>
              <w:top w:val="nil"/>
              <w:left w:val="nil"/>
              <w:bottom w:val="single" w:sz="8" w:space="0" w:color="auto"/>
              <w:right w:val="single" w:sz="8" w:space="0" w:color="auto"/>
            </w:tcBorders>
            <w:shd w:val="clear" w:color="auto" w:fill="auto"/>
            <w:noWrap/>
            <w:vAlign w:val="bottom"/>
            <w:hideMark/>
          </w:tcPr>
          <w:p w14:paraId="1FEC408B" w14:textId="02949511"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4574D097"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110 000 000 </w:t>
            </w:r>
          </w:p>
        </w:tc>
        <w:tc>
          <w:tcPr>
            <w:tcW w:w="1300" w:type="dxa"/>
            <w:tcBorders>
              <w:top w:val="nil"/>
              <w:left w:val="nil"/>
              <w:bottom w:val="single" w:sz="8" w:space="0" w:color="auto"/>
              <w:right w:val="single" w:sz="8" w:space="0" w:color="auto"/>
            </w:tcBorders>
            <w:shd w:val="clear" w:color="auto" w:fill="auto"/>
            <w:noWrap/>
            <w:vAlign w:val="bottom"/>
            <w:hideMark/>
          </w:tcPr>
          <w:p w14:paraId="2D72FE42"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2F90F5CE"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620" w:type="dxa"/>
            <w:tcBorders>
              <w:top w:val="nil"/>
              <w:left w:val="nil"/>
              <w:bottom w:val="single" w:sz="8" w:space="0" w:color="auto"/>
              <w:right w:val="single" w:sz="8" w:space="0" w:color="auto"/>
            </w:tcBorders>
            <w:shd w:val="clear" w:color="auto" w:fill="auto"/>
            <w:noWrap/>
            <w:vAlign w:val="bottom"/>
            <w:hideMark/>
          </w:tcPr>
          <w:p w14:paraId="6732B2C8"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1F017F6B" w14:textId="4441DF3F"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110 000 000 </w:t>
            </w:r>
          </w:p>
        </w:tc>
      </w:tr>
      <w:tr w:rsidR="00CA067E" w:rsidRPr="00CA067E" w14:paraId="5044F1A1" w14:textId="77777777" w:rsidTr="00851ED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71643152"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 </w:t>
            </w:r>
          </w:p>
        </w:tc>
        <w:tc>
          <w:tcPr>
            <w:tcW w:w="1300" w:type="dxa"/>
            <w:tcBorders>
              <w:top w:val="nil"/>
              <w:left w:val="nil"/>
              <w:bottom w:val="single" w:sz="8" w:space="0" w:color="auto"/>
              <w:right w:val="single" w:sz="8" w:space="0" w:color="auto"/>
            </w:tcBorders>
            <w:shd w:val="clear" w:color="auto" w:fill="auto"/>
            <w:noWrap/>
            <w:vAlign w:val="bottom"/>
            <w:hideMark/>
          </w:tcPr>
          <w:p w14:paraId="2BC519FD" w14:textId="77777777"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087800027J</w:t>
            </w:r>
          </w:p>
        </w:tc>
        <w:tc>
          <w:tcPr>
            <w:tcW w:w="1349" w:type="dxa"/>
            <w:tcBorders>
              <w:top w:val="nil"/>
              <w:left w:val="nil"/>
              <w:bottom w:val="single" w:sz="8" w:space="0" w:color="auto"/>
              <w:right w:val="single" w:sz="8" w:space="0" w:color="auto"/>
            </w:tcBorders>
            <w:shd w:val="clear" w:color="auto" w:fill="auto"/>
            <w:noWrap/>
            <w:vAlign w:val="bottom"/>
            <w:hideMark/>
          </w:tcPr>
          <w:p w14:paraId="4382DAD9"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COVEC SA</w:t>
            </w:r>
          </w:p>
        </w:tc>
        <w:tc>
          <w:tcPr>
            <w:tcW w:w="1673" w:type="dxa"/>
            <w:tcBorders>
              <w:top w:val="nil"/>
              <w:left w:val="nil"/>
              <w:bottom w:val="single" w:sz="8" w:space="0" w:color="auto"/>
              <w:right w:val="single" w:sz="8" w:space="0" w:color="auto"/>
            </w:tcBorders>
            <w:shd w:val="clear" w:color="auto" w:fill="auto"/>
            <w:noWrap/>
            <w:vAlign w:val="bottom"/>
            <w:hideMark/>
          </w:tcPr>
          <w:p w14:paraId="0E128BCE" w14:textId="77777777" w:rsidR="00CA067E" w:rsidRPr="00CA067E" w:rsidRDefault="00CA067E" w:rsidP="00CA067E">
            <w:pPr>
              <w:rPr>
                <w:rFonts w:ascii="Tw Cen MT" w:hAnsi="Tw Cen MT" w:cs="Calibri"/>
                <w:color w:val="000000"/>
                <w:lang w:eastAsia="fr-FR"/>
              </w:rPr>
            </w:pPr>
            <w:r w:rsidRPr="00CA067E">
              <w:rPr>
                <w:rFonts w:ascii="Tw Cen MT" w:hAnsi="Tw Cen MT" w:cs="Calibri"/>
                <w:color w:val="000000"/>
                <w:lang w:eastAsia="fr-FR"/>
              </w:rPr>
              <w:t>Exploitation Dolérite</w:t>
            </w:r>
          </w:p>
        </w:tc>
        <w:tc>
          <w:tcPr>
            <w:tcW w:w="1660" w:type="dxa"/>
            <w:tcBorders>
              <w:top w:val="nil"/>
              <w:left w:val="nil"/>
              <w:bottom w:val="single" w:sz="8" w:space="0" w:color="auto"/>
              <w:right w:val="single" w:sz="8" w:space="0" w:color="auto"/>
            </w:tcBorders>
            <w:shd w:val="clear" w:color="auto" w:fill="auto"/>
            <w:noWrap/>
            <w:vAlign w:val="bottom"/>
            <w:hideMark/>
          </w:tcPr>
          <w:p w14:paraId="788A108F" w14:textId="445E2B70"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6 035 231 690 </w:t>
            </w:r>
          </w:p>
        </w:tc>
        <w:tc>
          <w:tcPr>
            <w:tcW w:w="1628" w:type="dxa"/>
            <w:tcBorders>
              <w:top w:val="nil"/>
              <w:left w:val="nil"/>
              <w:bottom w:val="single" w:sz="8" w:space="0" w:color="auto"/>
              <w:right w:val="single" w:sz="8" w:space="0" w:color="auto"/>
            </w:tcBorders>
            <w:shd w:val="clear" w:color="auto" w:fill="auto"/>
            <w:noWrap/>
            <w:vAlign w:val="bottom"/>
            <w:hideMark/>
          </w:tcPr>
          <w:p w14:paraId="63AA3D07" w14:textId="15778692" w:rsidR="00CA067E" w:rsidRPr="00CA067E" w:rsidRDefault="00CA067E" w:rsidP="00CA067E">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14F411C8"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300" w:type="dxa"/>
            <w:tcBorders>
              <w:top w:val="nil"/>
              <w:left w:val="nil"/>
              <w:bottom w:val="single" w:sz="8" w:space="0" w:color="auto"/>
              <w:right w:val="single" w:sz="8" w:space="0" w:color="auto"/>
            </w:tcBorders>
            <w:shd w:val="clear" w:color="auto" w:fill="auto"/>
            <w:noWrap/>
            <w:vAlign w:val="bottom"/>
            <w:hideMark/>
          </w:tcPr>
          <w:p w14:paraId="725AF022"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60" w:type="dxa"/>
            <w:tcBorders>
              <w:top w:val="nil"/>
              <w:left w:val="nil"/>
              <w:bottom w:val="single" w:sz="8" w:space="0" w:color="auto"/>
              <w:right w:val="single" w:sz="8" w:space="0" w:color="auto"/>
            </w:tcBorders>
            <w:shd w:val="clear" w:color="auto" w:fill="auto"/>
            <w:noWrap/>
            <w:vAlign w:val="bottom"/>
            <w:hideMark/>
          </w:tcPr>
          <w:p w14:paraId="25BB3753"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620" w:type="dxa"/>
            <w:tcBorders>
              <w:top w:val="nil"/>
              <w:left w:val="nil"/>
              <w:bottom w:val="single" w:sz="8" w:space="0" w:color="auto"/>
              <w:right w:val="single" w:sz="8" w:space="0" w:color="auto"/>
            </w:tcBorders>
            <w:shd w:val="clear" w:color="auto" w:fill="auto"/>
            <w:noWrap/>
            <w:vAlign w:val="bottom"/>
            <w:hideMark/>
          </w:tcPr>
          <w:p w14:paraId="1A461F15" w14:textId="77777777"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     -   </w:t>
            </w:r>
          </w:p>
        </w:tc>
        <w:tc>
          <w:tcPr>
            <w:tcW w:w="1599" w:type="dxa"/>
            <w:tcBorders>
              <w:top w:val="nil"/>
              <w:left w:val="nil"/>
              <w:bottom w:val="single" w:sz="8" w:space="0" w:color="auto"/>
              <w:right w:val="single" w:sz="8" w:space="0" w:color="auto"/>
            </w:tcBorders>
            <w:shd w:val="clear" w:color="auto" w:fill="auto"/>
            <w:noWrap/>
            <w:vAlign w:val="bottom"/>
            <w:hideMark/>
          </w:tcPr>
          <w:p w14:paraId="0F231763" w14:textId="66624596" w:rsidR="00CA067E" w:rsidRPr="00CA067E" w:rsidRDefault="00CA067E" w:rsidP="00851ED2">
            <w:pPr>
              <w:jc w:val="right"/>
              <w:rPr>
                <w:rFonts w:ascii="Tw Cen MT" w:hAnsi="Tw Cen MT" w:cs="Calibri"/>
                <w:color w:val="000000"/>
                <w:lang w:eastAsia="fr-FR"/>
              </w:rPr>
            </w:pPr>
            <w:r w:rsidRPr="00CA067E">
              <w:rPr>
                <w:rFonts w:ascii="Tw Cen MT" w:hAnsi="Tw Cen MT" w:cs="Calibri"/>
                <w:color w:val="000000"/>
                <w:lang w:eastAsia="fr-FR"/>
              </w:rPr>
              <w:t xml:space="preserve">6 035 231 690 </w:t>
            </w:r>
          </w:p>
        </w:tc>
      </w:tr>
      <w:tr w:rsidR="00CA067E" w:rsidRPr="00851ED2" w14:paraId="4E92BC1F" w14:textId="77777777" w:rsidTr="00851ED2">
        <w:trPr>
          <w:trHeight w:val="315"/>
        </w:trPr>
        <w:tc>
          <w:tcPr>
            <w:tcW w:w="460" w:type="dxa"/>
            <w:tcBorders>
              <w:top w:val="nil"/>
              <w:left w:val="single" w:sz="8" w:space="0" w:color="auto"/>
              <w:bottom w:val="single" w:sz="8" w:space="0" w:color="auto"/>
              <w:right w:val="single" w:sz="8" w:space="0" w:color="auto"/>
            </w:tcBorders>
            <w:shd w:val="clear" w:color="000000" w:fill="00B0F0"/>
            <w:noWrap/>
            <w:vAlign w:val="bottom"/>
            <w:hideMark/>
          </w:tcPr>
          <w:p w14:paraId="7FF67DF5" w14:textId="77777777" w:rsidR="00CA067E" w:rsidRPr="00CA067E" w:rsidRDefault="00CA067E" w:rsidP="00CA067E">
            <w:pPr>
              <w:jc w:val="right"/>
              <w:rPr>
                <w:rFonts w:ascii="Tw Cen MT" w:hAnsi="Tw Cen MT" w:cs="Calibri"/>
                <w:b/>
                <w:bCs/>
                <w:color w:val="FFFFFF"/>
                <w:lang w:eastAsia="fr-FR"/>
              </w:rPr>
            </w:pPr>
            <w:r w:rsidRPr="00CA067E">
              <w:rPr>
                <w:rFonts w:ascii="Tw Cen MT" w:hAnsi="Tw Cen MT" w:cs="Calibri"/>
                <w:b/>
                <w:bCs/>
                <w:color w:val="FFFFFF"/>
                <w:lang w:eastAsia="fr-FR"/>
              </w:rPr>
              <w:t> </w:t>
            </w:r>
          </w:p>
        </w:tc>
        <w:tc>
          <w:tcPr>
            <w:tcW w:w="1300" w:type="dxa"/>
            <w:tcBorders>
              <w:top w:val="nil"/>
              <w:left w:val="nil"/>
              <w:bottom w:val="single" w:sz="8" w:space="0" w:color="auto"/>
              <w:right w:val="single" w:sz="8" w:space="0" w:color="auto"/>
            </w:tcBorders>
            <w:shd w:val="clear" w:color="000000" w:fill="00B0F0"/>
            <w:noWrap/>
            <w:vAlign w:val="bottom"/>
            <w:hideMark/>
          </w:tcPr>
          <w:p w14:paraId="2E4B235B" w14:textId="77777777" w:rsidR="00CA067E" w:rsidRPr="00CA067E" w:rsidRDefault="00CA067E" w:rsidP="00CA067E">
            <w:pPr>
              <w:jc w:val="right"/>
              <w:rPr>
                <w:rFonts w:ascii="Tw Cen MT" w:hAnsi="Tw Cen MT" w:cs="Calibri"/>
                <w:b/>
                <w:bCs/>
                <w:color w:val="FFFFFF"/>
                <w:lang w:eastAsia="fr-FR"/>
              </w:rPr>
            </w:pPr>
            <w:r w:rsidRPr="00CA067E">
              <w:rPr>
                <w:rFonts w:ascii="Tw Cen MT" w:hAnsi="Tw Cen MT" w:cs="Calibri"/>
                <w:b/>
                <w:bCs/>
                <w:color w:val="FFFFFF"/>
                <w:lang w:eastAsia="fr-FR"/>
              </w:rPr>
              <w:t> </w:t>
            </w:r>
          </w:p>
        </w:tc>
        <w:tc>
          <w:tcPr>
            <w:tcW w:w="1349" w:type="dxa"/>
            <w:tcBorders>
              <w:top w:val="nil"/>
              <w:left w:val="nil"/>
              <w:bottom w:val="single" w:sz="8" w:space="0" w:color="auto"/>
              <w:right w:val="single" w:sz="8" w:space="0" w:color="auto"/>
            </w:tcBorders>
            <w:shd w:val="clear" w:color="000000" w:fill="00B0F0"/>
            <w:noWrap/>
            <w:vAlign w:val="bottom"/>
            <w:hideMark/>
          </w:tcPr>
          <w:p w14:paraId="13981D92" w14:textId="77777777" w:rsidR="00CA067E" w:rsidRPr="00CA067E" w:rsidRDefault="00CA067E" w:rsidP="00CA067E">
            <w:pPr>
              <w:rPr>
                <w:rFonts w:ascii="Tw Cen MT" w:hAnsi="Tw Cen MT" w:cs="Calibri"/>
                <w:b/>
                <w:bCs/>
                <w:color w:val="FFFFFF"/>
                <w:lang w:eastAsia="fr-FR"/>
              </w:rPr>
            </w:pPr>
            <w:r w:rsidRPr="00CA067E">
              <w:rPr>
                <w:rFonts w:ascii="Tw Cen MT" w:hAnsi="Tw Cen MT" w:cs="Calibri"/>
                <w:b/>
                <w:bCs/>
                <w:color w:val="FFFFFF"/>
                <w:lang w:eastAsia="fr-FR"/>
              </w:rPr>
              <w:t> </w:t>
            </w:r>
          </w:p>
        </w:tc>
        <w:tc>
          <w:tcPr>
            <w:tcW w:w="1673" w:type="dxa"/>
            <w:tcBorders>
              <w:top w:val="nil"/>
              <w:left w:val="nil"/>
              <w:bottom w:val="single" w:sz="8" w:space="0" w:color="auto"/>
              <w:right w:val="single" w:sz="8" w:space="0" w:color="auto"/>
            </w:tcBorders>
            <w:shd w:val="clear" w:color="000000" w:fill="00B0F0"/>
            <w:noWrap/>
            <w:vAlign w:val="bottom"/>
            <w:hideMark/>
          </w:tcPr>
          <w:p w14:paraId="4DB336C4" w14:textId="77777777" w:rsidR="00CA067E" w:rsidRPr="00CA067E" w:rsidRDefault="00CA067E" w:rsidP="00CA067E">
            <w:pPr>
              <w:rPr>
                <w:rFonts w:ascii="Tw Cen MT" w:hAnsi="Tw Cen MT" w:cs="Calibri"/>
                <w:b/>
                <w:bCs/>
                <w:color w:val="FFFFFF"/>
                <w:lang w:eastAsia="fr-FR"/>
              </w:rPr>
            </w:pPr>
            <w:r w:rsidRPr="00CA067E">
              <w:rPr>
                <w:rFonts w:ascii="Tw Cen MT" w:hAnsi="Tw Cen MT" w:cs="Calibri"/>
                <w:b/>
                <w:bCs/>
                <w:color w:val="FFFFFF"/>
                <w:lang w:eastAsia="fr-FR"/>
              </w:rPr>
              <w:t> </w:t>
            </w:r>
          </w:p>
        </w:tc>
        <w:tc>
          <w:tcPr>
            <w:tcW w:w="1660" w:type="dxa"/>
            <w:tcBorders>
              <w:top w:val="nil"/>
              <w:left w:val="nil"/>
              <w:bottom w:val="single" w:sz="8" w:space="0" w:color="auto"/>
              <w:right w:val="single" w:sz="8" w:space="0" w:color="auto"/>
            </w:tcBorders>
            <w:shd w:val="clear" w:color="000000" w:fill="00B0F0"/>
            <w:noWrap/>
            <w:vAlign w:val="bottom"/>
            <w:hideMark/>
          </w:tcPr>
          <w:p w14:paraId="6F48D70A" w14:textId="38CD6E3F" w:rsidR="00CA067E" w:rsidRPr="00CA067E" w:rsidRDefault="00CA067E" w:rsidP="00851ED2">
            <w:pPr>
              <w:jc w:val="right"/>
              <w:rPr>
                <w:rFonts w:ascii="Tw Cen MT" w:hAnsi="Tw Cen MT" w:cs="Calibri"/>
                <w:b/>
                <w:bCs/>
                <w:color w:val="FFFFFF"/>
                <w:lang w:eastAsia="fr-FR"/>
              </w:rPr>
            </w:pPr>
            <w:r w:rsidRPr="00CA067E">
              <w:rPr>
                <w:rFonts w:ascii="Tw Cen MT" w:hAnsi="Tw Cen MT" w:cs="Calibri"/>
                <w:b/>
                <w:bCs/>
                <w:color w:val="FFFFFF"/>
                <w:lang w:eastAsia="fr-FR"/>
              </w:rPr>
              <w:t xml:space="preserve">244 743 560 067 </w:t>
            </w:r>
          </w:p>
        </w:tc>
        <w:tc>
          <w:tcPr>
            <w:tcW w:w="1628" w:type="dxa"/>
            <w:tcBorders>
              <w:top w:val="nil"/>
              <w:left w:val="nil"/>
              <w:bottom w:val="single" w:sz="8" w:space="0" w:color="auto"/>
              <w:right w:val="single" w:sz="8" w:space="0" w:color="auto"/>
            </w:tcBorders>
            <w:shd w:val="clear" w:color="000000" w:fill="00B0F0"/>
            <w:noWrap/>
            <w:vAlign w:val="bottom"/>
            <w:hideMark/>
          </w:tcPr>
          <w:p w14:paraId="586E92AB" w14:textId="2752D654" w:rsidR="00CA067E" w:rsidRPr="00CA067E" w:rsidRDefault="00CA067E" w:rsidP="00851ED2">
            <w:pPr>
              <w:jc w:val="right"/>
              <w:rPr>
                <w:rFonts w:ascii="Tw Cen MT" w:hAnsi="Tw Cen MT" w:cs="Calibri"/>
                <w:b/>
                <w:bCs/>
                <w:color w:val="FFFFFF"/>
                <w:lang w:eastAsia="fr-FR"/>
              </w:rPr>
            </w:pPr>
            <w:r w:rsidRPr="00CA067E">
              <w:rPr>
                <w:rFonts w:ascii="Tw Cen MT" w:hAnsi="Tw Cen MT" w:cs="Calibri"/>
                <w:b/>
                <w:bCs/>
                <w:color w:val="FFFFFF"/>
                <w:lang w:eastAsia="fr-FR"/>
              </w:rPr>
              <w:t xml:space="preserve">63 132 159 643 </w:t>
            </w:r>
          </w:p>
        </w:tc>
        <w:tc>
          <w:tcPr>
            <w:tcW w:w="1300" w:type="dxa"/>
            <w:tcBorders>
              <w:top w:val="nil"/>
              <w:left w:val="nil"/>
              <w:bottom w:val="single" w:sz="8" w:space="0" w:color="auto"/>
              <w:right w:val="single" w:sz="8" w:space="0" w:color="auto"/>
            </w:tcBorders>
            <w:shd w:val="clear" w:color="000000" w:fill="00B0F0"/>
            <w:noWrap/>
            <w:vAlign w:val="bottom"/>
            <w:hideMark/>
          </w:tcPr>
          <w:p w14:paraId="24FD83AA" w14:textId="7D6FB33C" w:rsidR="00CA067E" w:rsidRPr="00CA067E" w:rsidRDefault="00CA067E" w:rsidP="00851ED2">
            <w:pPr>
              <w:jc w:val="right"/>
              <w:rPr>
                <w:rFonts w:ascii="Tw Cen MT" w:hAnsi="Tw Cen MT" w:cs="Calibri"/>
                <w:b/>
                <w:bCs/>
                <w:color w:val="FFFFFF"/>
                <w:lang w:eastAsia="fr-FR"/>
              </w:rPr>
            </w:pPr>
            <w:r w:rsidRPr="00CA067E">
              <w:rPr>
                <w:rFonts w:ascii="Tw Cen MT" w:hAnsi="Tw Cen MT" w:cs="Calibri"/>
                <w:b/>
                <w:bCs/>
                <w:color w:val="FFFFFF"/>
                <w:lang w:eastAsia="fr-FR"/>
              </w:rPr>
              <w:t xml:space="preserve">215 708 215 </w:t>
            </w:r>
          </w:p>
        </w:tc>
        <w:tc>
          <w:tcPr>
            <w:tcW w:w="1300" w:type="dxa"/>
            <w:tcBorders>
              <w:top w:val="nil"/>
              <w:left w:val="nil"/>
              <w:bottom w:val="single" w:sz="8" w:space="0" w:color="auto"/>
              <w:right w:val="single" w:sz="8" w:space="0" w:color="auto"/>
            </w:tcBorders>
            <w:shd w:val="clear" w:color="000000" w:fill="00B0F0"/>
            <w:noWrap/>
            <w:vAlign w:val="bottom"/>
            <w:hideMark/>
          </w:tcPr>
          <w:p w14:paraId="2CB0C68F" w14:textId="79406563" w:rsidR="00CA067E" w:rsidRPr="00CA067E" w:rsidRDefault="00CA067E" w:rsidP="00851ED2">
            <w:pPr>
              <w:jc w:val="right"/>
              <w:rPr>
                <w:rFonts w:ascii="Tw Cen MT" w:hAnsi="Tw Cen MT" w:cs="Calibri"/>
                <w:b/>
                <w:bCs/>
                <w:color w:val="FFFFFF"/>
                <w:lang w:eastAsia="fr-FR"/>
              </w:rPr>
            </w:pPr>
            <w:r w:rsidRPr="00CA067E">
              <w:rPr>
                <w:rFonts w:ascii="Tw Cen MT" w:hAnsi="Tw Cen MT" w:cs="Calibri"/>
                <w:b/>
                <w:bCs/>
                <w:color w:val="FFFFFF"/>
                <w:lang w:eastAsia="fr-FR"/>
              </w:rPr>
              <w:t xml:space="preserve">232 935 000 </w:t>
            </w:r>
          </w:p>
        </w:tc>
        <w:tc>
          <w:tcPr>
            <w:tcW w:w="1560" w:type="dxa"/>
            <w:tcBorders>
              <w:top w:val="nil"/>
              <w:left w:val="nil"/>
              <w:bottom w:val="single" w:sz="8" w:space="0" w:color="auto"/>
              <w:right w:val="single" w:sz="8" w:space="0" w:color="auto"/>
            </w:tcBorders>
            <w:shd w:val="clear" w:color="000000" w:fill="00B0F0"/>
            <w:noWrap/>
            <w:vAlign w:val="bottom"/>
            <w:hideMark/>
          </w:tcPr>
          <w:p w14:paraId="14BE1F76" w14:textId="274E079C" w:rsidR="00CA067E" w:rsidRPr="00CA067E" w:rsidRDefault="00CA067E" w:rsidP="00851ED2">
            <w:pPr>
              <w:jc w:val="right"/>
              <w:rPr>
                <w:rFonts w:ascii="Tw Cen MT" w:hAnsi="Tw Cen MT" w:cs="Calibri"/>
                <w:b/>
                <w:bCs/>
                <w:color w:val="FFFFFF"/>
                <w:lang w:eastAsia="fr-FR"/>
              </w:rPr>
            </w:pPr>
            <w:r w:rsidRPr="00CA067E">
              <w:rPr>
                <w:rFonts w:ascii="Tw Cen MT" w:hAnsi="Tw Cen MT" w:cs="Calibri"/>
                <w:b/>
                <w:bCs/>
                <w:color w:val="FFFFFF"/>
                <w:lang w:eastAsia="fr-FR"/>
              </w:rPr>
              <w:t xml:space="preserve">33 365 996 576 </w:t>
            </w:r>
          </w:p>
        </w:tc>
        <w:tc>
          <w:tcPr>
            <w:tcW w:w="620" w:type="dxa"/>
            <w:tcBorders>
              <w:top w:val="nil"/>
              <w:left w:val="nil"/>
              <w:bottom w:val="single" w:sz="8" w:space="0" w:color="auto"/>
              <w:right w:val="single" w:sz="8" w:space="0" w:color="auto"/>
            </w:tcBorders>
            <w:shd w:val="clear" w:color="000000" w:fill="00B0F0"/>
            <w:noWrap/>
            <w:vAlign w:val="bottom"/>
            <w:hideMark/>
          </w:tcPr>
          <w:p w14:paraId="5CC9BE98" w14:textId="77777777" w:rsidR="00CA067E" w:rsidRPr="00CA067E" w:rsidRDefault="00CA067E" w:rsidP="00851ED2">
            <w:pPr>
              <w:jc w:val="right"/>
              <w:rPr>
                <w:rFonts w:ascii="Tw Cen MT" w:hAnsi="Tw Cen MT" w:cs="Calibri"/>
                <w:b/>
                <w:bCs/>
                <w:color w:val="FFFFFF"/>
                <w:lang w:eastAsia="fr-FR"/>
              </w:rPr>
            </w:pPr>
            <w:r w:rsidRPr="00CA067E">
              <w:rPr>
                <w:rFonts w:ascii="Tw Cen MT" w:hAnsi="Tw Cen MT" w:cs="Calibri"/>
                <w:b/>
                <w:bCs/>
                <w:color w:val="FFFFFF"/>
                <w:lang w:eastAsia="fr-FR"/>
              </w:rPr>
              <w:t xml:space="preserve">       -   </w:t>
            </w:r>
          </w:p>
        </w:tc>
        <w:tc>
          <w:tcPr>
            <w:tcW w:w="1599" w:type="dxa"/>
            <w:tcBorders>
              <w:top w:val="nil"/>
              <w:left w:val="nil"/>
              <w:bottom w:val="single" w:sz="8" w:space="0" w:color="auto"/>
              <w:right w:val="single" w:sz="8" w:space="0" w:color="auto"/>
            </w:tcBorders>
            <w:shd w:val="clear" w:color="000000" w:fill="00B0F0"/>
            <w:noWrap/>
            <w:vAlign w:val="bottom"/>
            <w:hideMark/>
          </w:tcPr>
          <w:p w14:paraId="42A1A70F" w14:textId="2EFA96DB" w:rsidR="00CA067E" w:rsidRPr="00CA067E" w:rsidRDefault="00CA067E" w:rsidP="00851ED2">
            <w:pPr>
              <w:jc w:val="right"/>
              <w:rPr>
                <w:rFonts w:ascii="Tw Cen MT" w:hAnsi="Tw Cen MT" w:cs="Calibri"/>
                <w:b/>
                <w:bCs/>
                <w:color w:val="FFFFFF"/>
                <w:lang w:eastAsia="fr-FR"/>
              </w:rPr>
            </w:pPr>
            <w:r w:rsidRPr="00CA067E">
              <w:rPr>
                <w:rFonts w:ascii="Tw Cen MT" w:hAnsi="Tw Cen MT" w:cs="Calibri"/>
                <w:b/>
                <w:bCs/>
                <w:color w:val="FFFFFF"/>
                <w:lang w:eastAsia="fr-FR"/>
              </w:rPr>
              <w:t xml:space="preserve">341 690 359 501 </w:t>
            </w:r>
          </w:p>
        </w:tc>
      </w:tr>
    </w:tbl>
    <w:p w14:paraId="571E29AC" w14:textId="7D7DD6BA" w:rsidR="00F31880" w:rsidRDefault="00F31880" w:rsidP="00B11D3B">
      <w:pPr>
        <w:pStyle w:val="Paragraphedeliste"/>
        <w:numPr>
          <w:ilvl w:val="2"/>
          <w:numId w:val="9"/>
        </w:numPr>
        <w:spacing w:before="240" w:after="240"/>
        <w:contextualSpacing w:val="0"/>
        <w:outlineLvl w:val="1"/>
        <w:rPr>
          <w:rFonts w:ascii="Tw Cen MT" w:hAnsi="Tw Cen MT"/>
          <w:b/>
          <w:iCs/>
          <w:sz w:val="26"/>
          <w:szCs w:val="26"/>
        </w:rPr>
      </w:pPr>
      <w:bookmarkStart w:id="66" w:name="_Toc90999729"/>
      <w:r>
        <w:rPr>
          <w:rFonts w:ascii="Tw Cen MT" w:hAnsi="Tw Cen MT"/>
          <w:b/>
          <w:iCs/>
          <w:sz w:val="26"/>
          <w:szCs w:val="26"/>
        </w:rPr>
        <w:t>Erreurs tolérables</w:t>
      </w:r>
      <w:bookmarkEnd w:id="66"/>
    </w:p>
    <w:p w14:paraId="044EC572" w14:textId="4DA300F2" w:rsidR="00F31880" w:rsidRPr="00DD2CC6" w:rsidRDefault="00F31880" w:rsidP="00DD2CC6">
      <w:pPr>
        <w:pStyle w:val="BodyText"/>
        <w:spacing w:line="276" w:lineRule="auto"/>
        <w:rPr>
          <w:rFonts w:ascii="Tw Cen MT" w:hAnsi="Tw Cen MT"/>
          <w:color w:val="auto"/>
          <w:sz w:val="26"/>
          <w:szCs w:val="26"/>
          <w:lang w:val="fr-FR"/>
        </w:rPr>
      </w:pPr>
      <w:bookmarkStart w:id="67" w:name="_Toc89811017"/>
      <w:bookmarkStart w:id="68" w:name="_Toc89811135"/>
      <w:bookmarkStart w:id="69" w:name="_Toc89811409"/>
      <w:r w:rsidRPr="00DD2CC6">
        <w:rPr>
          <w:rFonts w:ascii="Tw Cen MT" w:hAnsi="Tw Cen MT"/>
          <w:color w:val="auto"/>
          <w:sz w:val="26"/>
          <w:szCs w:val="26"/>
          <w:lang w:val="fr-FR"/>
        </w:rPr>
        <w:t>Nous proposons les écarts tolérables ci-dessous :</w:t>
      </w:r>
      <w:bookmarkEnd w:id="67"/>
      <w:bookmarkEnd w:id="68"/>
      <w:bookmarkEnd w:id="69"/>
    </w:p>
    <w:p w14:paraId="3D7B0787" w14:textId="3FF06AF2" w:rsidR="00F31880" w:rsidRPr="00DD2CC6" w:rsidRDefault="00434319" w:rsidP="00DD2CC6">
      <w:pPr>
        <w:pStyle w:val="BodyText"/>
        <w:numPr>
          <w:ilvl w:val="0"/>
          <w:numId w:val="32"/>
        </w:numPr>
        <w:spacing w:line="276" w:lineRule="auto"/>
        <w:rPr>
          <w:rFonts w:ascii="Tw Cen MT" w:hAnsi="Tw Cen MT"/>
          <w:color w:val="auto"/>
          <w:sz w:val="26"/>
          <w:szCs w:val="26"/>
          <w:lang w:val="fr-FR"/>
        </w:rPr>
      </w:pPr>
      <w:bookmarkStart w:id="70" w:name="_Toc89811018"/>
      <w:bookmarkStart w:id="71" w:name="_Toc89811136"/>
      <w:bookmarkStart w:id="72" w:name="_Toc89811410"/>
      <w:r w:rsidRPr="00DD2CC6">
        <w:rPr>
          <w:rFonts w:ascii="Tw Cen MT" w:hAnsi="Tw Cen MT"/>
          <w:color w:val="auto"/>
          <w:sz w:val="26"/>
          <w:szCs w:val="26"/>
          <w:lang w:val="fr-FR"/>
        </w:rPr>
        <w:t>2</w:t>
      </w:r>
      <w:r w:rsidR="00F31880" w:rsidRPr="00DD2CC6">
        <w:rPr>
          <w:rFonts w:ascii="Tw Cen MT" w:hAnsi="Tw Cen MT"/>
          <w:color w:val="auto"/>
          <w:sz w:val="26"/>
          <w:szCs w:val="26"/>
          <w:lang w:val="fr-FR"/>
        </w:rPr>
        <w:t xml:space="preserve">% du total des recettes extractives reportées par les entités </w:t>
      </w:r>
      <w:r w:rsidR="005565BC" w:rsidRPr="00DD2CC6">
        <w:rPr>
          <w:rFonts w:ascii="Tw Cen MT" w:hAnsi="Tw Cen MT"/>
          <w:color w:val="auto"/>
          <w:sz w:val="26"/>
          <w:szCs w:val="26"/>
          <w:lang w:val="fr-FR"/>
        </w:rPr>
        <w:t>gouvernementales;</w:t>
      </w:r>
      <w:bookmarkEnd w:id="70"/>
      <w:bookmarkEnd w:id="71"/>
      <w:bookmarkEnd w:id="72"/>
    </w:p>
    <w:p w14:paraId="1D03D63C" w14:textId="2657FBE0" w:rsidR="00F31880" w:rsidRPr="00DD2CC6" w:rsidRDefault="00F31880" w:rsidP="00DD2CC6">
      <w:pPr>
        <w:pStyle w:val="BodyText"/>
        <w:numPr>
          <w:ilvl w:val="0"/>
          <w:numId w:val="32"/>
        </w:numPr>
        <w:spacing w:line="276" w:lineRule="auto"/>
        <w:rPr>
          <w:rFonts w:ascii="Tw Cen MT" w:hAnsi="Tw Cen MT"/>
          <w:color w:val="auto"/>
          <w:sz w:val="26"/>
          <w:szCs w:val="26"/>
          <w:lang w:val="fr-FR"/>
        </w:rPr>
      </w:pPr>
      <w:bookmarkStart w:id="73" w:name="_Toc89811019"/>
      <w:bookmarkStart w:id="74" w:name="_Toc89811137"/>
      <w:bookmarkStart w:id="75" w:name="_Toc89811411"/>
      <w:r w:rsidRPr="00DD2CC6">
        <w:rPr>
          <w:rFonts w:ascii="Tw Cen MT" w:hAnsi="Tw Cen MT"/>
          <w:color w:val="auto"/>
          <w:sz w:val="26"/>
          <w:szCs w:val="26"/>
          <w:lang w:val="fr-FR"/>
        </w:rPr>
        <w:t>FCFA 1 000 000 à partir duquel un écart nécessite la collecte des justificatifs nécessaires auprès des parties déclarantes pour pouvoir procéder à son analyse et à son ajustement.</w:t>
      </w:r>
      <w:bookmarkEnd w:id="73"/>
      <w:bookmarkEnd w:id="74"/>
      <w:bookmarkEnd w:id="75"/>
    </w:p>
    <w:p w14:paraId="18667BCC" w14:textId="0134EF09" w:rsidR="00B11D3B" w:rsidRDefault="00B11D3B" w:rsidP="00B11D3B">
      <w:pPr>
        <w:spacing w:after="240"/>
        <w:outlineLvl w:val="1"/>
        <w:rPr>
          <w:rFonts w:ascii="Tw Cen MT" w:hAnsi="Tw Cen MT"/>
          <w:bCs/>
          <w:iCs/>
          <w:sz w:val="26"/>
          <w:szCs w:val="26"/>
        </w:rPr>
      </w:pPr>
    </w:p>
    <w:p w14:paraId="7A2837DD" w14:textId="77777777" w:rsidR="00AB0A2B" w:rsidRDefault="00AB0A2B" w:rsidP="0048041A">
      <w:pPr>
        <w:pStyle w:val="Paragraphedeliste"/>
        <w:numPr>
          <w:ilvl w:val="2"/>
          <w:numId w:val="9"/>
        </w:numPr>
        <w:spacing w:before="240" w:after="240"/>
        <w:contextualSpacing w:val="0"/>
        <w:outlineLvl w:val="1"/>
        <w:rPr>
          <w:rFonts w:ascii="Tw Cen MT" w:hAnsi="Tw Cen MT"/>
          <w:b/>
          <w:iCs/>
          <w:sz w:val="26"/>
          <w:szCs w:val="26"/>
        </w:rPr>
        <w:sectPr w:rsidR="00AB0A2B" w:rsidSect="00097647">
          <w:pgSz w:w="16838" w:h="11906" w:orient="landscape" w:code="9"/>
          <w:pgMar w:top="1418" w:right="1418" w:bottom="1276" w:left="1276" w:header="709" w:footer="709" w:gutter="0"/>
          <w:cols w:space="708"/>
          <w:docGrid w:linePitch="360"/>
        </w:sectPr>
      </w:pPr>
    </w:p>
    <w:p w14:paraId="4AD24923" w14:textId="29749FEE" w:rsidR="00D711BB" w:rsidRPr="00D711BB" w:rsidRDefault="00D711BB" w:rsidP="0048041A">
      <w:pPr>
        <w:pStyle w:val="Paragraphedeliste"/>
        <w:numPr>
          <w:ilvl w:val="2"/>
          <w:numId w:val="9"/>
        </w:numPr>
        <w:spacing w:before="240" w:after="240"/>
        <w:contextualSpacing w:val="0"/>
        <w:outlineLvl w:val="1"/>
        <w:rPr>
          <w:rFonts w:ascii="Tw Cen MT" w:hAnsi="Tw Cen MT"/>
          <w:b/>
          <w:iCs/>
          <w:sz w:val="26"/>
          <w:szCs w:val="26"/>
        </w:rPr>
      </w:pPr>
      <w:bookmarkStart w:id="76" w:name="_Toc90999730"/>
      <w:r w:rsidRPr="00D711BB">
        <w:rPr>
          <w:rFonts w:ascii="Tw Cen MT" w:hAnsi="Tw Cen MT"/>
          <w:b/>
          <w:iCs/>
          <w:sz w:val="26"/>
          <w:szCs w:val="26"/>
        </w:rPr>
        <w:lastRenderedPageBreak/>
        <w:t>Autres données à divulguer</w:t>
      </w:r>
      <w:bookmarkEnd w:id="76"/>
    </w:p>
    <w:p w14:paraId="004CAD71" w14:textId="4478D516" w:rsidR="00D711BB" w:rsidRPr="00DD2CC6" w:rsidRDefault="00D711BB" w:rsidP="00DD2CC6">
      <w:pPr>
        <w:pStyle w:val="BodyText"/>
        <w:spacing w:line="276" w:lineRule="auto"/>
        <w:rPr>
          <w:rFonts w:ascii="Tw Cen MT" w:hAnsi="Tw Cen MT"/>
          <w:color w:val="auto"/>
          <w:sz w:val="26"/>
          <w:szCs w:val="26"/>
          <w:lang w:val="fr-FR"/>
        </w:rPr>
      </w:pPr>
      <w:bookmarkStart w:id="77" w:name="_Toc89811021"/>
      <w:bookmarkStart w:id="78" w:name="_Toc89811139"/>
      <w:bookmarkStart w:id="79" w:name="_Toc89811413"/>
      <w:r w:rsidRPr="00DD2CC6">
        <w:rPr>
          <w:rFonts w:ascii="Tw Cen MT" w:hAnsi="Tw Cen MT"/>
          <w:color w:val="auto"/>
          <w:sz w:val="26"/>
          <w:szCs w:val="26"/>
          <w:lang w:val="fr-FR"/>
        </w:rPr>
        <w:t>En plus des flux de paiements retenus ci-haut, nous proposons au Comité de Pilotage d’inclure dans le formulaire de déclaration les données suivantes :</w:t>
      </w:r>
      <w:bookmarkEnd w:id="77"/>
      <w:bookmarkEnd w:id="78"/>
      <w:bookmarkEnd w:id="79"/>
    </w:p>
    <w:p w14:paraId="6A938C00" w14:textId="0107E346" w:rsidR="00A255CD" w:rsidRPr="00A255CD" w:rsidRDefault="00A255CD" w:rsidP="00A255CD">
      <w:pPr>
        <w:pStyle w:val="Lgende"/>
        <w:rPr>
          <w:rFonts w:ascii="Tw Cen MT" w:hAnsi="Tw Cen MT"/>
          <w:b/>
          <w:bCs/>
          <w:i w:val="0"/>
          <w:iCs w:val="0"/>
          <w:color w:val="auto"/>
          <w:sz w:val="24"/>
          <w:szCs w:val="24"/>
        </w:rPr>
      </w:pPr>
      <w:bookmarkStart w:id="80" w:name="_Toc90995630"/>
      <w:r w:rsidRPr="00A255CD">
        <w:rPr>
          <w:rFonts w:ascii="Tw Cen MT" w:hAnsi="Tw Cen MT"/>
          <w:b/>
          <w:bCs/>
          <w:i w:val="0"/>
          <w:iCs w:val="0"/>
          <w:color w:val="auto"/>
          <w:sz w:val="24"/>
          <w:szCs w:val="24"/>
        </w:rPr>
        <w:t xml:space="preserve">Tableau </w:t>
      </w:r>
      <w:r w:rsidRPr="00A255CD">
        <w:rPr>
          <w:rFonts w:ascii="Tw Cen MT" w:hAnsi="Tw Cen MT"/>
          <w:b/>
          <w:bCs/>
          <w:i w:val="0"/>
          <w:iCs w:val="0"/>
          <w:color w:val="auto"/>
          <w:sz w:val="24"/>
          <w:szCs w:val="24"/>
        </w:rPr>
        <w:fldChar w:fldCharType="begin"/>
      </w:r>
      <w:r w:rsidRPr="00A255CD">
        <w:rPr>
          <w:rFonts w:ascii="Tw Cen MT" w:hAnsi="Tw Cen MT"/>
          <w:b/>
          <w:bCs/>
          <w:i w:val="0"/>
          <w:iCs w:val="0"/>
          <w:color w:val="auto"/>
          <w:sz w:val="24"/>
          <w:szCs w:val="24"/>
        </w:rPr>
        <w:instrText xml:space="preserve"> SEQ Tableau \* ARABIC </w:instrText>
      </w:r>
      <w:r w:rsidRPr="00A255CD">
        <w:rPr>
          <w:rFonts w:ascii="Tw Cen MT" w:hAnsi="Tw Cen MT"/>
          <w:b/>
          <w:bCs/>
          <w:i w:val="0"/>
          <w:iCs w:val="0"/>
          <w:color w:val="auto"/>
          <w:sz w:val="24"/>
          <w:szCs w:val="24"/>
        </w:rPr>
        <w:fldChar w:fldCharType="separate"/>
      </w:r>
      <w:r w:rsidR="00A54243">
        <w:rPr>
          <w:rFonts w:ascii="Tw Cen MT" w:hAnsi="Tw Cen MT"/>
          <w:b/>
          <w:bCs/>
          <w:i w:val="0"/>
          <w:iCs w:val="0"/>
          <w:noProof/>
          <w:color w:val="auto"/>
          <w:sz w:val="24"/>
          <w:szCs w:val="24"/>
        </w:rPr>
        <w:t>8</w:t>
      </w:r>
      <w:r w:rsidRPr="00A255CD">
        <w:rPr>
          <w:rFonts w:ascii="Tw Cen MT" w:hAnsi="Tw Cen MT"/>
          <w:b/>
          <w:bCs/>
          <w:i w:val="0"/>
          <w:iCs w:val="0"/>
          <w:color w:val="auto"/>
          <w:sz w:val="24"/>
          <w:szCs w:val="24"/>
        </w:rPr>
        <w:fldChar w:fldCharType="end"/>
      </w:r>
      <w:r w:rsidRPr="00A255CD">
        <w:rPr>
          <w:rFonts w:ascii="Tw Cen MT" w:hAnsi="Tw Cen MT"/>
          <w:b/>
          <w:bCs/>
          <w:i w:val="0"/>
          <w:iCs w:val="0"/>
          <w:color w:val="auto"/>
          <w:sz w:val="24"/>
          <w:szCs w:val="24"/>
        </w:rPr>
        <w:t> : Liste des autres données à divulguer</w:t>
      </w:r>
      <w:bookmarkEnd w:id="80"/>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371"/>
      </w:tblGrid>
      <w:tr w:rsidR="00D711BB" w:rsidRPr="00B11D3B" w14:paraId="71FFB8BA" w14:textId="77777777" w:rsidTr="00267D1D">
        <w:trPr>
          <w:trHeight w:val="294"/>
          <w:tblHeader/>
          <w:jc w:val="center"/>
        </w:trPr>
        <w:tc>
          <w:tcPr>
            <w:tcW w:w="9328" w:type="dxa"/>
            <w:gridSpan w:val="2"/>
            <w:shd w:val="clear" w:color="auto" w:fill="00B0F0"/>
            <w:vAlign w:val="center"/>
            <w:hideMark/>
          </w:tcPr>
          <w:p w14:paraId="478FC830" w14:textId="77777777" w:rsidR="00D711BB" w:rsidRPr="00B11D3B" w:rsidRDefault="00D711BB" w:rsidP="00C600EC">
            <w:pPr>
              <w:jc w:val="center"/>
              <w:rPr>
                <w:rFonts w:ascii="Tw Cen MT" w:hAnsi="Tw Cen MT"/>
                <w:b/>
                <w:bCs/>
                <w:color w:val="FFFFFF"/>
              </w:rPr>
            </w:pPr>
            <w:r w:rsidRPr="00B11D3B">
              <w:rPr>
                <w:rFonts w:ascii="Tw Cen MT" w:hAnsi="Tw Cen MT"/>
                <w:b/>
                <w:bCs/>
                <w:color w:val="FFFFFF" w:themeColor="background1"/>
                <w:lang w:eastAsia="fr-FR"/>
              </w:rPr>
              <w:t>Entités déclarantes</w:t>
            </w:r>
          </w:p>
        </w:tc>
      </w:tr>
      <w:tr w:rsidR="00D711BB" w:rsidRPr="00B11D3B" w14:paraId="0AA264AF" w14:textId="77777777" w:rsidTr="00267D1D">
        <w:trPr>
          <w:trHeight w:val="294"/>
          <w:tblHeader/>
          <w:jc w:val="center"/>
        </w:trPr>
        <w:tc>
          <w:tcPr>
            <w:tcW w:w="4957" w:type="dxa"/>
            <w:shd w:val="clear" w:color="auto" w:fill="00B0F0"/>
            <w:vAlign w:val="center"/>
            <w:hideMark/>
          </w:tcPr>
          <w:p w14:paraId="1A700A23" w14:textId="77777777" w:rsidR="00D711BB" w:rsidRPr="00B11D3B" w:rsidRDefault="00D711BB" w:rsidP="00C600EC">
            <w:pPr>
              <w:jc w:val="center"/>
              <w:rPr>
                <w:rFonts w:ascii="Tw Cen MT" w:hAnsi="Tw Cen MT"/>
                <w:b/>
                <w:bCs/>
                <w:color w:val="FFFFFF"/>
              </w:rPr>
            </w:pPr>
            <w:r w:rsidRPr="00B11D3B">
              <w:rPr>
                <w:rFonts w:ascii="Tw Cen MT" w:hAnsi="Tw Cen MT"/>
                <w:b/>
                <w:bCs/>
                <w:color w:val="FFFFFF" w:themeColor="background1"/>
                <w:lang w:eastAsia="fr-FR"/>
              </w:rPr>
              <w:t xml:space="preserve">Entreprises </w:t>
            </w:r>
          </w:p>
        </w:tc>
        <w:tc>
          <w:tcPr>
            <w:tcW w:w="4371" w:type="dxa"/>
            <w:shd w:val="clear" w:color="auto" w:fill="00B0F0"/>
            <w:vAlign w:val="center"/>
            <w:hideMark/>
          </w:tcPr>
          <w:p w14:paraId="57419949" w14:textId="77777777" w:rsidR="00D711BB" w:rsidRPr="00B11D3B" w:rsidRDefault="00D711BB" w:rsidP="00C600EC">
            <w:pPr>
              <w:jc w:val="center"/>
              <w:rPr>
                <w:rFonts w:ascii="Tw Cen MT" w:hAnsi="Tw Cen MT"/>
                <w:b/>
                <w:bCs/>
                <w:color w:val="FFFFFF"/>
              </w:rPr>
            </w:pPr>
            <w:r w:rsidRPr="00B11D3B">
              <w:rPr>
                <w:rFonts w:ascii="Tw Cen MT" w:hAnsi="Tw Cen MT"/>
                <w:b/>
                <w:bCs/>
                <w:color w:val="FFFFFF"/>
                <w:lang w:eastAsia="fr-FR"/>
              </w:rPr>
              <w:t>Régies Financières</w:t>
            </w:r>
          </w:p>
        </w:tc>
      </w:tr>
      <w:tr w:rsidR="00D711BB" w:rsidRPr="00B11D3B" w14:paraId="09972A3E" w14:textId="77777777" w:rsidTr="00267D1D">
        <w:trPr>
          <w:trHeight w:val="294"/>
          <w:tblHeader/>
          <w:jc w:val="center"/>
        </w:trPr>
        <w:tc>
          <w:tcPr>
            <w:tcW w:w="4957" w:type="dxa"/>
            <w:shd w:val="clear" w:color="auto" w:fill="auto"/>
          </w:tcPr>
          <w:p w14:paraId="4E7D06D2" w14:textId="77777777" w:rsidR="00D711BB" w:rsidRPr="00EB5570" w:rsidRDefault="00D711BB" w:rsidP="0048041A">
            <w:pPr>
              <w:pStyle w:val="Paragraphedeliste"/>
              <w:numPr>
                <w:ilvl w:val="0"/>
                <w:numId w:val="21"/>
              </w:numPr>
              <w:spacing w:line="276" w:lineRule="auto"/>
              <w:ind w:left="589"/>
              <w:rPr>
                <w:rFonts w:ascii="Tw Cen MT" w:hAnsi="Tw Cen MT"/>
                <w:color w:val="000000"/>
              </w:rPr>
            </w:pPr>
            <w:r w:rsidRPr="00EB5570">
              <w:rPr>
                <w:rFonts w:ascii="Tw Cen MT" w:hAnsi="Tw Cen MT"/>
                <w:color w:val="000000"/>
                <w:lang w:eastAsia="fr-FR"/>
              </w:rPr>
              <w:t>Détails des paiements</w:t>
            </w:r>
          </w:p>
          <w:p w14:paraId="2D7B90FD" w14:textId="77777777" w:rsidR="00D711BB" w:rsidRPr="00EB5570" w:rsidRDefault="00D711BB" w:rsidP="0048041A">
            <w:pPr>
              <w:pStyle w:val="Paragraphedeliste"/>
              <w:numPr>
                <w:ilvl w:val="0"/>
                <w:numId w:val="21"/>
              </w:numPr>
              <w:spacing w:line="276" w:lineRule="auto"/>
              <w:ind w:left="589"/>
              <w:rPr>
                <w:rFonts w:ascii="Tw Cen MT" w:hAnsi="Tw Cen MT"/>
                <w:color w:val="000000"/>
              </w:rPr>
            </w:pPr>
            <w:r w:rsidRPr="00EB5570">
              <w:rPr>
                <w:rFonts w:ascii="Tw Cen MT" w:hAnsi="Tw Cen MT"/>
                <w:color w:val="000000"/>
                <w:lang w:eastAsia="fr-FR"/>
              </w:rPr>
              <w:t xml:space="preserve">Production </w:t>
            </w:r>
          </w:p>
          <w:p w14:paraId="7876068F" w14:textId="77777777" w:rsidR="00D711BB" w:rsidRPr="00EB5570" w:rsidRDefault="00D711BB" w:rsidP="0048041A">
            <w:pPr>
              <w:pStyle w:val="Paragraphedeliste"/>
              <w:numPr>
                <w:ilvl w:val="0"/>
                <w:numId w:val="21"/>
              </w:numPr>
              <w:spacing w:line="276" w:lineRule="auto"/>
              <w:ind w:left="589"/>
              <w:rPr>
                <w:rFonts w:ascii="Tw Cen MT" w:hAnsi="Tw Cen MT"/>
                <w:color w:val="000000"/>
              </w:rPr>
            </w:pPr>
            <w:r w:rsidRPr="00EB5570">
              <w:rPr>
                <w:rFonts w:ascii="Tw Cen MT" w:hAnsi="Tw Cen MT"/>
                <w:color w:val="000000"/>
                <w:lang w:eastAsia="fr-FR"/>
              </w:rPr>
              <w:t>Exportations et ventes locales</w:t>
            </w:r>
          </w:p>
          <w:p w14:paraId="62E6952E" w14:textId="77777777" w:rsidR="00D711BB" w:rsidRPr="00EB5570" w:rsidRDefault="00D711BB" w:rsidP="0048041A">
            <w:pPr>
              <w:pStyle w:val="Paragraphedeliste"/>
              <w:numPr>
                <w:ilvl w:val="0"/>
                <w:numId w:val="21"/>
              </w:numPr>
              <w:spacing w:line="276" w:lineRule="auto"/>
              <w:ind w:left="589"/>
              <w:rPr>
                <w:rFonts w:ascii="Tw Cen MT" w:hAnsi="Tw Cen MT"/>
                <w:color w:val="000000"/>
              </w:rPr>
            </w:pPr>
            <w:r w:rsidRPr="00EB5570">
              <w:rPr>
                <w:rFonts w:ascii="Tw Cen MT" w:hAnsi="Tw Cen MT"/>
                <w:color w:val="000000"/>
                <w:lang w:eastAsia="fr-FR"/>
              </w:rPr>
              <w:t xml:space="preserve">Structure du Capital </w:t>
            </w:r>
          </w:p>
          <w:p w14:paraId="42F60204" w14:textId="77777777" w:rsidR="00D711BB" w:rsidRPr="00EB5570" w:rsidRDefault="00D711BB" w:rsidP="0048041A">
            <w:pPr>
              <w:pStyle w:val="Paragraphedeliste"/>
              <w:numPr>
                <w:ilvl w:val="0"/>
                <w:numId w:val="21"/>
              </w:numPr>
              <w:spacing w:line="276" w:lineRule="auto"/>
              <w:ind w:left="589"/>
              <w:rPr>
                <w:rFonts w:ascii="Tw Cen MT" w:hAnsi="Tw Cen MT"/>
                <w:color w:val="000000"/>
              </w:rPr>
            </w:pPr>
            <w:r w:rsidRPr="00EB5570">
              <w:rPr>
                <w:rFonts w:ascii="Tw Cen MT" w:hAnsi="Tw Cen MT"/>
                <w:color w:val="000000"/>
                <w:lang w:eastAsia="fr-FR"/>
              </w:rPr>
              <w:t>Propriété réelle</w:t>
            </w:r>
          </w:p>
          <w:p w14:paraId="72B83A67" w14:textId="77777777" w:rsidR="00D711BB" w:rsidRPr="00EB5570" w:rsidRDefault="00D711BB" w:rsidP="0048041A">
            <w:pPr>
              <w:pStyle w:val="Paragraphedeliste"/>
              <w:numPr>
                <w:ilvl w:val="0"/>
                <w:numId w:val="21"/>
              </w:numPr>
              <w:spacing w:line="276" w:lineRule="auto"/>
              <w:ind w:left="589"/>
              <w:rPr>
                <w:rFonts w:ascii="Tw Cen MT" w:hAnsi="Tw Cen MT"/>
                <w:color w:val="000000"/>
              </w:rPr>
            </w:pPr>
            <w:r w:rsidRPr="00EB5570">
              <w:rPr>
                <w:rFonts w:ascii="Tw Cen MT" w:hAnsi="Tw Cen MT"/>
                <w:color w:val="000000"/>
                <w:lang w:eastAsia="fr-FR"/>
              </w:rPr>
              <w:t>Statistiques des emplois</w:t>
            </w:r>
          </w:p>
          <w:p w14:paraId="20A5714A" w14:textId="77777777" w:rsidR="00D711BB" w:rsidRPr="00EB5570" w:rsidRDefault="00D711BB" w:rsidP="0048041A">
            <w:pPr>
              <w:pStyle w:val="Paragraphedeliste"/>
              <w:numPr>
                <w:ilvl w:val="0"/>
                <w:numId w:val="21"/>
              </w:numPr>
              <w:spacing w:line="276" w:lineRule="auto"/>
              <w:ind w:left="589"/>
              <w:rPr>
                <w:rFonts w:ascii="Tw Cen MT" w:hAnsi="Tw Cen MT"/>
                <w:color w:val="000000"/>
              </w:rPr>
            </w:pPr>
            <w:r w:rsidRPr="00EB5570">
              <w:rPr>
                <w:rFonts w:ascii="Tw Cen MT" w:hAnsi="Tw Cen MT"/>
                <w:color w:val="000000"/>
                <w:lang w:eastAsia="fr-FR"/>
              </w:rPr>
              <w:t xml:space="preserve">Paiements sociaux </w:t>
            </w:r>
          </w:p>
          <w:p w14:paraId="6B00B4EF" w14:textId="77777777" w:rsidR="00D711BB" w:rsidRPr="00EB5570" w:rsidRDefault="00D711BB" w:rsidP="0048041A">
            <w:pPr>
              <w:pStyle w:val="Paragraphedeliste"/>
              <w:numPr>
                <w:ilvl w:val="0"/>
                <w:numId w:val="21"/>
              </w:numPr>
              <w:spacing w:line="276" w:lineRule="auto"/>
              <w:ind w:left="589"/>
              <w:rPr>
                <w:rFonts w:ascii="Tw Cen MT" w:hAnsi="Tw Cen MT"/>
                <w:color w:val="000000"/>
                <w:lang w:eastAsia="fr-FR"/>
              </w:rPr>
            </w:pPr>
            <w:r w:rsidRPr="00EB5570">
              <w:rPr>
                <w:rFonts w:ascii="Tw Cen MT" w:hAnsi="Tw Cen MT"/>
                <w:color w:val="000000"/>
                <w:lang w:eastAsia="fr-FR"/>
              </w:rPr>
              <w:t>Transactions de troc/projets intégrés</w:t>
            </w:r>
          </w:p>
          <w:p w14:paraId="31CA8B0C" w14:textId="2D7134BB" w:rsidR="00D711BB" w:rsidRPr="00EB5570" w:rsidRDefault="00D711BB" w:rsidP="0048041A">
            <w:pPr>
              <w:pStyle w:val="Paragraphedeliste"/>
              <w:numPr>
                <w:ilvl w:val="0"/>
                <w:numId w:val="21"/>
              </w:numPr>
              <w:spacing w:line="276" w:lineRule="auto"/>
              <w:ind w:left="589"/>
              <w:rPr>
                <w:rFonts w:ascii="Tw Cen MT" w:hAnsi="Tw Cen MT"/>
                <w:color w:val="000000"/>
                <w:lang w:eastAsia="fr-FR"/>
              </w:rPr>
            </w:pPr>
            <w:r w:rsidRPr="00EB5570">
              <w:rPr>
                <w:rFonts w:ascii="Tw Cen MT" w:hAnsi="Tw Cen MT"/>
                <w:color w:val="000000"/>
                <w:lang w:eastAsia="fr-FR"/>
              </w:rPr>
              <w:t>Prêts et Subventions</w:t>
            </w:r>
          </w:p>
          <w:p w14:paraId="7F1C9505" w14:textId="44314901" w:rsidR="00D711BB" w:rsidRPr="00EB5570" w:rsidRDefault="00D711BB" w:rsidP="0048041A">
            <w:pPr>
              <w:pStyle w:val="Paragraphedeliste"/>
              <w:numPr>
                <w:ilvl w:val="0"/>
                <w:numId w:val="21"/>
              </w:numPr>
              <w:spacing w:line="276" w:lineRule="auto"/>
              <w:ind w:left="589"/>
              <w:rPr>
                <w:rFonts w:ascii="Tw Cen MT" w:hAnsi="Tw Cen MT"/>
                <w:b/>
                <w:bCs/>
                <w:color w:val="FFFFFF" w:themeColor="background1"/>
                <w:lang w:eastAsia="fr-FR"/>
              </w:rPr>
            </w:pPr>
            <w:r w:rsidRPr="00EB5570">
              <w:rPr>
                <w:rFonts w:ascii="Tw Cen MT" w:hAnsi="Tw Cen MT"/>
                <w:color w:val="000000"/>
                <w:lang w:eastAsia="fr-FR"/>
              </w:rPr>
              <w:t>Transactions avec les fournisseurs locaux</w:t>
            </w:r>
          </w:p>
        </w:tc>
        <w:tc>
          <w:tcPr>
            <w:tcW w:w="4371" w:type="dxa"/>
            <w:shd w:val="clear" w:color="auto" w:fill="auto"/>
          </w:tcPr>
          <w:p w14:paraId="2414EB75" w14:textId="77777777" w:rsidR="00D711BB" w:rsidRPr="00EB5570" w:rsidRDefault="00D711BB" w:rsidP="0048041A">
            <w:pPr>
              <w:pStyle w:val="Paragraphedeliste"/>
              <w:numPr>
                <w:ilvl w:val="0"/>
                <w:numId w:val="21"/>
              </w:numPr>
              <w:spacing w:line="276" w:lineRule="auto"/>
              <w:ind w:left="589"/>
              <w:rPr>
                <w:rFonts w:ascii="Tw Cen MT" w:hAnsi="Tw Cen MT"/>
                <w:color w:val="000000"/>
                <w:lang w:eastAsia="fr-FR"/>
              </w:rPr>
            </w:pPr>
            <w:r w:rsidRPr="00EB5570">
              <w:rPr>
                <w:rFonts w:ascii="Tw Cen MT" w:hAnsi="Tw Cen MT"/>
                <w:color w:val="000000"/>
                <w:lang w:eastAsia="fr-FR"/>
              </w:rPr>
              <w:t>Détails des paiements</w:t>
            </w:r>
          </w:p>
          <w:p w14:paraId="5199BB0C" w14:textId="77777777" w:rsidR="00D711BB" w:rsidRPr="00EB5570" w:rsidRDefault="00D711BB" w:rsidP="0048041A">
            <w:pPr>
              <w:pStyle w:val="Paragraphedeliste"/>
              <w:numPr>
                <w:ilvl w:val="0"/>
                <w:numId w:val="21"/>
              </w:numPr>
              <w:spacing w:line="276" w:lineRule="auto"/>
              <w:ind w:left="589"/>
              <w:rPr>
                <w:rFonts w:ascii="Tw Cen MT" w:hAnsi="Tw Cen MT"/>
                <w:color w:val="000000"/>
                <w:lang w:eastAsia="fr-FR"/>
              </w:rPr>
            </w:pPr>
            <w:r w:rsidRPr="00EB5570">
              <w:rPr>
                <w:rFonts w:ascii="Tw Cen MT" w:hAnsi="Tw Cen MT"/>
                <w:color w:val="000000"/>
                <w:lang w:eastAsia="fr-FR"/>
              </w:rPr>
              <w:t xml:space="preserve">Production </w:t>
            </w:r>
          </w:p>
          <w:p w14:paraId="11A9A982" w14:textId="77777777" w:rsidR="00D711BB" w:rsidRPr="00EB5570" w:rsidRDefault="00D711BB" w:rsidP="0048041A">
            <w:pPr>
              <w:pStyle w:val="Paragraphedeliste"/>
              <w:numPr>
                <w:ilvl w:val="0"/>
                <w:numId w:val="21"/>
              </w:numPr>
              <w:spacing w:line="276" w:lineRule="auto"/>
              <w:ind w:left="589"/>
              <w:rPr>
                <w:rFonts w:ascii="Tw Cen MT" w:hAnsi="Tw Cen MT"/>
                <w:color w:val="000000"/>
                <w:lang w:eastAsia="fr-FR"/>
              </w:rPr>
            </w:pPr>
            <w:r w:rsidRPr="00EB5570">
              <w:rPr>
                <w:rFonts w:ascii="Tw Cen MT" w:hAnsi="Tw Cen MT"/>
                <w:color w:val="000000"/>
                <w:lang w:eastAsia="fr-FR"/>
              </w:rPr>
              <w:t>Exportations et ventes locales</w:t>
            </w:r>
          </w:p>
          <w:p w14:paraId="34D89427" w14:textId="77777777" w:rsidR="00D711BB" w:rsidRPr="00EB5570" w:rsidRDefault="00D711BB" w:rsidP="0048041A">
            <w:pPr>
              <w:pStyle w:val="Paragraphedeliste"/>
              <w:numPr>
                <w:ilvl w:val="0"/>
                <w:numId w:val="21"/>
              </w:numPr>
              <w:spacing w:line="276" w:lineRule="auto"/>
              <w:ind w:left="589"/>
              <w:rPr>
                <w:rFonts w:ascii="Tw Cen MT" w:hAnsi="Tw Cen MT"/>
                <w:color w:val="000000"/>
                <w:lang w:eastAsia="fr-FR"/>
              </w:rPr>
            </w:pPr>
            <w:r w:rsidRPr="00EB5570">
              <w:rPr>
                <w:rFonts w:ascii="Tw Cen MT" w:hAnsi="Tw Cen MT"/>
                <w:color w:val="000000"/>
                <w:lang w:eastAsia="fr-FR"/>
              </w:rPr>
              <w:t>Participation Publique</w:t>
            </w:r>
          </w:p>
          <w:p w14:paraId="73B87149" w14:textId="77777777" w:rsidR="00D711BB" w:rsidRPr="00EB5570" w:rsidRDefault="00D711BB" w:rsidP="0048041A">
            <w:pPr>
              <w:pStyle w:val="Paragraphedeliste"/>
              <w:numPr>
                <w:ilvl w:val="0"/>
                <w:numId w:val="21"/>
              </w:numPr>
              <w:spacing w:line="276" w:lineRule="auto"/>
              <w:ind w:left="589"/>
              <w:rPr>
                <w:rFonts w:ascii="Tw Cen MT" w:hAnsi="Tw Cen MT"/>
                <w:color w:val="000000"/>
                <w:lang w:eastAsia="fr-FR"/>
              </w:rPr>
            </w:pPr>
            <w:r w:rsidRPr="00EB5570">
              <w:rPr>
                <w:rFonts w:ascii="Tw Cen MT" w:hAnsi="Tw Cen MT"/>
                <w:color w:val="000000"/>
                <w:lang w:eastAsia="fr-FR"/>
              </w:rPr>
              <w:t>Transferts infranationaux</w:t>
            </w:r>
          </w:p>
          <w:p w14:paraId="05DEE48D" w14:textId="77777777" w:rsidR="00D711BB" w:rsidRPr="00EB5570" w:rsidRDefault="00D711BB" w:rsidP="0048041A">
            <w:pPr>
              <w:pStyle w:val="Paragraphedeliste"/>
              <w:numPr>
                <w:ilvl w:val="0"/>
                <w:numId w:val="21"/>
              </w:numPr>
              <w:spacing w:line="276" w:lineRule="auto"/>
              <w:ind w:left="589"/>
              <w:rPr>
                <w:rFonts w:ascii="Tw Cen MT" w:hAnsi="Tw Cen MT"/>
                <w:color w:val="000000"/>
                <w:lang w:eastAsia="fr-FR"/>
              </w:rPr>
            </w:pPr>
            <w:r w:rsidRPr="00EB5570">
              <w:rPr>
                <w:rFonts w:ascii="Tw Cen MT" w:hAnsi="Tw Cen MT"/>
                <w:color w:val="000000"/>
                <w:lang w:eastAsia="fr-FR"/>
              </w:rPr>
              <w:t>Transactions de troc/projets intégrés</w:t>
            </w:r>
          </w:p>
          <w:p w14:paraId="52F29F68" w14:textId="77777777" w:rsidR="00D711BB" w:rsidRPr="00EB5570" w:rsidRDefault="00D711BB" w:rsidP="0048041A">
            <w:pPr>
              <w:pStyle w:val="Paragraphedeliste"/>
              <w:numPr>
                <w:ilvl w:val="0"/>
                <w:numId w:val="21"/>
              </w:numPr>
              <w:spacing w:line="276" w:lineRule="auto"/>
              <w:ind w:left="589"/>
              <w:rPr>
                <w:rFonts w:ascii="Tw Cen MT" w:hAnsi="Tw Cen MT"/>
                <w:color w:val="000000"/>
                <w:lang w:eastAsia="fr-FR"/>
              </w:rPr>
            </w:pPr>
            <w:r w:rsidRPr="00EB5570">
              <w:rPr>
                <w:rFonts w:ascii="Tw Cen MT" w:hAnsi="Tw Cen MT"/>
                <w:color w:val="000000"/>
                <w:lang w:eastAsia="fr-FR"/>
              </w:rPr>
              <w:t>Prêts et Subventions</w:t>
            </w:r>
          </w:p>
          <w:p w14:paraId="068DD0FD" w14:textId="40DA3CBC" w:rsidR="00D711BB" w:rsidRPr="00EB5570" w:rsidRDefault="00D711BB" w:rsidP="0048041A">
            <w:pPr>
              <w:pStyle w:val="Paragraphedeliste"/>
              <w:numPr>
                <w:ilvl w:val="0"/>
                <w:numId w:val="21"/>
              </w:numPr>
              <w:spacing w:line="276" w:lineRule="auto"/>
              <w:ind w:left="589"/>
              <w:rPr>
                <w:rFonts w:ascii="Tw Cen MT" w:hAnsi="Tw Cen MT"/>
                <w:b/>
                <w:bCs/>
                <w:color w:val="FFFFFF"/>
                <w:lang w:eastAsia="fr-FR"/>
              </w:rPr>
            </w:pPr>
            <w:r w:rsidRPr="00EB5570">
              <w:rPr>
                <w:rFonts w:ascii="Tw Cen MT" w:hAnsi="Tw Cen MT"/>
                <w:color w:val="000000"/>
                <w:lang w:eastAsia="fr-FR"/>
              </w:rPr>
              <w:t>Procédures d’attribution et de transfert des titres</w:t>
            </w:r>
          </w:p>
        </w:tc>
      </w:tr>
    </w:tbl>
    <w:p w14:paraId="2878F66C" w14:textId="5A0C2718" w:rsidR="00434319" w:rsidRPr="003E3BFC" w:rsidRDefault="00434319" w:rsidP="0048041A">
      <w:pPr>
        <w:pStyle w:val="Paragraphedeliste"/>
        <w:numPr>
          <w:ilvl w:val="1"/>
          <w:numId w:val="9"/>
        </w:numPr>
        <w:spacing w:before="240" w:after="240"/>
        <w:ind w:left="1797"/>
        <w:contextualSpacing w:val="0"/>
        <w:outlineLvl w:val="1"/>
        <w:rPr>
          <w:rFonts w:ascii="Tw Cen MT" w:hAnsi="Tw Cen MT"/>
          <w:b/>
          <w:iCs/>
          <w:sz w:val="26"/>
          <w:szCs w:val="26"/>
        </w:rPr>
      </w:pPr>
      <w:bookmarkStart w:id="81" w:name="_Toc36744061"/>
      <w:bookmarkStart w:id="82" w:name="_Toc90999731"/>
      <w:r w:rsidRPr="003E3BFC">
        <w:rPr>
          <w:rFonts w:ascii="Tw Cen MT" w:hAnsi="Tw Cen MT"/>
          <w:b/>
          <w:iCs/>
          <w:sz w:val="26"/>
          <w:szCs w:val="26"/>
        </w:rPr>
        <w:t>Fiabilité et attestation des données</w:t>
      </w:r>
      <w:bookmarkEnd w:id="81"/>
      <w:bookmarkEnd w:id="82"/>
    </w:p>
    <w:p w14:paraId="43925876" w14:textId="77777777" w:rsidR="00434319" w:rsidRPr="003E3BFC" w:rsidRDefault="00434319" w:rsidP="00434319">
      <w:pPr>
        <w:spacing w:before="240"/>
        <w:jc w:val="both"/>
        <w:rPr>
          <w:rFonts w:ascii="Tw Cen MT" w:hAnsi="Tw Cen MT"/>
          <w:color w:val="000000" w:themeColor="text1"/>
          <w:sz w:val="26"/>
          <w:szCs w:val="26"/>
        </w:rPr>
      </w:pPr>
      <w:bookmarkStart w:id="83" w:name="_Toc499647918"/>
      <w:bookmarkStart w:id="84" w:name="_Toc17819271"/>
      <w:r w:rsidRPr="003E3BFC">
        <w:rPr>
          <w:rFonts w:ascii="Tw Cen MT" w:hAnsi="Tw Cen MT"/>
          <w:color w:val="000000" w:themeColor="text1"/>
          <w:sz w:val="26"/>
          <w:szCs w:val="26"/>
        </w:rPr>
        <w:t>Afin de se conformer à l’Exigence 4.9 de la Norme ITIE (2019) visant à garantir que les données soumises par les entités déclarantes soient crédibles, le Comité de Pilotage a décidé d’adopter la démarche suivante :</w:t>
      </w:r>
    </w:p>
    <w:p w14:paraId="60588ECB" w14:textId="77777777" w:rsidR="00434319" w:rsidRPr="003E3BFC" w:rsidRDefault="00434319" w:rsidP="0048041A">
      <w:pPr>
        <w:pStyle w:val="Paragraphedeliste"/>
        <w:numPr>
          <w:ilvl w:val="2"/>
          <w:numId w:val="9"/>
        </w:numPr>
        <w:spacing w:before="240" w:after="240"/>
        <w:contextualSpacing w:val="0"/>
        <w:outlineLvl w:val="1"/>
        <w:rPr>
          <w:rFonts w:ascii="Tw Cen MT" w:hAnsi="Tw Cen MT"/>
          <w:b/>
          <w:iCs/>
          <w:sz w:val="26"/>
          <w:szCs w:val="26"/>
        </w:rPr>
      </w:pPr>
      <w:bookmarkStart w:id="85" w:name="_Toc90999732"/>
      <w:r w:rsidRPr="003E3BFC">
        <w:rPr>
          <w:rFonts w:ascii="Tw Cen MT" w:hAnsi="Tw Cen MT"/>
          <w:b/>
          <w:iCs/>
          <w:sz w:val="26"/>
          <w:szCs w:val="26"/>
        </w:rPr>
        <w:t>Entreprises extractives</w:t>
      </w:r>
      <w:bookmarkEnd w:id="85"/>
    </w:p>
    <w:p w14:paraId="406AD91D" w14:textId="77777777" w:rsidR="00434319" w:rsidRPr="003E3BFC" w:rsidRDefault="00434319" w:rsidP="003E3BFC">
      <w:pPr>
        <w:spacing w:after="240"/>
        <w:jc w:val="both"/>
        <w:rPr>
          <w:rFonts w:ascii="Tw Cen MT" w:hAnsi="Tw Cen MT"/>
          <w:bCs/>
          <w:color w:val="000000" w:themeColor="text1"/>
          <w:sz w:val="26"/>
          <w:szCs w:val="26"/>
        </w:rPr>
      </w:pPr>
      <w:r w:rsidRPr="003E3BFC">
        <w:rPr>
          <w:rFonts w:ascii="Tw Cen MT" w:hAnsi="Tw Cen MT"/>
          <w:color w:val="000000" w:themeColor="text1"/>
          <w:sz w:val="26"/>
          <w:szCs w:val="26"/>
        </w:rPr>
        <w:t>Le formulaire de déclaration doit :</w:t>
      </w:r>
    </w:p>
    <w:p w14:paraId="5E17FF6E" w14:textId="23CCBAEC" w:rsidR="00434319" w:rsidRPr="00DD2CC6" w:rsidRDefault="00434319" w:rsidP="00DD2CC6">
      <w:pPr>
        <w:pStyle w:val="Paragraphedeliste"/>
        <w:numPr>
          <w:ilvl w:val="0"/>
          <w:numId w:val="33"/>
        </w:numPr>
        <w:spacing w:before="240" w:line="276" w:lineRule="auto"/>
        <w:jc w:val="both"/>
        <w:rPr>
          <w:rFonts w:ascii="Tw Cen MT" w:hAnsi="Tw Cen MT"/>
          <w:color w:val="000000" w:themeColor="text1"/>
          <w:sz w:val="26"/>
          <w:szCs w:val="26"/>
        </w:rPr>
      </w:pPr>
      <w:bookmarkStart w:id="86" w:name="_Toc89811024"/>
      <w:bookmarkStart w:id="87" w:name="_Toc89811142"/>
      <w:bookmarkStart w:id="88" w:name="_Toc89811416"/>
      <w:r w:rsidRPr="00DD2CC6">
        <w:rPr>
          <w:rFonts w:ascii="Tw Cen MT" w:hAnsi="Tw Cen MT"/>
          <w:color w:val="000000" w:themeColor="text1"/>
          <w:sz w:val="26"/>
          <w:szCs w:val="26"/>
        </w:rPr>
        <w:t>porter la signature d’un Directeur Général et Directeur Administratif et Financier;</w:t>
      </w:r>
      <w:bookmarkEnd w:id="86"/>
      <w:bookmarkEnd w:id="87"/>
      <w:bookmarkEnd w:id="88"/>
      <w:r w:rsidRPr="00DD2CC6">
        <w:rPr>
          <w:rFonts w:ascii="Tw Cen MT" w:hAnsi="Tw Cen MT"/>
          <w:color w:val="000000" w:themeColor="text1"/>
          <w:sz w:val="26"/>
          <w:szCs w:val="26"/>
        </w:rPr>
        <w:t xml:space="preserve"> </w:t>
      </w:r>
    </w:p>
    <w:p w14:paraId="59AF0D41" w14:textId="4F5E48F1" w:rsidR="00434319" w:rsidRPr="00DD2CC6" w:rsidRDefault="00434319" w:rsidP="00DD2CC6">
      <w:pPr>
        <w:pStyle w:val="Paragraphedeliste"/>
        <w:numPr>
          <w:ilvl w:val="0"/>
          <w:numId w:val="33"/>
        </w:numPr>
        <w:spacing w:before="240" w:line="276" w:lineRule="auto"/>
        <w:jc w:val="both"/>
        <w:rPr>
          <w:rFonts w:ascii="Tw Cen MT" w:hAnsi="Tw Cen MT"/>
          <w:color w:val="000000" w:themeColor="text1"/>
          <w:sz w:val="26"/>
          <w:szCs w:val="26"/>
        </w:rPr>
      </w:pPr>
      <w:bookmarkStart w:id="89" w:name="_Toc89811025"/>
      <w:bookmarkStart w:id="90" w:name="_Toc89811143"/>
      <w:bookmarkStart w:id="91" w:name="_Toc89811417"/>
      <w:r w:rsidRPr="00DD2CC6">
        <w:rPr>
          <w:rFonts w:ascii="Tw Cen MT" w:hAnsi="Tw Cen MT"/>
          <w:color w:val="000000" w:themeColor="text1"/>
          <w:sz w:val="26"/>
          <w:szCs w:val="26"/>
        </w:rPr>
        <w:t>être accompagné des états financiers certifiés de l’entreprise pour l’année 2019 ou de tout autre document signé par le Commissaire aux Comptes attestant la certification des états financiers de l’exercice ; et</w:t>
      </w:r>
      <w:bookmarkEnd w:id="89"/>
      <w:bookmarkEnd w:id="90"/>
      <w:bookmarkEnd w:id="91"/>
      <w:r w:rsidRPr="00DD2CC6">
        <w:rPr>
          <w:rFonts w:ascii="Tw Cen MT" w:hAnsi="Tw Cen MT"/>
          <w:color w:val="000000" w:themeColor="text1"/>
          <w:sz w:val="26"/>
          <w:szCs w:val="26"/>
        </w:rPr>
        <w:t> </w:t>
      </w:r>
    </w:p>
    <w:p w14:paraId="2B9C5ED7" w14:textId="7C92BF3F" w:rsidR="00434319" w:rsidRPr="00DD2CC6" w:rsidRDefault="00434319" w:rsidP="00DD2CC6">
      <w:pPr>
        <w:pStyle w:val="Paragraphedeliste"/>
        <w:numPr>
          <w:ilvl w:val="0"/>
          <w:numId w:val="33"/>
        </w:numPr>
        <w:spacing w:before="240" w:line="276" w:lineRule="auto"/>
        <w:jc w:val="both"/>
        <w:rPr>
          <w:rFonts w:ascii="Tw Cen MT" w:hAnsi="Tw Cen MT"/>
          <w:color w:val="000000" w:themeColor="text1"/>
          <w:sz w:val="26"/>
          <w:szCs w:val="26"/>
        </w:rPr>
      </w:pPr>
      <w:bookmarkStart w:id="92" w:name="_Toc89811026"/>
      <w:bookmarkStart w:id="93" w:name="_Toc89811144"/>
      <w:bookmarkStart w:id="94" w:name="_Toc89811418"/>
      <w:r w:rsidRPr="00DD2CC6">
        <w:rPr>
          <w:rFonts w:ascii="Tw Cen MT" w:hAnsi="Tw Cen MT"/>
          <w:color w:val="000000" w:themeColor="text1"/>
          <w:sz w:val="26"/>
          <w:szCs w:val="26"/>
        </w:rPr>
        <w:t>être certifié par un auditeur externe (qui peut être le Commissaire aux Comptes).</w:t>
      </w:r>
      <w:bookmarkEnd w:id="92"/>
      <w:bookmarkEnd w:id="93"/>
      <w:bookmarkEnd w:id="94"/>
    </w:p>
    <w:p w14:paraId="28EF2AFC" w14:textId="77777777" w:rsidR="00434319" w:rsidRPr="003E3BFC" w:rsidRDefault="00434319" w:rsidP="0048041A">
      <w:pPr>
        <w:pStyle w:val="Paragraphedeliste"/>
        <w:numPr>
          <w:ilvl w:val="2"/>
          <w:numId w:val="9"/>
        </w:numPr>
        <w:spacing w:before="240" w:after="240"/>
        <w:contextualSpacing w:val="0"/>
        <w:outlineLvl w:val="1"/>
        <w:rPr>
          <w:rFonts w:ascii="Tw Cen MT" w:hAnsi="Tw Cen MT"/>
          <w:b/>
          <w:iCs/>
          <w:sz w:val="26"/>
          <w:szCs w:val="26"/>
        </w:rPr>
      </w:pPr>
      <w:bookmarkStart w:id="95" w:name="_Toc90999733"/>
      <w:r w:rsidRPr="003E3BFC">
        <w:rPr>
          <w:rFonts w:ascii="Tw Cen MT" w:hAnsi="Tw Cen MT"/>
          <w:b/>
          <w:iCs/>
          <w:sz w:val="26"/>
          <w:szCs w:val="26"/>
        </w:rPr>
        <w:t>Régies financières</w:t>
      </w:r>
      <w:bookmarkEnd w:id="95"/>
    </w:p>
    <w:p w14:paraId="7A50C6F5" w14:textId="77777777" w:rsidR="00434319" w:rsidRPr="003E3BFC" w:rsidRDefault="00434319" w:rsidP="00DD2CC6">
      <w:pPr>
        <w:spacing w:after="120"/>
        <w:jc w:val="both"/>
        <w:rPr>
          <w:rFonts w:ascii="Tw Cen MT" w:hAnsi="Tw Cen MT"/>
          <w:color w:val="000000" w:themeColor="text1"/>
          <w:sz w:val="26"/>
          <w:szCs w:val="26"/>
        </w:rPr>
      </w:pPr>
      <w:r w:rsidRPr="003E3BFC">
        <w:rPr>
          <w:rFonts w:ascii="Tw Cen MT" w:hAnsi="Tw Cen MT"/>
          <w:color w:val="000000" w:themeColor="text1"/>
          <w:sz w:val="26"/>
          <w:szCs w:val="26"/>
        </w:rPr>
        <w:t>Le formulaire de déclaration doit :</w:t>
      </w:r>
    </w:p>
    <w:p w14:paraId="07ED94CD" w14:textId="1D3D45FB" w:rsidR="00434319" w:rsidRPr="00DD2CC6" w:rsidRDefault="00434319" w:rsidP="00DD2CC6">
      <w:pPr>
        <w:pStyle w:val="Paragraphedeliste"/>
        <w:numPr>
          <w:ilvl w:val="0"/>
          <w:numId w:val="33"/>
        </w:numPr>
        <w:spacing w:line="276" w:lineRule="auto"/>
        <w:jc w:val="both"/>
        <w:rPr>
          <w:rFonts w:ascii="Tw Cen MT" w:hAnsi="Tw Cen MT"/>
          <w:color w:val="000000" w:themeColor="text1"/>
          <w:sz w:val="26"/>
          <w:szCs w:val="26"/>
        </w:rPr>
      </w:pPr>
      <w:bookmarkStart w:id="96" w:name="_Toc89811028"/>
      <w:bookmarkStart w:id="97" w:name="_Toc89811146"/>
      <w:bookmarkStart w:id="98" w:name="_Toc89811420"/>
      <w:r w:rsidRPr="00DD2CC6">
        <w:rPr>
          <w:rFonts w:ascii="Tw Cen MT" w:hAnsi="Tw Cen MT"/>
          <w:color w:val="000000" w:themeColor="text1"/>
          <w:sz w:val="26"/>
          <w:szCs w:val="26"/>
        </w:rPr>
        <w:t>porter la signature du Directeur Général ou d’une personne habilitée de la régie financière ; et</w:t>
      </w:r>
      <w:bookmarkEnd w:id="96"/>
      <w:bookmarkEnd w:id="97"/>
      <w:bookmarkEnd w:id="98"/>
      <w:r w:rsidRPr="00DD2CC6">
        <w:rPr>
          <w:rFonts w:ascii="Tw Cen MT" w:hAnsi="Tw Cen MT"/>
          <w:color w:val="000000" w:themeColor="text1"/>
          <w:sz w:val="26"/>
          <w:szCs w:val="26"/>
        </w:rPr>
        <w:t xml:space="preserve"> </w:t>
      </w:r>
    </w:p>
    <w:p w14:paraId="40723040" w14:textId="77777777" w:rsidR="00434319" w:rsidRPr="00DD2CC6" w:rsidRDefault="00434319" w:rsidP="00DD2CC6">
      <w:pPr>
        <w:pStyle w:val="Paragraphedeliste"/>
        <w:numPr>
          <w:ilvl w:val="0"/>
          <w:numId w:val="33"/>
        </w:numPr>
        <w:spacing w:before="240" w:line="276" w:lineRule="auto"/>
        <w:jc w:val="both"/>
        <w:rPr>
          <w:rFonts w:ascii="Tw Cen MT" w:hAnsi="Tw Cen MT"/>
          <w:color w:val="000000" w:themeColor="text1"/>
          <w:sz w:val="26"/>
          <w:szCs w:val="26"/>
        </w:rPr>
      </w:pPr>
      <w:bookmarkStart w:id="99" w:name="_Toc89811029"/>
      <w:bookmarkStart w:id="100" w:name="_Toc89811147"/>
      <w:bookmarkStart w:id="101" w:name="_Toc89811421"/>
      <w:r w:rsidRPr="00DD2CC6">
        <w:rPr>
          <w:rFonts w:ascii="Tw Cen MT" w:hAnsi="Tw Cen MT"/>
          <w:color w:val="000000" w:themeColor="text1"/>
          <w:sz w:val="26"/>
          <w:szCs w:val="26"/>
        </w:rPr>
        <w:t>être certifié par la Section des Comptes de la Cour Suprême. Cette dernière devra produire un rapport de certification des formulaires de déclaration des régies financières et confirmer que la vérification a été effectuée conformément aux normes internationales. Le rapport de certification de la Section des Comptes doit contenir notamment :</w:t>
      </w:r>
      <w:bookmarkEnd w:id="99"/>
      <w:bookmarkEnd w:id="100"/>
      <w:bookmarkEnd w:id="101"/>
    </w:p>
    <w:p w14:paraId="77B1CE6E" w14:textId="77777777" w:rsidR="00434319" w:rsidRPr="003E3BFC" w:rsidRDefault="00434319" w:rsidP="0048041A">
      <w:pPr>
        <w:pStyle w:val="Paragraphedeliste"/>
        <w:numPr>
          <w:ilvl w:val="0"/>
          <w:numId w:val="20"/>
        </w:numPr>
        <w:spacing w:line="276" w:lineRule="auto"/>
        <w:ind w:left="1560"/>
        <w:contextualSpacing w:val="0"/>
        <w:jc w:val="both"/>
        <w:rPr>
          <w:rFonts w:ascii="Tw Cen MT" w:hAnsi="Tw Cen MT"/>
          <w:color w:val="000000" w:themeColor="text1"/>
          <w:sz w:val="26"/>
          <w:szCs w:val="26"/>
        </w:rPr>
      </w:pPr>
      <w:r w:rsidRPr="003E3BFC">
        <w:rPr>
          <w:rFonts w:ascii="Tw Cen MT" w:hAnsi="Tw Cen MT"/>
          <w:color w:val="000000" w:themeColor="text1"/>
          <w:sz w:val="26"/>
          <w:szCs w:val="26"/>
        </w:rPr>
        <w:t>les objectifs et étendu de l’audit ;</w:t>
      </w:r>
    </w:p>
    <w:p w14:paraId="7B49413A" w14:textId="77777777" w:rsidR="00434319" w:rsidRPr="003E3BFC" w:rsidRDefault="00434319" w:rsidP="0048041A">
      <w:pPr>
        <w:pStyle w:val="Paragraphedeliste"/>
        <w:numPr>
          <w:ilvl w:val="0"/>
          <w:numId w:val="20"/>
        </w:numPr>
        <w:spacing w:line="276" w:lineRule="auto"/>
        <w:ind w:left="1560"/>
        <w:contextualSpacing w:val="0"/>
        <w:jc w:val="both"/>
        <w:rPr>
          <w:rFonts w:ascii="Tw Cen MT" w:hAnsi="Tw Cen MT"/>
          <w:color w:val="000000" w:themeColor="text1"/>
          <w:sz w:val="26"/>
          <w:szCs w:val="26"/>
        </w:rPr>
      </w:pPr>
      <w:r w:rsidRPr="003E3BFC">
        <w:rPr>
          <w:rFonts w:ascii="Tw Cen MT" w:hAnsi="Tw Cen MT"/>
          <w:color w:val="000000" w:themeColor="text1"/>
          <w:sz w:val="26"/>
          <w:szCs w:val="26"/>
        </w:rPr>
        <w:t>la méthodologie de l’audit ;</w:t>
      </w:r>
    </w:p>
    <w:p w14:paraId="4458443B" w14:textId="77777777" w:rsidR="00434319" w:rsidRPr="003E3BFC" w:rsidRDefault="00434319" w:rsidP="0048041A">
      <w:pPr>
        <w:pStyle w:val="Paragraphedeliste"/>
        <w:numPr>
          <w:ilvl w:val="0"/>
          <w:numId w:val="20"/>
        </w:numPr>
        <w:spacing w:line="276" w:lineRule="auto"/>
        <w:ind w:left="1560"/>
        <w:contextualSpacing w:val="0"/>
        <w:jc w:val="both"/>
        <w:rPr>
          <w:rFonts w:ascii="Tw Cen MT" w:hAnsi="Tw Cen MT"/>
          <w:color w:val="000000" w:themeColor="text1"/>
          <w:sz w:val="26"/>
          <w:szCs w:val="26"/>
        </w:rPr>
      </w:pPr>
      <w:r w:rsidRPr="003E3BFC">
        <w:rPr>
          <w:rFonts w:ascii="Tw Cen MT" w:hAnsi="Tw Cen MT"/>
          <w:color w:val="000000" w:themeColor="text1"/>
          <w:sz w:val="26"/>
          <w:szCs w:val="26"/>
        </w:rPr>
        <w:lastRenderedPageBreak/>
        <w:t>la conclusion de la Section des Comptes (avec les réserves si elles existent) ;</w:t>
      </w:r>
    </w:p>
    <w:p w14:paraId="093E7683" w14:textId="77777777" w:rsidR="00434319" w:rsidRPr="003E3BFC" w:rsidRDefault="00434319" w:rsidP="0048041A">
      <w:pPr>
        <w:pStyle w:val="Paragraphedeliste"/>
        <w:numPr>
          <w:ilvl w:val="0"/>
          <w:numId w:val="20"/>
        </w:numPr>
        <w:spacing w:line="276" w:lineRule="auto"/>
        <w:ind w:left="1560"/>
        <w:contextualSpacing w:val="0"/>
        <w:jc w:val="both"/>
        <w:rPr>
          <w:rFonts w:ascii="Tw Cen MT" w:hAnsi="Tw Cen MT"/>
          <w:color w:val="000000" w:themeColor="text1"/>
          <w:sz w:val="26"/>
          <w:szCs w:val="26"/>
        </w:rPr>
      </w:pPr>
      <w:r w:rsidRPr="003E3BFC">
        <w:rPr>
          <w:rFonts w:ascii="Tw Cen MT" w:hAnsi="Tw Cen MT"/>
          <w:color w:val="000000" w:themeColor="text1"/>
          <w:sz w:val="26"/>
          <w:szCs w:val="26"/>
        </w:rPr>
        <w:t>la justification des conclusions de la Section des Comptes ;</w:t>
      </w:r>
    </w:p>
    <w:p w14:paraId="3C55225B" w14:textId="77777777" w:rsidR="00434319" w:rsidRPr="003E3BFC" w:rsidRDefault="00434319" w:rsidP="0048041A">
      <w:pPr>
        <w:pStyle w:val="Paragraphedeliste"/>
        <w:numPr>
          <w:ilvl w:val="0"/>
          <w:numId w:val="20"/>
        </w:numPr>
        <w:spacing w:line="276" w:lineRule="auto"/>
        <w:ind w:left="1560"/>
        <w:contextualSpacing w:val="0"/>
        <w:jc w:val="both"/>
        <w:rPr>
          <w:rFonts w:ascii="Tw Cen MT" w:hAnsi="Tw Cen MT"/>
          <w:color w:val="000000" w:themeColor="text1"/>
          <w:sz w:val="26"/>
          <w:szCs w:val="26"/>
        </w:rPr>
      </w:pPr>
      <w:r w:rsidRPr="003E3BFC">
        <w:rPr>
          <w:rFonts w:ascii="Tw Cen MT" w:hAnsi="Tw Cen MT"/>
          <w:color w:val="000000" w:themeColor="text1"/>
          <w:sz w:val="26"/>
          <w:szCs w:val="26"/>
        </w:rPr>
        <w:t>les recommandations de la Section des Comptes ; et</w:t>
      </w:r>
    </w:p>
    <w:p w14:paraId="2913E1B0" w14:textId="77777777" w:rsidR="00434319" w:rsidRPr="003E3BFC" w:rsidRDefault="00434319" w:rsidP="0048041A">
      <w:pPr>
        <w:pStyle w:val="Paragraphedeliste"/>
        <w:numPr>
          <w:ilvl w:val="0"/>
          <w:numId w:val="20"/>
        </w:numPr>
        <w:spacing w:line="276" w:lineRule="auto"/>
        <w:ind w:left="1560"/>
        <w:contextualSpacing w:val="0"/>
        <w:jc w:val="both"/>
        <w:rPr>
          <w:rFonts w:ascii="Tw Cen MT" w:hAnsi="Tw Cen MT"/>
          <w:color w:val="000000" w:themeColor="text1"/>
          <w:sz w:val="26"/>
          <w:szCs w:val="26"/>
        </w:rPr>
      </w:pPr>
      <w:r w:rsidRPr="003E3BFC">
        <w:rPr>
          <w:rFonts w:ascii="Tw Cen MT" w:hAnsi="Tw Cen MT"/>
          <w:color w:val="000000" w:themeColor="text1"/>
          <w:sz w:val="26"/>
          <w:szCs w:val="26"/>
        </w:rPr>
        <w:t>la situation des recettes par nature des taxes.</w:t>
      </w:r>
    </w:p>
    <w:p w14:paraId="7AC5F49A" w14:textId="323E9C7F" w:rsidR="00434319" w:rsidRPr="008A00A2" w:rsidRDefault="00434319" w:rsidP="008A00A2">
      <w:pPr>
        <w:pStyle w:val="Paragraphedeliste"/>
        <w:numPr>
          <w:ilvl w:val="0"/>
          <w:numId w:val="33"/>
        </w:numPr>
        <w:spacing w:line="276" w:lineRule="auto"/>
        <w:jc w:val="both"/>
        <w:rPr>
          <w:rFonts w:ascii="Tw Cen MT" w:hAnsi="Tw Cen MT"/>
          <w:color w:val="000000" w:themeColor="text1"/>
          <w:sz w:val="26"/>
          <w:szCs w:val="26"/>
        </w:rPr>
      </w:pPr>
      <w:bookmarkStart w:id="102" w:name="_Toc89811030"/>
      <w:bookmarkStart w:id="103" w:name="_Toc89811148"/>
      <w:bookmarkStart w:id="104" w:name="_Toc89811422"/>
      <w:r w:rsidRPr="008A00A2">
        <w:rPr>
          <w:rFonts w:ascii="Tw Cen MT" w:hAnsi="Tw Cen MT"/>
          <w:color w:val="000000" w:themeColor="text1"/>
          <w:sz w:val="26"/>
          <w:szCs w:val="26"/>
        </w:rPr>
        <w:t>pour l’INPS, le formulaire doit être certifié par son CAC ou un auditeur indépendant.</w:t>
      </w:r>
      <w:bookmarkEnd w:id="102"/>
      <w:bookmarkEnd w:id="103"/>
      <w:bookmarkEnd w:id="104"/>
    </w:p>
    <w:p w14:paraId="1745A5B8" w14:textId="77777777" w:rsidR="00434319" w:rsidRPr="003E3BFC" w:rsidRDefault="00434319" w:rsidP="0048041A">
      <w:pPr>
        <w:pStyle w:val="Paragraphedeliste"/>
        <w:numPr>
          <w:ilvl w:val="1"/>
          <w:numId w:val="9"/>
        </w:numPr>
        <w:spacing w:before="240" w:after="240"/>
        <w:ind w:left="1797"/>
        <w:contextualSpacing w:val="0"/>
        <w:outlineLvl w:val="1"/>
        <w:rPr>
          <w:rFonts w:ascii="Tw Cen MT" w:hAnsi="Tw Cen MT"/>
          <w:b/>
          <w:iCs/>
          <w:sz w:val="26"/>
          <w:szCs w:val="26"/>
        </w:rPr>
      </w:pPr>
      <w:bookmarkStart w:id="105" w:name="_Toc36744062"/>
      <w:bookmarkStart w:id="106" w:name="_Toc90999734"/>
      <w:r w:rsidRPr="003E3BFC">
        <w:rPr>
          <w:rFonts w:ascii="Tw Cen MT" w:hAnsi="Tw Cen MT"/>
          <w:b/>
          <w:iCs/>
          <w:sz w:val="26"/>
          <w:szCs w:val="26"/>
        </w:rPr>
        <w:t>Niveau de déségrégation</w:t>
      </w:r>
      <w:bookmarkEnd w:id="83"/>
      <w:bookmarkEnd w:id="84"/>
      <w:bookmarkEnd w:id="105"/>
      <w:bookmarkEnd w:id="106"/>
    </w:p>
    <w:p w14:paraId="65F33B5D" w14:textId="77777777" w:rsidR="00434319" w:rsidRPr="003E3BFC" w:rsidRDefault="00434319" w:rsidP="00434319">
      <w:pPr>
        <w:jc w:val="both"/>
        <w:rPr>
          <w:rFonts w:ascii="Tw Cen MT" w:hAnsi="Tw Cen MT"/>
          <w:sz w:val="26"/>
          <w:szCs w:val="26"/>
          <w:lang w:bidi="ar-TN"/>
        </w:rPr>
      </w:pPr>
      <w:r w:rsidRPr="003E3BFC">
        <w:rPr>
          <w:rFonts w:ascii="Tw Cen MT" w:hAnsi="Tw Cen MT"/>
          <w:sz w:val="26"/>
          <w:szCs w:val="26"/>
          <w:lang w:bidi="ar-TN"/>
        </w:rPr>
        <w:t xml:space="preserve">Nous proposons au </w:t>
      </w:r>
      <w:r w:rsidRPr="003E3BFC">
        <w:rPr>
          <w:rFonts w:ascii="Tw Cen MT" w:hAnsi="Tw Cen MT"/>
          <w:color w:val="000000"/>
          <w:sz w:val="26"/>
          <w:szCs w:val="26"/>
        </w:rPr>
        <w:t>CP-ITIE</w:t>
      </w:r>
      <w:r w:rsidRPr="003E3BFC" w:rsidDel="006C1576">
        <w:rPr>
          <w:rFonts w:ascii="Tw Cen MT" w:hAnsi="Tw Cen MT"/>
          <w:sz w:val="26"/>
          <w:szCs w:val="26"/>
          <w:lang w:bidi="ar-TN"/>
        </w:rPr>
        <w:t xml:space="preserve"> </w:t>
      </w:r>
      <w:r w:rsidRPr="003E3BFC">
        <w:rPr>
          <w:rFonts w:ascii="Tw Cen MT" w:hAnsi="Tw Cen MT"/>
          <w:sz w:val="26"/>
          <w:szCs w:val="26"/>
          <w:lang w:bidi="ar-TN"/>
        </w:rPr>
        <w:t>que les formulaires de déclaration et les chiffres soient soumis :</w:t>
      </w:r>
    </w:p>
    <w:p w14:paraId="3F394F7A" w14:textId="77777777" w:rsidR="00434319" w:rsidRPr="00DD2CC6" w:rsidRDefault="00434319" w:rsidP="00DD2CC6">
      <w:pPr>
        <w:pStyle w:val="Paragraphedeliste"/>
        <w:numPr>
          <w:ilvl w:val="0"/>
          <w:numId w:val="33"/>
        </w:numPr>
        <w:spacing w:before="120" w:after="120" w:line="276" w:lineRule="auto"/>
        <w:ind w:left="714" w:hanging="357"/>
        <w:jc w:val="both"/>
        <w:rPr>
          <w:rFonts w:ascii="Tw Cen MT" w:hAnsi="Tw Cen MT"/>
          <w:color w:val="000000" w:themeColor="text1"/>
          <w:sz w:val="26"/>
          <w:szCs w:val="26"/>
        </w:rPr>
      </w:pPr>
      <w:bookmarkStart w:id="107" w:name="_Toc89811032"/>
      <w:bookmarkStart w:id="108" w:name="_Toc89811150"/>
      <w:bookmarkStart w:id="109" w:name="_Toc89811424"/>
      <w:r w:rsidRPr="00DD2CC6">
        <w:rPr>
          <w:rFonts w:ascii="Tw Cen MT" w:hAnsi="Tw Cen MT"/>
          <w:color w:val="000000" w:themeColor="text1"/>
          <w:sz w:val="26"/>
          <w:szCs w:val="26"/>
        </w:rPr>
        <w:t>par entreprise ;</w:t>
      </w:r>
      <w:bookmarkEnd w:id="107"/>
      <w:bookmarkEnd w:id="108"/>
      <w:bookmarkEnd w:id="109"/>
    </w:p>
    <w:p w14:paraId="14AADC5B" w14:textId="77777777" w:rsidR="00434319" w:rsidRPr="00DD2CC6" w:rsidRDefault="00434319" w:rsidP="00DD2CC6">
      <w:pPr>
        <w:pStyle w:val="Paragraphedeliste"/>
        <w:numPr>
          <w:ilvl w:val="0"/>
          <w:numId w:val="33"/>
        </w:numPr>
        <w:spacing w:before="240" w:after="240" w:line="276" w:lineRule="auto"/>
        <w:jc w:val="both"/>
        <w:rPr>
          <w:rFonts w:ascii="Tw Cen MT" w:hAnsi="Tw Cen MT"/>
          <w:color w:val="000000" w:themeColor="text1"/>
          <w:sz w:val="26"/>
          <w:szCs w:val="26"/>
        </w:rPr>
      </w:pPr>
      <w:bookmarkStart w:id="110" w:name="_Toc89811033"/>
      <w:bookmarkStart w:id="111" w:name="_Toc89811151"/>
      <w:bookmarkStart w:id="112" w:name="_Toc89811425"/>
      <w:r w:rsidRPr="00DD2CC6">
        <w:rPr>
          <w:rFonts w:ascii="Tw Cen MT" w:hAnsi="Tw Cen MT"/>
          <w:color w:val="000000" w:themeColor="text1"/>
          <w:sz w:val="26"/>
          <w:szCs w:val="26"/>
        </w:rPr>
        <w:t>par régie ou entité publique pour chaque société retenue dans le périmètre de conciliation ;</w:t>
      </w:r>
      <w:bookmarkEnd w:id="110"/>
      <w:bookmarkEnd w:id="111"/>
      <w:bookmarkEnd w:id="112"/>
    </w:p>
    <w:p w14:paraId="79D44B26" w14:textId="77777777" w:rsidR="00434319" w:rsidRPr="00DD2CC6" w:rsidRDefault="00434319" w:rsidP="00DD2CC6">
      <w:pPr>
        <w:pStyle w:val="Paragraphedeliste"/>
        <w:numPr>
          <w:ilvl w:val="0"/>
          <w:numId w:val="33"/>
        </w:numPr>
        <w:spacing w:before="240" w:after="240" w:line="276" w:lineRule="auto"/>
        <w:jc w:val="both"/>
        <w:rPr>
          <w:rFonts w:ascii="Tw Cen MT" w:hAnsi="Tw Cen MT"/>
          <w:color w:val="000000" w:themeColor="text1"/>
          <w:sz w:val="26"/>
          <w:szCs w:val="26"/>
        </w:rPr>
      </w:pPr>
      <w:bookmarkStart w:id="113" w:name="_Toc89811034"/>
      <w:bookmarkStart w:id="114" w:name="_Toc89811152"/>
      <w:bookmarkStart w:id="115" w:name="_Toc89811426"/>
      <w:r w:rsidRPr="00DD2CC6">
        <w:rPr>
          <w:rFonts w:ascii="Tw Cen MT" w:hAnsi="Tw Cen MT"/>
          <w:color w:val="000000" w:themeColor="text1"/>
          <w:sz w:val="26"/>
          <w:szCs w:val="26"/>
        </w:rPr>
        <w:t>par taxe et par nature de flux de paiement tels que détaillés dans le formulaire de déclaration ; et</w:t>
      </w:r>
      <w:bookmarkEnd w:id="113"/>
      <w:bookmarkEnd w:id="114"/>
      <w:bookmarkEnd w:id="115"/>
    </w:p>
    <w:p w14:paraId="6053E491" w14:textId="77777777" w:rsidR="00434319" w:rsidRPr="00DD2CC6" w:rsidRDefault="00434319" w:rsidP="00DD2CC6">
      <w:pPr>
        <w:pStyle w:val="Paragraphedeliste"/>
        <w:numPr>
          <w:ilvl w:val="0"/>
          <w:numId w:val="33"/>
        </w:numPr>
        <w:spacing w:before="240" w:after="240" w:line="276" w:lineRule="auto"/>
        <w:jc w:val="both"/>
        <w:rPr>
          <w:rFonts w:ascii="Tw Cen MT" w:hAnsi="Tw Cen MT"/>
          <w:color w:val="000000" w:themeColor="text1"/>
          <w:sz w:val="26"/>
          <w:szCs w:val="26"/>
        </w:rPr>
      </w:pPr>
      <w:bookmarkStart w:id="116" w:name="_Toc89811035"/>
      <w:bookmarkStart w:id="117" w:name="_Toc89811153"/>
      <w:bookmarkStart w:id="118" w:name="_Toc89811427"/>
      <w:r w:rsidRPr="00DD2CC6">
        <w:rPr>
          <w:rFonts w:ascii="Tw Cen MT" w:hAnsi="Tw Cen MT"/>
          <w:color w:val="000000" w:themeColor="text1"/>
          <w:sz w:val="26"/>
          <w:szCs w:val="26"/>
        </w:rPr>
        <w:t>par projet, tel que requis par l’Exigence 4.7.</w:t>
      </w:r>
      <w:bookmarkEnd w:id="116"/>
      <w:bookmarkEnd w:id="117"/>
      <w:bookmarkEnd w:id="118"/>
    </w:p>
    <w:p w14:paraId="0D7480F2" w14:textId="34B96F8A" w:rsidR="00434319" w:rsidRDefault="00434319" w:rsidP="003E3BFC">
      <w:pPr>
        <w:spacing w:after="240"/>
        <w:jc w:val="both"/>
        <w:rPr>
          <w:rFonts w:ascii="Tw Cen MT" w:hAnsi="Tw Cen MT"/>
          <w:sz w:val="26"/>
          <w:szCs w:val="26"/>
        </w:rPr>
      </w:pPr>
      <w:r w:rsidRPr="003E3BFC">
        <w:rPr>
          <w:rFonts w:ascii="Tw Cen MT" w:hAnsi="Tw Cen MT"/>
          <w:sz w:val="26"/>
          <w:szCs w:val="26"/>
        </w:rPr>
        <w:t xml:space="preserve">Pour chaque flux de paiement reporté, les sociétés et les régies financières devront produire un détail par quittance/paiement, par date et par bénéficiaire. </w:t>
      </w:r>
    </w:p>
    <w:p w14:paraId="49837777" w14:textId="77777777" w:rsidR="00434319" w:rsidRPr="003E3BFC" w:rsidRDefault="00434319" w:rsidP="00434319">
      <w:pPr>
        <w:spacing w:after="60"/>
        <w:ind w:left="301" w:hanging="301"/>
        <w:jc w:val="both"/>
        <w:rPr>
          <w:rFonts w:ascii="Tw Cen MT" w:hAnsi="Tw Cen MT"/>
          <w:sz w:val="26"/>
          <w:szCs w:val="26"/>
        </w:rPr>
      </w:pPr>
      <w:r w:rsidRPr="003E3BFC">
        <w:rPr>
          <w:rFonts w:ascii="Tw Cen MT" w:hAnsi="Tw Cen MT"/>
          <w:sz w:val="26"/>
          <w:szCs w:val="26"/>
        </w:rPr>
        <w:t>Les sociétés seront sollicitées également à produire :</w:t>
      </w:r>
    </w:p>
    <w:p w14:paraId="538AE8DF" w14:textId="09BFEEB9" w:rsidR="00434319" w:rsidRPr="008A00A2" w:rsidRDefault="00434319" w:rsidP="008A00A2">
      <w:pPr>
        <w:pStyle w:val="Paragraphedeliste"/>
        <w:numPr>
          <w:ilvl w:val="0"/>
          <w:numId w:val="33"/>
        </w:numPr>
        <w:spacing w:line="276" w:lineRule="auto"/>
        <w:ind w:left="714" w:hanging="357"/>
        <w:contextualSpacing w:val="0"/>
        <w:jc w:val="both"/>
        <w:rPr>
          <w:rFonts w:ascii="Tw Cen MT" w:hAnsi="Tw Cen MT"/>
          <w:color w:val="000000" w:themeColor="text1"/>
          <w:sz w:val="26"/>
          <w:szCs w:val="26"/>
        </w:rPr>
      </w:pPr>
      <w:bookmarkStart w:id="119" w:name="_Toc89811036"/>
      <w:bookmarkStart w:id="120" w:name="_Toc89811154"/>
      <w:bookmarkStart w:id="121" w:name="_Toc89811428"/>
      <w:r w:rsidRPr="008A00A2">
        <w:rPr>
          <w:rFonts w:ascii="Tw Cen MT" w:hAnsi="Tw Cen MT"/>
          <w:color w:val="000000" w:themeColor="text1"/>
          <w:sz w:val="26"/>
          <w:szCs w:val="26"/>
        </w:rPr>
        <w:t>des informations sur la structure de leurs capitaux propres ;</w:t>
      </w:r>
      <w:bookmarkEnd w:id="119"/>
      <w:bookmarkEnd w:id="120"/>
      <w:bookmarkEnd w:id="121"/>
    </w:p>
    <w:p w14:paraId="13148848" w14:textId="1B3B1E42" w:rsidR="00434319" w:rsidRPr="008A00A2" w:rsidRDefault="00434319" w:rsidP="008A00A2">
      <w:pPr>
        <w:pStyle w:val="Paragraphedeliste"/>
        <w:numPr>
          <w:ilvl w:val="0"/>
          <w:numId w:val="33"/>
        </w:numPr>
        <w:spacing w:line="276" w:lineRule="auto"/>
        <w:ind w:left="714" w:hanging="357"/>
        <w:contextualSpacing w:val="0"/>
        <w:jc w:val="both"/>
        <w:rPr>
          <w:rFonts w:ascii="Tw Cen MT" w:hAnsi="Tw Cen MT"/>
          <w:color w:val="000000" w:themeColor="text1"/>
          <w:sz w:val="26"/>
          <w:szCs w:val="26"/>
        </w:rPr>
      </w:pPr>
      <w:bookmarkStart w:id="122" w:name="_Toc89811037"/>
      <w:bookmarkStart w:id="123" w:name="_Toc89811155"/>
      <w:bookmarkStart w:id="124" w:name="_Toc89811429"/>
      <w:r w:rsidRPr="008A00A2">
        <w:rPr>
          <w:rFonts w:ascii="Tw Cen MT" w:hAnsi="Tw Cen MT"/>
          <w:color w:val="000000" w:themeColor="text1"/>
          <w:sz w:val="26"/>
          <w:szCs w:val="26"/>
        </w:rPr>
        <w:t>l’audit des comptes de l’exercice 2019.</w:t>
      </w:r>
      <w:bookmarkEnd w:id="122"/>
      <w:bookmarkEnd w:id="123"/>
      <w:bookmarkEnd w:id="124"/>
    </w:p>
    <w:p w14:paraId="65015CF6" w14:textId="77777777" w:rsidR="00434319" w:rsidRPr="003E3BFC" w:rsidRDefault="00434319" w:rsidP="0048041A">
      <w:pPr>
        <w:pStyle w:val="Paragraphedeliste"/>
        <w:numPr>
          <w:ilvl w:val="1"/>
          <w:numId w:val="9"/>
        </w:numPr>
        <w:spacing w:before="240" w:after="240"/>
        <w:ind w:left="1797"/>
        <w:contextualSpacing w:val="0"/>
        <w:outlineLvl w:val="1"/>
        <w:rPr>
          <w:rFonts w:ascii="Tw Cen MT" w:hAnsi="Tw Cen MT"/>
          <w:b/>
          <w:iCs/>
          <w:sz w:val="26"/>
          <w:szCs w:val="26"/>
        </w:rPr>
      </w:pPr>
      <w:bookmarkStart w:id="125" w:name="_Toc36744060"/>
      <w:bookmarkStart w:id="126" w:name="_Toc90999735"/>
      <w:r w:rsidRPr="003E3BFC">
        <w:rPr>
          <w:rFonts w:ascii="Tw Cen MT" w:hAnsi="Tw Cen MT"/>
          <w:b/>
          <w:iCs/>
          <w:sz w:val="26"/>
          <w:szCs w:val="26"/>
        </w:rPr>
        <w:t>Période fiscale</w:t>
      </w:r>
      <w:bookmarkEnd w:id="125"/>
      <w:bookmarkEnd w:id="126"/>
    </w:p>
    <w:p w14:paraId="54AC877D" w14:textId="362E030D" w:rsidR="00434319" w:rsidRDefault="00434319" w:rsidP="003E3BFC">
      <w:pPr>
        <w:spacing w:before="120" w:line="276" w:lineRule="auto"/>
        <w:jc w:val="both"/>
        <w:rPr>
          <w:rFonts w:ascii="Tw Cen MT" w:hAnsi="Tw Cen MT"/>
          <w:sz w:val="26"/>
          <w:szCs w:val="26"/>
          <w:lang w:bidi="ar-TN"/>
        </w:rPr>
      </w:pPr>
      <w:bookmarkStart w:id="127" w:name="_Hlk17897048"/>
      <w:r w:rsidRPr="003E3BFC">
        <w:rPr>
          <w:rFonts w:ascii="Tw Cen MT" w:hAnsi="Tw Cen MT"/>
          <w:sz w:val="26"/>
          <w:szCs w:val="26"/>
        </w:rPr>
        <w:t>La période fiscale à retenir dans le cadre de la publication du rapport ITIE du Mali couvre l’année 2019.</w:t>
      </w:r>
      <w:r w:rsidR="003E3BFC">
        <w:rPr>
          <w:rFonts w:ascii="Tw Cen MT" w:hAnsi="Tw Cen MT"/>
          <w:sz w:val="26"/>
          <w:szCs w:val="26"/>
        </w:rPr>
        <w:t xml:space="preserve"> </w:t>
      </w:r>
      <w:r w:rsidRPr="003E3BFC">
        <w:rPr>
          <w:rFonts w:ascii="Tw Cen MT" w:hAnsi="Tw Cen MT"/>
          <w:sz w:val="26"/>
          <w:szCs w:val="26"/>
        </w:rPr>
        <w:t>Les entités déclarantes vont reporter les paiements et les contributions effectués entre le 1</w:t>
      </w:r>
      <w:r w:rsidRPr="003E3BFC">
        <w:rPr>
          <w:rFonts w:ascii="Tw Cen MT" w:hAnsi="Tw Cen MT"/>
          <w:sz w:val="26"/>
          <w:szCs w:val="26"/>
          <w:vertAlign w:val="superscript"/>
        </w:rPr>
        <w:t xml:space="preserve">er </w:t>
      </w:r>
      <w:r w:rsidRPr="003E3BFC">
        <w:rPr>
          <w:rFonts w:ascii="Tw Cen MT" w:hAnsi="Tw Cen MT"/>
          <w:sz w:val="26"/>
          <w:szCs w:val="26"/>
        </w:rPr>
        <w:t xml:space="preserve">janvier 2019 et le 31 décembre 2019. </w:t>
      </w:r>
      <w:r w:rsidRPr="003E3BFC">
        <w:rPr>
          <w:rFonts w:ascii="Tw Cen MT" w:hAnsi="Tw Cen MT"/>
          <w:sz w:val="26"/>
          <w:szCs w:val="26"/>
          <w:lang w:bidi="ar-TN"/>
        </w:rPr>
        <w:t>La date à prendre en considération est celle qui correspond en principe à la date mentionnée sur le reçu/la quittance de paiement ou à défaut la date du chèque/virement.</w:t>
      </w:r>
      <w:bookmarkEnd w:id="127"/>
    </w:p>
    <w:p w14:paraId="64E45362" w14:textId="551394AE" w:rsidR="00D22548" w:rsidRPr="003E3BFC" w:rsidRDefault="00D22548" w:rsidP="00D22548">
      <w:pPr>
        <w:pStyle w:val="Paragraphedeliste"/>
        <w:numPr>
          <w:ilvl w:val="1"/>
          <w:numId w:val="9"/>
        </w:numPr>
        <w:spacing w:before="240" w:after="240"/>
        <w:ind w:left="1797"/>
        <w:contextualSpacing w:val="0"/>
        <w:outlineLvl w:val="1"/>
        <w:rPr>
          <w:rFonts w:ascii="Tw Cen MT" w:hAnsi="Tw Cen MT"/>
          <w:b/>
          <w:iCs/>
          <w:sz w:val="26"/>
          <w:szCs w:val="26"/>
        </w:rPr>
      </w:pPr>
      <w:bookmarkStart w:id="128" w:name="_Toc90999736"/>
      <w:r>
        <w:rPr>
          <w:rFonts w:ascii="Tw Cen MT" w:hAnsi="Tw Cen MT"/>
          <w:b/>
          <w:iCs/>
          <w:sz w:val="26"/>
          <w:szCs w:val="26"/>
        </w:rPr>
        <w:t>Suivi des recommandations antérieures</w:t>
      </w:r>
      <w:bookmarkEnd w:id="128"/>
    </w:p>
    <w:p w14:paraId="08F220DF" w14:textId="77777777" w:rsidR="00D22548" w:rsidRPr="00D22548" w:rsidRDefault="00D22548" w:rsidP="00D22548">
      <w:pPr>
        <w:spacing w:before="120" w:line="276" w:lineRule="auto"/>
        <w:jc w:val="both"/>
        <w:rPr>
          <w:rFonts w:ascii="Tw Cen MT" w:hAnsi="Tw Cen MT"/>
          <w:sz w:val="26"/>
          <w:szCs w:val="26"/>
          <w:lang w:bidi="ar-TN"/>
        </w:rPr>
      </w:pPr>
      <w:r w:rsidRPr="00D22548">
        <w:rPr>
          <w:rFonts w:ascii="Tw Cen MT" w:hAnsi="Tw Cen MT"/>
          <w:sz w:val="26"/>
          <w:szCs w:val="26"/>
          <w:lang w:bidi="ar-TN"/>
        </w:rPr>
        <w:t xml:space="preserve">Conformément aux termes de référence de la mission, nous allons procéder au suivi des recommandations issues des rapports ITIE antérieures et des rapports des validations précédentes. Il s’agira de déterminer pour chaque recommandation le niveau d’exécution. </w:t>
      </w:r>
    </w:p>
    <w:p w14:paraId="4BE3C501" w14:textId="77777777" w:rsidR="00D22548" w:rsidRPr="00D22548" w:rsidRDefault="00D22548" w:rsidP="00D22548">
      <w:pPr>
        <w:spacing w:before="120" w:line="276" w:lineRule="auto"/>
        <w:jc w:val="both"/>
        <w:rPr>
          <w:rFonts w:ascii="Tw Cen MT" w:hAnsi="Tw Cen MT"/>
          <w:sz w:val="26"/>
          <w:szCs w:val="26"/>
          <w:lang w:bidi="ar-TN"/>
        </w:rPr>
      </w:pPr>
      <w:r w:rsidRPr="00D22548">
        <w:rPr>
          <w:rFonts w:ascii="Tw Cen MT" w:hAnsi="Tw Cen MT"/>
          <w:sz w:val="26"/>
          <w:szCs w:val="26"/>
          <w:lang w:bidi="ar-TN"/>
        </w:rPr>
        <w:t xml:space="preserve">Nous utiliserons une grille d’appréciation à trois (3) niveaux de mise en œuvre, à savoir: </w:t>
      </w:r>
    </w:p>
    <w:p w14:paraId="7C09A7D4" w14:textId="77777777" w:rsidR="00D22548" w:rsidRPr="00D22548" w:rsidRDefault="00D22548" w:rsidP="00D22548">
      <w:pPr>
        <w:numPr>
          <w:ilvl w:val="0"/>
          <w:numId w:val="34"/>
        </w:numPr>
        <w:spacing w:line="276" w:lineRule="auto"/>
        <w:jc w:val="both"/>
        <w:rPr>
          <w:rFonts w:ascii="Tw Cen MT" w:hAnsi="Tw Cen MT"/>
          <w:sz w:val="26"/>
          <w:szCs w:val="26"/>
          <w:lang w:bidi="ar-TN"/>
        </w:rPr>
      </w:pPr>
      <w:r w:rsidRPr="00D22548">
        <w:rPr>
          <w:rFonts w:ascii="Tw Cen MT" w:hAnsi="Tw Cen MT"/>
          <w:sz w:val="26"/>
          <w:szCs w:val="26"/>
          <w:lang w:bidi="ar-TN"/>
        </w:rPr>
        <w:t>Totalement exécutée;</w:t>
      </w:r>
    </w:p>
    <w:p w14:paraId="19786282" w14:textId="77777777" w:rsidR="00D22548" w:rsidRPr="00D22548" w:rsidRDefault="00D22548" w:rsidP="00D22548">
      <w:pPr>
        <w:numPr>
          <w:ilvl w:val="0"/>
          <w:numId w:val="34"/>
        </w:numPr>
        <w:spacing w:line="276" w:lineRule="auto"/>
        <w:jc w:val="both"/>
        <w:rPr>
          <w:rFonts w:ascii="Tw Cen MT" w:hAnsi="Tw Cen MT"/>
          <w:sz w:val="26"/>
          <w:szCs w:val="26"/>
          <w:lang w:bidi="ar-TN"/>
        </w:rPr>
      </w:pPr>
      <w:r w:rsidRPr="00D22548">
        <w:rPr>
          <w:rFonts w:ascii="Tw Cen MT" w:hAnsi="Tw Cen MT"/>
          <w:sz w:val="26"/>
          <w:szCs w:val="26"/>
          <w:lang w:bidi="ar-TN"/>
        </w:rPr>
        <w:t xml:space="preserve">Partiellement exécutée ; </w:t>
      </w:r>
    </w:p>
    <w:p w14:paraId="3A67DDAF" w14:textId="77777777" w:rsidR="00D22548" w:rsidRPr="00D22548" w:rsidRDefault="00D22548" w:rsidP="00D22548">
      <w:pPr>
        <w:numPr>
          <w:ilvl w:val="0"/>
          <w:numId w:val="34"/>
        </w:numPr>
        <w:spacing w:line="276" w:lineRule="auto"/>
        <w:jc w:val="both"/>
        <w:rPr>
          <w:rFonts w:ascii="Tw Cen MT" w:hAnsi="Tw Cen MT"/>
          <w:sz w:val="26"/>
          <w:szCs w:val="26"/>
          <w:lang w:bidi="ar-TN"/>
        </w:rPr>
      </w:pPr>
      <w:r w:rsidRPr="00D22548">
        <w:rPr>
          <w:rFonts w:ascii="Tw Cen MT" w:hAnsi="Tw Cen MT"/>
          <w:sz w:val="26"/>
          <w:szCs w:val="26"/>
          <w:lang w:bidi="ar-TN"/>
        </w:rPr>
        <w:t>Non exécutée.</w:t>
      </w:r>
    </w:p>
    <w:p w14:paraId="31CFA729" w14:textId="77777777" w:rsidR="00D22548" w:rsidRPr="003E3BFC" w:rsidRDefault="00D22548" w:rsidP="003E3BFC">
      <w:pPr>
        <w:spacing w:before="120" w:line="276" w:lineRule="auto"/>
        <w:jc w:val="both"/>
        <w:rPr>
          <w:rFonts w:ascii="Tw Cen MT" w:hAnsi="Tw Cen MT"/>
          <w:sz w:val="26"/>
          <w:szCs w:val="26"/>
          <w:lang w:bidi="ar-TN"/>
        </w:rPr>
      </w:pPr>
    </w:p>
    <w:p w14:paraId="2930E78B" w14:textId="77777777" w:rsidR="00DD2CC6" w:rsidRDefault="00DD2CC6" w:rsidP="00D67F6B">
      <w:pPr>
        <w:spacing w:before="240" w:after="240" w:line="276" w:lineRule="auto"/>
        <w:outlineLvl w:val="1"/>
        <w:rPr>
          <w:rFonts w:ascii="Tw Cen MT" w:hAnsi="Tw Cen MT"/>
          <w:bCs/>
          <w:iCs/>
          <w:sz w:val="26"/>
          <w:szCs w:val="26"/>
        </w:rPr>
      </w:pPr>
    </w:p>
    <w:p w14:paraId="26648E89" w14:textId="061E90C6" w:rsidR="00B11D3B" w:rsidRDefault="00B11D3B" w:rsidP="00D67F6B">
      <w:pPr>
        <w:spacing w:before="240" w:after="240" w:line="276" w:lineRule="auto"/>
        <w:outlineLvl w:val="1"/>
        <w:rPr>
          <w:rFonts w:ascii="Tw Cen MT" w:hAnsi="Tw Cen MT"/>
          <w:bCs/>
          <w:iCs/>
          <w:sz w:val="26"/>
          <w:szCs w:val="26"/>
        </w:rPr>
      </w:pPr>
    </w:p>
    <w:p w14:paraId="72E22BDA" w14:textId="77777777" w:rsidR="00AB0A2B" w:rsidRDefault="00AB0A2B" w:rsidP="00F84296">
      <w:pPr>
        <w:pStyle w:val="Paragraphedeliste"/>
        <w:numPr>
          <w:ilvl w:val="0"/>
          <w:numId w:val="5"/>
        </w:numPr>
        <w:spacing w:before="240" w:after="240"/>
        <w:ind w:left="1077"/>
        <w:contextualSpacing w:val="0"/>
        <w:outlineLvl w:val="0"/>
        <w:rPr>
          <w:rFonts w:ascii="Tw Cen MT" w:hAnsi="Tw Cen MT"/>
          <w:b/>
          <w:iCs/>
          <w:sz w:val="26"/>
          <w:szCs w:val="26"/>
        </w:rPr>
        <w:sectPr w:rsidR="00AB0A2B" w:rsidSect="00AB0A2B">
          <w:pgSz w:w="11906" w:h="16838" w:code="9"/>
          <w:pgMar w:top="1418" w:right="1276" w:bottom="1276" w:left="1418" w:header="709" w:footer="709" w:gutter="0"/>
          <w:cols w:space="708"/>
          <w:docGrid w:linePitch="360"/>
        </w:sectPr>
      </w:pPr>
    </w:p>
    <w:p w14:paraId="0FBE181A" w14:textId="73F40148" w:rsidR="00B125FA" w:rsidRPr="003F215E" w:rsidRDefault="00703434" w:rsidP="00F84296">
      <w:pPr>
        <w:pStyle w:val="Paragraphedeliste"/>
        <w:numPr>
          <w:ilvl w:val="0"/>
          <w:numId w:val="5"/>
        </w:numPr>
        <w:spacing w:before="240" w:after="240"/>
        <w:ind w:left="1077"/>
        <w:contextualSpacing w:val="0"/>
        <w:outlineLvl w:val="0"/>
        <w:rPr>
          <w:rFonts w:ascii="Tw Cen MT" w:hAnsi="Tw Cen MT"/>
          <w:b/>
          <w:iCs/>
          <w:sz w:val="26"/>
          <w:szCs w:val="26"/>
        </w:rPr>
      </w:pPr>
      <w:bookmarkStart w:id="129" w:name="_Toc90999737"/>
      <w:r w:rsidRPr="003F215E">
        <w:rPr>
          <w:rFonts w:ascii="Tw Cen MT" w:hAnsi="Tw Cen MT"/>
          <w:b/>
          <w:iCs/>
          <w:sz w:val="26"/>
          <w:szCs w:val="26"/>
        </w:rPr>
        <w:lastRenderedPageBreak/>
        <w:t xml:space="preserve">CHRONOGRAMME </w:t>
      </w:r>
      <w:r w:rsidR="00C30010" w:rsidRPr="003F215E">
        <w:rPr>
          <w:rFonts w:ascii="Tw Cen MT" w:hAnsi="Tw Cen MT"/>
          <w:b/>
          <w:iCs/>
          <w:sz w:val="26"/>
          <w:szCs w:val="26"/>
        </w:rPr>
        <w:t>INDICATIF</w:t>
      </w:r>
      <w:bookmarkEnd w:id="129"/>
    </w:p>
    <w:p w14:paraId="79778154" w14:textId="48A44C5B" w:rsidR="00C30010" w:rsidRDefault="005401AB" w:rsidP="00C30010">
      <w:pPr>
        <w:spacing w:before="240" w:after="160" w:line="259" w:lineRule="auto"/>
        <w:ind w:left="357"/>
        <w:jc w:val="both"/>
        <w:rPr>
          <w:rFonts w:ascii="Tw Cen MT" w:hAnsi="Tw Cen MT"/>
          <w:bCs/>
          <w:iCs/>
          <w:sz w:val="26"/>
          <w:szCs w:val="26"/>
        </w:rPr>
      </w:pPr>
      <w:r w:rsidRPr="005401AB">
        <w:rPr>
          <w:rFonts w:ascii="Tw Cen MT" w:hAnsi="Tw Cen MT"/>
          <w:b/>
          <w:iCs/>
          <w:noProof/>
          <w:sz w:val="24"/>
          <w:szCs w:val="24"/>
          <w:lang w:eastAsia="fr-FR"/>
        </w:rPr>
        <mc:AlternateContent>
          <mc:Choice Requires="wps">
            <w:drawing>
              <wp:anchor distT="0" distB="0" distL="114300" distR="114300" simplePos="0" relativeHeight="251708416" behindDoc="0" locked="0" layoutInCell="1" allowOverlap="1" wp14:anchorId="2F48B5AD" wp14:editId="2B39D418">
                <wp:simplePos x="0" y="0"/>
                <wp:positionH relativeFrom="column">
                  <wp:posOffset>2520950</wp:posOffset>
                </wp:positionH>
                <wp:positionV relativeFrom="paragraph">
                  <wp:posOffset>4212590</wp:posOffset>
                </wp:positionV>
                <wp:extent cx="2790825" cy="297180"/>
                <wp:effectExtent l="0" t="0" r="0" b="0"/>
                <wp:wrapNone/>
                <wp:docPr id="91" name="ZoneTexte 9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C5A0CF-5E28-49D2-BC79-62A4A06F7116}"/>
                    </a:ext>
                  </a:extLst>
                </wp:docPr>
                <wp:cNvGraphicFramePr/>
                <a:graphic xmlns:a="http://schemas.openxmlformats.org/drawingml/2006/main">
                  <a:graphicData uri="http://schemas.microsoft.com/office/word/2010/wordprocessingShape">
                    <wps:wsp>
                      <wps:cNvSpPr txBox="1"/>
                      <wps:spPr>
                        <a:xfrm>
                          <a:off x="0" y="0"/>
                          <a:ext cx="2790825" cy="297180"/>
                        </a:xfrm>
                        <a:prstGeom prst="rect">
                          <a:avLst/>
                        </a:prstGeom>
                        <a:noFill/>
                      </wps:spPr>
                      <wps:txbx>
                        <w:txbxContent>
                          <w:p w14:paraId="3BF31C00" w14:textId="1E70EB05" w:rsidR="005401AB" w:rsidRDefault="005401AB" w:rsidP="005401AB">
                            <w:pPr>
                              <w:spacing w:after="120"/>
                              <w:rPr>
                                <w:rFonts w:asciiTheme="minorHAnsi" w:hAnsi="Calibri" w:cstheme="minorBidi"/>
                                <w:b/>
                                <w:bCs/>
                                <w:color w:val="222A35" w:themeColor="text2" w:themeShade="80"/>
                                <w:kern w:val="24"/>
                                <w:sz w:val="14"/>
                                <w:szCs w:val="14"/>
                              </w:rPr>
                            </w:pPr>
                            <w:r>
                              <w:rPr>
                                <w:rFonts w:asciiTheme="minorHAnsi" w:hAnsi="Calibri" w:cstheme="minorBidi"/>
                                <w:b/>
                                <w:bCs/>
                                <w:color w:val="222A35" w:themeColor="text2" w:themeShade="80"/>
                                <w:kern w:val="24"/>
                                <w:sz w:val="14"/>
                                <w:szCs w:val="14"/>
                              </w:rPr>
                              <w:t>Communication de la version provisoire du rapport</w:t>
                            </w:r>
                          </w:p>
                        </w:txbxContent>
                      </wps:txbx>
                      <wps:bodyPr wrap="square" lIns="54610" tIns="54610" rIns="54610" bIns="5461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48B5AD" id="_x0000_t202" coordsize="21600,21600" o:spt="202" path="m,l,21600r21600,l21600,xe">
                <v:stroke joinstyle="miter"/>
                <v:path gradientshapeok="t" o:connecttype="rect"/>
              </v:shapetype>
              <v:shape id="ZoneTexte 90" o:spid="_x0000_s1026" type="#_x0000_t202" style="position:absolute;left:0;text-align:left;margin-left:198.5pt;margin-top:331.7pt;width:219.75pt;height:23.4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" filled="f" stroked="f">
                <v:textbox inset="4.3pt,4.3pt,4.3pt,4.3pt">
                  <w:txbxContent>
                    <w:p w14:paraId="3BF31C00" w14:textId="1E70EB05" w:rsidR="005401AB" w:rsidRDefault="005401AB" w:rsidP="005401AB">
                      <w:pPr>
                        <w:spacing w:after="120"/>
                        <w:rPr>
                          <w:rFonts w:asciiTheme="minorHAnsi" w:hAnsi="Calibri" w:cstheme="minorBidi"/>
                          <w:b/>
                          <w:bCs/>
                          <w:color w:val="222A35" w:themeColor="text2" w:themeShade="80"/>
                          <w:kern w:val="24"/>
                          <w:sz w:val="14"/>
                          <w:szCs w:val="14"/>
                        </w:rPr>
                      </w:pPr>
                      <w:r>
                        <w:rPr>
                          <w:rFonts w:asciiTheme="minorHAnsi" w:hAnsi="Calibri" w:cstheme="minorBidi"/>
                          <w:b/>
                          <w:bCs/>
                          <w:color w:val="222A35" w:themeColor="text2" w:themeShade="80"/>
                          <w:kern w:val="24"/>
                          <w:sz w:val="14"/>
                          <w:szCs w:val="14"/>
                        </w:rPr>
                        <w:t>Communication de la version provisoire du rapport</w:t>
                      </w:r>
                    </w:p>
                  </w:txbxContent>
                </v:textbox>
              </v:shape>
            </w:pict>
          </mc:Fallback>
        </mc:AlternateContent>
      </w:r>
      <w:r w:rsidRPr="005401AB">
        <w:rPr>
          <w:rFonts w:ascii="Tw Cen MT" w:hAnsi="Tw Cen MT"/>
          <w:bCs/>
          <w:iCs/>
          <w:noProof/>
          <w:sz w:val="24"/>
          <w:szCs w:val="24"/>
          <w:lang w:eastAsia="fr-FR"/>
        </w:rPr>
        <mc:AlternateContent>
          <mc:Choice Requires="wps">
            <w:drawing>
              <wp:anchor distT="0" distB="0" distL="114300" distR="114300" simplePos="0" relativeHeight="251700224" behindDoc="0" locked="0" layoutInCell="1" allowOverlap="1" wp14:anchorId="21C502E4" wp14:editId="1EBF5D9C">
                <wp:simplePos x="0" y="0"/>
                <wp:positionH relativeFrom="margin">
                  <wp:align>right</wp:align>
                </wp:positionH>
                <wp:positionV relativeFrom="paragraph">
                  <wp:posOffset>3627755</wp:posOffset>
                </wp:positionV>
                <wp:extent cx="133156" cy="126141"/>
                <wp:effectExtent l="0" t="0" r="635" b="7620"/>
                <wp:wrapNone/>
                <wp:docPr id="14" name="Triangle isocèle 83"/>
                <wp:cNvGraphicFramePr/>
                <a:graphic xmlns:a="http://schemas.openxmlformats.org/drawingml/2006/main">
                  <a:graphicData uri="http://schemas.microsoft.com/office/word/2010/wordprocessingShape">
                    <wps:wsp>
                      <wps:cNvSpPr/>
                      <wps:spPr>
                        <a:xfrm>
                          <a:off x="0" y="0"/>
                          <a:ext cx="133156" cy="126141"/>
                        </a:xfrm>
                        <a:prstGeom prst="triangl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2F4D3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83" o:spid="_x0000_s1026" type="#_x0000_t5" style="position:absolute;margin-left:-40.7pt;margin-top:285.65pt;width:10.5pt;height:9.95pt;z-index:25170022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" fillcolor="red" stroked="f" strokeweight="1pt">
                <w10:wrap anchorx="margin"/>
              </v:shape>
            </w:pict>
          </mc:Fallback>
        </mc:AlternateContent>
      </w:r>
      <w:r w:rsidR="00C30010" w:rsidRPr="00C30010">
        <w:rPr>
          <w:rFonts w:ascii="Tw Cen MT" w:hAnsi="Tw Cen MT"/>
          <w:bCs/>
          <w:iCs/>
          <w:sz w:val="26"/>
          <w:szCs w:val="26"/>
        </w:rPr>
        <w:t xml:space="preserve">La réalisation de la mission est envisagée dans un délai de </w:t>
      </w:r>
      <w:r w:rsidR="007A44AD">
        <w:rPr>
          <w:rFonts w:ascii="Tw Cen MT" w:hAnsi="Tw Cen MT"/>
          <w:bCs/>
          <w:iCs/>
          <w:sz w:val="26"/>
          <w:szCs w:val="26"/>
        </w:rPr>
        <w:t>3</w:t>
      </w:r>
      <w:r w:rsidR="00C30010" w:rsidRPr="00C30010">
        <w:rPr>
          <w:rFonts w:ascii="Tw Cen MT" w:hAnsi="Tw Cen MT"/>
          <w:bCs/>
          <w:iCs/>
          <w:sz w:val="26"/>
          <w:szCs w:val="26"/>
        </w:rPr>
        <w:t xml:space="preserve"> mois selon le chronogramme indicatif ci-dessous. Il est révisable en fonction des contraintes après accord entre le consultant et le commanditaire.</w:t>
      </w:r>
    </w:p>
    <w:p w14:paraId="6212166C" w14:textId="2DEE5C27" w:rsidR="00A54243" w:rsidRPr="00A54243" w:rsidRDefault="00A54243" w:rsidP="00A54243">
      <w:pPr>
        <w:pStyle w:val="Lgende"/>
        <w:rPr>
          <w:rFonts w:ascii="Tw Cen MT" w:hAnsi="Tw Cen MT"/>
          <w:b/>
          <w:bCs/>
          <w:i w:val="0"/>
          <w:iCs w:val="0"/>
          <w:color w:val="auto"/>
          <w:sz w:val="24"/>
          <w:szCs w:val="24"/>
        </w:rPr>
      </w:pPr>
      <w:bookmarkStart w:id="130" w:name="_Toc90995631"/>
      <w:r w:rsidRPr="00A54243">
        <w:rPr>
          <w:rFonts w:ascii="Tw Cen MT" w:hAnsi="Tw Cen MT"/>
          <w:b/>
          <w:bCs/>
          <w:i w:val="0"/>
          <w:iCs w:val="0"/>
          <w:color w:val="auto"/>
          <w:sz w:val="24"/>
          <w:szCs w:val="24"/>
        </w:rPr>
        <w:t xml:space="preserve">Tableau </w:t>
      </w:r>
      <w:r w:rsidRPr="00A54243">
        <w:rPr>
          <w:rFonts w:ascii="Tw Cen MT" w:hAnsi="Tw Cen MT"/>
          <w:b/>
          <w:bCs/>
          <w:i w:val="0"/>
          <w:iCs w:val="0"/>
          <w:color w:val="auto"/>
          <w:sz w:val="24"/>
          <w:szCs w:val="24"/>
        </w:rPr>
        <w:fldChar w:fldCharType="begin"/>
      </w:r>
      <w:r w:rsidRPr="00A54243">
        <w:rPr>
          <w:rFonts w:ascii="Tw Cen MT" w:hAnsi="Tw Cen MT"/>
          <w:b/>
          <w:bCs/>
          <w:i w:val="0"/>
          <w:iCs w:val="0"/>
          <w:color w:val="auto"/>
          <w:sz w:val="24"/>
          <w:szCs w:val="24"/>
        </w:rPr>
        <w:instrText xml:space="preserve"> SEQ Tableau \* ARABIC </w:instrText>
      </w:r>
      <w:r w:rsidRPr="00A54243">
        <w:rPr>
          <w:rFonts w:ascii="Tw Cen MT" w:hAnsi="Tw Cen MT"/>
          <w:b/>
          <w:bCs/>
          <w:i w:val="0"/>
          <w:iCs w:val="0"/>
          <w:color w:val="auto"/>
          <w:sz w:val="24"/>
          <w:szCs w:val="24"/>
        </w:rPr>
        <w:fldChar w:fldCharType="separate"/>
      </w:r>
      <w:r w:rsidRPr="00A54243">
        <w:rPr>
          <w:rFonts w:ascii="Tw Cen MT" w:hAnsi="Tw Cen MT"/>
          <w:b/>
          <w:bCs/>
          <w:i w:val="0"/>
          <w:iCs w:val="0"/>
          <w:color w:val="auto"/>
          <w:sz w:val="24"/>
          <w:szCs w:val="24"/>
        </w:rPr>
        <w:t>9</w:t>
      </w:r>
      <w:r w:rsidRPr="00A54243">
        <w:rPr>
          <w:rFonts w:ascii="Tw Cen MT" w:hAnsi="Tw Cen MT"/>
          <w:b/>
          <w:bCs/>
          <w:i w:val="0"/>
          <w:iCs w:val="0"/>
          <w:color w:val="auto"/>
          <w:sz w:val="24"/>
          <w:szCs w:val="24"/>
        </w:rPr>
        <w:fldChar w:fldCharType="end"/>
      </w:r>
      <w:r w:rsidRPr="00A54243">
        <w:rPr>
          <w:rFonts w:ascii="Tw Cen MT" w:hAnsi="Tw Cen MT"/>
          <w:b/>
          <w:bCs/>
          <w:i w:val="0"/>
          <w:iCs w:val="0"/>
          <w:color w:val="auto"/>
          <w:sz w:val="24"/>
          <w:szCs w:val="24"/>
        </w:rPr>
        <w:t>: Chronogramme indicatif</w:t>
      </w:r>
      <w:r>
        <w:rPr>
          <w:rFonts w:ascii="Tw Cen MT" w:hAnsi="Tw Cen MT"/>
          <w:b/>
          <w:bCs/>
          <w:i w:val="0"/>
          <w:iCs w:val="0"/>
          <w:color w:val="auto"/>
          <w:sz w:val="24"/>
          <w:szCs w:val="24"/>
        </w:rPr>
        <w:t xml:space="preserve"> de la mission</w:t>
      </w:r>
      <w:bookmarkEnd w:id="130"/>
    </w:p>
    <w:tbl>
      <w:tblPr>
        <w:tblW w:w="14398" w:type="dxa"/>
        <w:tblCellMar>
          <w:left w:w="0" w:type="dxa"/>
          <w:right w:w="0" w:type="dxa"/>
        </w:tblCellMar>
        <w:tblLook w:val="0420" w:firstRow="1" w:lastRow="0" w:firstColumn="0" w:lastColumn="0" w:noHBand="0" w:noVBand="1"/>
      </w:tblPr>
      <w:tblGrid>
        <w:gridCol w:w="1115"/>
        <w:gridCol w:w="1176"/>
        <w:gridCol w:w="1243"/>
        <w:gridCol w:w="1177"/>
        <w:gridCol w:w="1177"/>
        <w:gridCol w:w="1178"/>
        <w:gridCol w:w="1178"/>
        <w:gridCol w:w="1178"/>
        <w:gridCol w:w="1178"/>
        <w:gridCol w:w="1178"/>
        <w:gridCol w:w="1178"/>
        <w:gridCol w:w="1442"/>
      </w:tblGrid>
      <w:tr w:rsidR="005401AB" w:rsidRPr="005401AB" w14:paraId="6A281124" w14:textId="77777777" w:rsidTr="005401AB">
        <w:trPr>
          <w:trHeight w:val="567"/>
        </w:trPr>
        <w:tc>
          <w:tcPr>
            <w:tcW w:w="1115" w:type="dxa"/>
            <w:tcBorders>
              <w:top w:val="nil"/>
              <w:left w:val="single" w:sz="8" w:space="0" w:color="FFFFFF"/>
              <w:bottom w:val="nil"/>
              <w:right w:val="single" w:sz="8" w:space="0" w:color="FFFFFF"/>
            </w:tcBorders>
            <w:shd w:val="clear" w:color="auto" w:fill="00B0F0"/>
            <w:tcMar>
              <w:top w:w="72" w:type="dxa"/>
              <w:left w:w="144" w:type="dxa"/>
              <w:bottom w:w="72" w:type="dxa"/>
              <w:right w:w="144" w:type="dxa"/>
            </w:tcMar>
            <w:vAlign w:val="center"/>
            <w:hideMark/>
          </w:tcPr>
          <w:p w14:paraId="127DFFD2" w14:textId="361EBB08" w:rsidR="005F1AF2" w:rsidRPr="005F1AF2" w:rsidRDefault="005F1AF2" w:rsidP="005F1AF2">
            <w:pPr>
              <w:spacing w:before="240" w:after="160" w:line="259" w:lineRule="auto"/>
              <w:jc w:val="both"/>
              <w:rPr>
                <w:rFonts w:ascii="Tw Cen MT" w:hAnsi="Tw Cen MT"/>
                <w:bCs/>
                <w:iCs/>
                <w:color w:val="FFFFFF" w:themeColor="background1"/>
                <w:sz w:val="16"/>
                <w:szCs w:val="16"/>
              </w:rPr>
            </w:pPr>
            <w:r w:rsidRPr="005401AB">
              <w:rPr>
                <w:rFonts w:ascii="Tw Cen MT" w:hAnsi="Tw Cen MT"/>
                <w:b/>
                <w:bCs/>
                <w:iCs/>
                <w:color w:val="FFFFFF" w:themeColor="background1"/>
                <w:sz w:val="16"/>
                <w:szCs w:val="16"/>
                <w:lang w:val="en-GB"/>
              </w:rPr>
              <w:t>01</w:t>
            </w:r>
            <w:r w:rsidRPr="005F1AF2">
              <w:rPr>
                <w:rFonts w:ascii="Tw Cen MT" w:hAnsi="Tw Cen MT"/>
                <w:b/>
                <w:bCs/>
                <w:iCs/>
                <w:color w:val="FFFFFF" w:themeColor="background1"/>
                <w:sz w:val="16"/>
                <w:szCs w:val="16"/>
                <w:lang w:val="en-GB"/>
              </w:rPr>
              <w:t>/</w:t>
            </w:r>
            <w:r w:rsidRPr="005401AB">
              <w:rPr>
                <w:rFonts w:ascii="Tw Cen MT" w:hAnsi="Tw Cen MT"/>
                <w:b/>
                <w:bCs/>
                <w:iCs/>
                <w:color w:val="FFFFFF" w:themeColor="background1"/>
                <w:sz w:val="16"/>
                <w:szCs w:val="16"/>
                <w:lang w:val="en-GB"/>
              </w:rPr>
              <w:t>12</w:t>
            </w:r>
            <w:r w:rsidRPr="005F1AF2">
              <w:rPr>
                <w:rFonts w:ascii="Tw Cen MT" w:hAnsi="Tw Cen MT"/>
                <w:b/>
                <w:bCs/>
                <w:iCs/>
                <w:color w:val="FFFFFF" w:themeColor="background1"/>
                <w:sz w:val="16"/>
                <w:szCs w:val="16"/>
                <w:lang w:val="en-GB"/>
              </w:rPr>
              <w:t>/2021</w:t>
            </w:r>
          </w:p>
        </w:tc>
        <w:tc>
          <w:tcPr>
            <w:tcW w:w="1176" w:type="dxa"/>
            <w:tcBorders>
              <w:top w:val="nil"/>
              <w:left w:val="single" w:sz="8" w:space="0" w:color="FFFFFF"/>
              <w:bottom w:val="nil"/>
              <w:right w:val="single" w:sz="8" w:space="0" w:color="FFFFFF"/>
            </w:tcBorders>
            <w:shd w:val="clear" w:color="auto" w:fill="00B0F0"/>
            <w:tcMar>
              <w:top w:w="72" w:type="dxa"/>
              <w:left w:w="144" w:type="dxa"/>
              <w:bottom w:w="72" w:type="dxa"/>
              <w:right w:w="144" w:type="dxa"/>
            </w:tcMar>
            <w:vAlign w:val="center"/>
            <w:hideMark/>
          </w:tcPr>
          <w:p w14:paraId="06CBD98F" w14:textId="3A9506CF" w:rsidR="005F1AF2" w:rsidRPr="005F1AF2" w:rsidRDefault="005F1AF2" w:rsidP="005F1AF2">
            <w:pPr>
              <w:spacing w:before="240" w:after="160" w:line="259" w:lineRule="auto"/>
              <w:jc w:val="both"/>
              <w:rPr>
                <w:rFonts w:ascii="Tw Cen MT" w:hAnsi="Tw Cen MT"/>
                <w:b/>
                <w:bCs/>
                <w:iCs/>
                <w:color w:val="FFFFFF" w:themeColor="background1"/>
                <w:sz w:val="16"/>
                <w:szCs w:val="16"/>
                <w:lang w:val="en-GB"/>
              </w:rPr>
            </w:pPr>
            <w:r w:rsidRPr="005401AB">
              <w:rPr>
                <w:rFonts w:ascii="Tw Cen MT" w:hAnsi="Tw Cen MT"/>
                <w:b/>
                <w:bCs/>
                <w:iCs/>
                <w:color w:val="FFFFFF" w:themeColor="background1"/>
                <w:sz w:val="16"/>
                <w:szCs w:val="16"/>
                <w:lang w:val="en-GB"/>
              </w:rPr>
              <w:t>08</w:t>
            </w:r>
            <w:r w:rsidRPr="005F1AF2">
              <w:rPr>
                <w:rFonts w:ascii="Tw Cen MT" w:hAnsi="Tw Cen MT"/>
                <w:b/>
                <w:bCs/>
                <w:iCs/>
                <w:color w:val="FFFFFF" w:themeColor="background1"/>
                <w:sz w:val="16"/>
                <w:szCs w:val="16"/>
                <w:lang w:val="en-GB"/>
              </w:rPr>
              <w:t>/11/2021</w:t>
            </w:r>
          </w:p>
        </w:tc>
        <w:tc>
          <w:tcPr>
            <w:tcW w:w="1243" w:type="dxa"/>
            <w:tcBorders>
              <w:top w:val="nil"/>
              <w:left w:val="single" w:sz="8" w:space="0" w:color="FFFFFF"/>
              <w:bottom w:val="nil"/>
              <w:right w:val="single" w:sz="8" w:space="0" w:color="FFFFFF"/>
            </w:tcBorders>
            <w:shd w:val="clear" w:color="auto" w:fill="00B0F0"/>
            <w:tcMar>
              <w:top w:w="72" w:type="dxa"/>
              <w:left w:w="144" w:type="dxa"/>
              <w:bottom w:w="72" w:type="dxa"/>
              <w:right w:w="144" w:type="dxa"/>
            </w:tcMar>
            <w:vAlign w:val="center"/>
            <w:hideMark/>
          </w:tcPr>
          <w:p w14:paraId="5565F440" w14:textId="69E7E6A9" w:rsidR="005F1AF2" w:rsidRPr="005F1AF2" w:rsidRDefault="005F1AF2" w:rsidP="005F1AF2">
            <w:pPr>
              <w:spacing w:before="240" w:after="160" w:line="259" w:lineRule="auto"/>
              <w:jc w:val="both"/>
              <w:rPr>
                <w:rFonts w:ascii="Tw Cen MT" w:hAnsi="Tw Cen MT"/>
                <w:b/>
                <w:bCs/>
                <w:iCs/>
                <w:color w:val="FFFFFF" w:themeColor="background1"/>
                <w:sz w:val="16"/>
                <w:szCs w:val="16"/>
                <w:lang w:val="en-GB"/>
              </w:rPr>
            </w:pPr>
            <w:r w:rsidRPr="005401AB">
              <w:rPr>
                <w:rFonts w:ascii="Tw Cen MT" w:hAnsi="Tw Cen MT"/>
                <w:b/>
                <w:bCs/>
                <w:iCs/>
                <w:color w:val="FFFFFF" w:themeColor="background1"/>
                <w:sz w:val="16"/>
                <w:szCs w:val="16"/>
                <w:lang w:val="en-GB"/>
              </w:rPr>
              <w:t>10</w:t>
            </w:r>
            <w:r w:rsidRPr="005F1AF2">
              <w:rPr>
                <w:rFonts w:ascii="Tw Cen MT" w:hAnsi="Tw Cen MT"/>
                <w:b/>
                <w:bCs/>
                <w:iCs/>
                <w:color w:val="FFFFFF" w:themeColor="background1"/>
                <w:sz w:val="16"/>
                <w:szCs w:val="16"/>
                <w:lang w:val="en-GB"/>
              </w:rPr>
              <w:t>/12/2021</w:t>
            </w:r>
          </w:p>
        </w:tc>
        <w:tc>
          <w:tcPr>
            <w:tcW w:w="1177" w:type="dxa"/>
            <w:tcBorders>
              <w:top w:val="nil"/>
              <w:left w:val="single" w:sz="8" w:space="0" w:color="FFFFFF"/>
              <w:bottom w:val="nil"/>
              <w:right w:val="single" w:sz="8" w:space="0" w:color="FFFFFF"/>
            </w:tcBorders>
            <w:shd w:val="clear" w:color="auto" w:fill="00B0F0"/>
            <w:tcMar>
              <w:top w:w="72" w:type="dxa"/>
              <w:left w:w="144" w:type="dxa"/>
              <w:bottom w:w="72" w:type="dxa"/>
              <w:right w:w="144" w:type="dxa"/>
            </w:tcMar>
            <w:vAlign w:val="center"/>
            <w:hideMark/>
          </w:tcPr>
          <w:p w14:paraId="43582905" w14:textId="77777777" w:rsidR="005F1AF2" w:rsidRPr="005F1AF2" w:rsidRDefault="005F1AF2" w:rsidP="005F1AF2">
            <w:pPr>
              <w:spacing w:before="240" w:after="160" w:line="259" w:lineRule="auto"/>
              <w:jc w:val="both"/>
              <w:rPr>
                <w:rFonts w:ascii="Tw Cen MT" w:hAnsi="Tw Cen MT"/>
                <w:b/>
                <w:bCs/>
                <w:iCs/>
                <w:color w:val="FFFFFF" w:themeColor="background1"/>
                <w:sz w:val="16"/>
                <w:szCs w:val="16"/>
                <w:lang w:val="en-GB"/>
              </w:rPr>
            </w:pPr>
            <w:r w:rsidRPr="005F1AF2">
              <w:rPr>
                <w:rFonts w:ascii="Tw Cen MT" w:hAnsi="Tw Cen MT"/>
                <w:b/>
                <w:bCs/>
                <w:iCs/>
                <w:color w:val="FFFFFF" w:themeColor="background1"/>
                <w:sz w:val="16"/>
                <w:szCs w:val="16"/>
                <w:lang w:val="en-GB"/>
              </w:rPr>
              <w:t>13/12/2021</w:t>
            </w:r>
          </w:p>
        </w:tc>
        <w:tc>
          <w:tcPr>
            <w:tcW w:w="1177" w:type="dxa"/>
            <w:tcBorders>
              <w:top w:val="nil"/>
              <w:left w:val="single" w:sz="8" w:space="0" w:color="FFFFFF"/>
              <w:bottom w:val="nil"/>
              <w:right w:val="single" w:sz="8" w:space="0" w:color="FFFFFF"/>
            </w:tcBorders>
            <w:shd w:val="clear" w:color="auto" w:fill="00B0F0"/>
            <w:tcMar>
              <w:top w:w="72" w:type="dxa"/>
              <w:left w:w="144" w:type="dxa"/>
              <w:bottom w:w="72" w:type="dxa"/>
              <w:right w:w="144" w:type="dxa"/>
            </w:tcMar>
            <w:vAlign w:val="center"/>
            <w:hideMark/>
          </w:tcPr>
          <w:p w14:paraId="282A82A1" w14:textId="513E209D" w:rsidR="005F1AF2" w:rsidRPr="005F1AF2" w:rsidRDefault="005F1AF2" w:rsidP="005F1AF2">
            <w:pPr>
              <w:spacing w:before="240" w:after="160" w:line="259" w:lineRule="auto"/>
              <w:jc w:val="both"/>
              <w:rPr>
                <w:rFonts w:ascii="Tw Cen MT" w:hAnsi="Tw Cen MT"/>
                <w:b/>
                <w:bCs/>
                <w:iCs/>
                <w:color w:val="FFFFFF" w:themeColor="background1"/>
                <w:sz w:val="16"/>
                <w:szCs w:val="16"/>
                <w:lang w:val="en-GB"/>
              </w:rPr>
            </w:pPr>
            <w:r w:rsidRPr="005F1AF2">
              <w:rPr>
                <w:rFonts w:ascii="Tw Cen MT" w:hAnsi="Tw Cen MT"/>
                <w:b/>
                <w:bCs/>
                <w:iCs/>
                <w:color w:val="FFFFFF" w:themeColor="background1"/>
                <w:sz w:val="16"/>
                <w:szCs w:val="16"/>
                <w:lang w:val="en-GB"/>
              </w:rPr>
              <w:t>2</w:t>
            </w:r>
            <w:r w:rsidRPr="005401AB">
              <w:rPr>
                <w:rFonts w:ascii="Tw Cen MT" w:hAnsi="Tw Cen MT"/>
                <w:b/>
                <w:bCs/>
                <w:iCs/>
                <w:color w:val="FFFFFF" w:themeColor="background1"/>
                <w:sz w:val="16"/>
                <w:szCs w:val="16"/>
                <w:lang w:val="en-GB"/>
              </w:rPr>
              <w:t>4</w:t>
            </w:r>
            <w:r w:rsidRPr="005F1AF2">
              <w:rPr>
                <w:rFonts w:ascii="Tw Cen MT" w:hAnsi="Tw Cen MT"/>
                <w:b/>
                <w:bCs/>
                <w:iCs/>
                <w:color w:val="FFFFFF" w:themeColor="background1"/>
                <w:sz w:val="16"/>
                <w:szCs w:val="16"/>
                <w:lang w:val="en-GB"/>
              </w:rPr>
              <w:t>/12/2021</w:t>
            </w:r>
          </w:p>
        </w:tc>
        <w:tc>
          <w:tcPr>
            <w:tcW w:w="1178" w:type="dxa"/>
            <w:tcBorders>
              <w:top w:val="nil"/>
              <w:left w:val="single" w:sz="8" w:space="0" w:color="FFFFFF"/>
              <w:bottom w:val="nil"/>
              <w:right w:val="single" w:sz="8" w:space="0" w:color="FFFFFF"/>
            </w:tcBorders>
            <w:shd w:val="clear" w:color="auto" w:fill="00B0F0"/>
            <w:tcMar>
              <w:top w:w="72" w:type="dxa"/>
              <w:left w:w="144" w:type="dxa"/>
              <w:bottom w:w="72" w:type="dxa"/>
              <w:right w:w="144" w:type="dxa"/>
            </w:tcMar>
            <w:vAlign w:val="center"/>
            <w:hideMark/>
          </w:tcPr>
          <w:p w14:paraId="01E21DDA" w14:textId="3576E0C4" w:rsidR="005F1AF2" w:rsidRPr="005F1AF2" w:rsidRDefault="005F1AF2" w:rsidP="005F1AF2">
            <w:pPr>
              <w:spacing w:before="240" w:after="160" w:line="259" w:lineRule="auto"/>
              <w:jc w:val="both"/>
              <w:rPr>
                <w:rFonts w:ascii="Tw Cen MT" w:hAnsi="Tw Cen MT"/>
                <w:b/>
                <w:bCs/>
                <w:iCs/>
                <w:color w:val="FFFFFF" w:themeColor="background1"/>
                <w:sz w:val="16"/>
                <w:szCs w:val="16"/>
                <w:lang w:val="en-GB"/>
              </w:rPr>
            </w:pPr>
            <w:r w:rsidRPr="005401AB">
              <w:rPr>
                <w:rFonts w:ascii="Tw Cen MT" w:hAnsi="Tw Cen MT"/>
                <w:b/>
                <w:bCs/>
                <w:iCs/>
                <w:color w:val="FFFFFF" w:themeColor="background1"/>
                <w:sz w:val="16"/>
                <w:szCs w:val="16"/>
                <w:lang w:val="en-GB"/>
              </w:rPr>
              <w:t>31</w:t>
            </w:r>
            <w:r w:rsidRPr="005F1AF2">
              <w:rPr>
                <w:rFonts w:ascii="Tw Cen MT" w:hAnsi="Tw Cen MT"/>
                <w:b/>
                <w:bCs/>
                <w:iCs/>
                <w:color w:val="FFFFFF" w:themeColor="background1"/>
                <w:sz w:val="16"/>
                <w:szCs w:val="16"/>
                <w:lang w:val="en-GB"/>
              </w:rPr>
              <w:t>/12/2021</w:t>
            </w:r>
          </w:p>
        </w:tc>
        <w:tc>
          <w:tcPr>
            <w:tcW w:w="1178" w:type="dxa"/>
            <w:tcBorders>
              <w:top w:val="nil"/>
              <w:left w:val="single" w:sz="8" w:space="0" w:color="FFFFFF"/>
              <w:bottom w:val="nil"/>
              <w:right w:val="single" w:sz="8" w:space="0" w:color="FFFFFF"/>
            </w:tcBorders>
            <w:shd w:val="clear" w:color="auto" w:fill="00B0F0"/>
            <w:tcMar>
              <w:top w:w="72" w:type="dxa"/>
              <w:left w:w="144" w:type="dxa"/>
              <w:bottom w:w="72" w:type="dxa"/>
              <w:right w:w="144" w:type="dxa"/>
            </w:tcMar>
            <w:vAlign w:val="center"/>
            <w:hideMark/>
          </w:tcPr>
          <w:p w14:paraId="5A9FF2FC" w14:textId="77777777" w:rsidR="005F1AF2" w:rsidRPr="005F1AF2" w:rsidRDefault="005F1AF2" w:rsidP="005F1AF2">
            <w:pPr>
              <w:spacing w:before="240" w:after="160" w:line="259" w:lineRule="auto"/>
              <w:jc w:val="both"/>
              <w:rPr>
                <w:rFonts w:ascii="Tw Cen MT" w:hAnsi="Tw Cen MT"/>
                <w:b/>
                <w:bCs/>
                <w:iCs/>
                <w:color w:val="FFFFFF" w:themeColor="background1"/>
                <w:sz w:val="16"/>
                <w:szCs w:val="16"/>
                <w:lang w:val="en-GB"/>
              </w:rPr>
            </w:pPr>
            <w:r w:rsidRPr="005F1AF2">
              <w:rPr>
                <w:rFonts w:ascii="Tw Cen MT" w:hAnsi="Tw Cen MT"/>
                <w:b/>
                <w:bCs/>
                <w:iCs/>
                <w:color w:val="FFFFFF" w:themeColor="background1"/>
                <w:sz w:val="16"/>
                <w:szCs w:val="16"/>
                <w:lang w:val="en-GB"/>
              </w:rPr>
              <w:t>03/01/2022</w:t>
            </w:r>
          </w:p>
        </w:tc>
        <w:tc>
          <w:tcPr>
            <w:tcW w:w="1178" w:type="dxa"/>
            <w:tcBorders>
              <w:top w:val="nil"/>
              <w:left w:val="single" w:sz="8" w:space="0" w:color="FFFFFF"/>
              <w:bottom w:val="nil"/>
              <w:right w:val="single" w:sz="8" w:space="0" w:color="FFFFFF"/>
            </w:tcBorders>
            <w:shd w:val="clear" w:color="auto" w:fill="00B0F0"/>
            <w:tcMar>
              <w:top w:w="72" w:type="dxa"/>
              <w:left w:w="144" w:type="dxa"/>
              <w:bottom w:w="72" w:type="dxa"/>
              <w:right w:w="144" w:type="dxa"/>
            </w:tcMar>
            <w:vAlign w:val="center"/>
            <w:hideMark/>
          </w:tcPr>
          <w:p w14:paraId="45398FA1" w14:textId="77777777" w:rsidR="005F1AF2" w:rsidRPr="005F1AF2" w:rsidRDefault="005F1AF2" w:rsidP="005F1AF2">
            <w:pPr>
              <w:spacing w:before="240" w:after="160" w:line="259" w:lineRule="auto"/>
              <w:jc w:val="both"/>
              <w:rPr>
                <w:rFonts w:ascii="Tw Cen MT" w:hAnsi="Tw Cen MT"/>
                <w:b/>
                <w:bCs/>
                <w:iCs/>
                <w:color w:val="FFFFFF" w:themeColor="background1"/>
                <w:sz w:val="16"/>
                <w:szCs w:val="16"/>
                <w:lang w:val="en-GB"/>
              </w:rPr>
            </w:pPr>
            <w:r w:rsidRPr="005F1AF2">
              <w:rPr>
                <w:rFonts w:ascii="Tw Cen MT" w:hAnsi="Tw Cen MT"/>
                <w:b/>
                <w:bCs/>
                <w:iCs/>
                <w:color w:val="FFFFFF" w:themeColor="background1"/>
                <w:sz w:val="16"/>
                <w:szCs w:val="16"/>
                <w:lang w:val="en-GB"/>
              </w:rPr>
              <w:t>10/01/2022</w:t>
            </w:r>
          </w:p>
        </w:tc>
        <w:tc>
          <w:tcPr>
            <w:tcW w:w="1178" w:type="dxa"/>
            <w:tcBorders>
              <w:top w:val="nil"/>
              <w:left w:val="single" w:sz="8" w:space="0" w:color="FFFFFF"/>
              <w:bottom w:val="nil"/>
              <w:right w:val="single" w:sz="8" w:space="0" w:color="FFFFFF"/>
            </w:tcBorders>
            <w:shd w:val="clear" w:color="auto" w:fill="00B0F0"/>
            <w:tcMar>
              <w:top w:w="72" w:type="dxa"/>
              <w:left w:w="144" w:type="dxa"/>
              <w:bottom w:w="72" w:type="dxa"/>
              <w:right w:w="144" w:type="dxa"/>
            </w:tcMar>
            <w:vAlign w:val="center"/>
            <w:hideMark/>
          </w:tcPr>
          <w:p w14:paraId="4C47FB6A" w14:textId="77777777" w:rsidR="005F1AF2" w:rsidRPr="005F1AF2" w:rsidRDefault="005F1AF2" w:rsidP="005F1AF2">
            <w:pPr>
              <w:spacing w:before="240" w:after="160" w:line="259" w:lineRule="auto"/>
              <w:jc w:val="both"/>
              <w:rPr>
                <w:rFonts w:ascii="Tw Cen MT" w:hAnsi="Tw Cen MT"/>
                <w:b/>
                <w:bCs/>
                <w:iCs/>
                <w:color w:val="FFFFFF" w:themeColor="background1"/>
                <w:sz w:val="16"/>
                <w:szCs w:val="16"/>
                <w:lang w:val="en-GB"/>
              </w:rPr>
            </w:pPr>
            <w:r w:rsidRPr="005F1AF2">
              <w:rPr>
                <w:rFonts w:ascii="Tw Cen MT" w:hAnsi="Tw Cen MT"/>
                <w:b/>
                <w:bCs/>
                <w:iCs/>
                <w:color w:val="FFFFFF" w:themeColor="background1"/>
                <w:sz w:val="16"/>
                <w:szCs w:val="16"/>
                <w:lang w:val="en-GB"/>
              </w:rPr>
              <w:t>17/01/2022</w:t>
            </w:r>
          </w:p>
        </w:tc>
        <w:tc>
          <w:tcPr>
            <w:tcW w:w="1178" w:type="dxa"/>
            <w:tcBorders>
              <w:top w:val="nil"/>
              <w:left w:val="single" w:sz="8" w:space="0" w:color="FFFFFF"/>
              <w:bottom w:val="nil"/>
              <w:right w:val="single" w:sz="8" w:space="0" w:color="FFFFFF"/>
            </w:tcBorders>
            <w:shd w:val="clear" w:color="auto" w:fill="00B0F0"/>
            <w:tcMar>
              <w:top w:w="72" w:type="dxa"/>
              <w:left w:w="144" w:type="dxa"/>
              <w:bottom w:w="72" w:type="dxa"/>
              <w:right w:w="144" w:type="dxa"/>
            </w:tcMar>
            <w:vAlign w:val="center"/>
            <w:hideMark/>
          </w:tcPr>
          <w:p w14:paraId="0084E8E1" w14:textId="77777777" w:rsidR="005F1AF2" w:rsidRPr="005F1AF2" w:rsidRDefault="005F1AF2" w:rsidP="005F1AF2">
            <w:pPr>
              <w:spacing w:before="240" w:after="160" w:line="259" w:lineRule="auto"/>
              <w:jc w:val="both"/>
              <w:rPr>
                <w:rFonts w:ascii="Tw Cen MT" w:hAnsi="Tw Cen MT"/>
                <w:b/>
                <w:bCs/>
                <w:iCs/>
                <w:color w:val="FFFFFF" w:themeColor="background1"/>
                <w:sz w:val="16"/>
                <w:szCs w:val="16"/>
                <w:lang w:val="en-GB"/>
              </w:rPr>
            </w:pPr>
            <w:r w:rsidRPr="005F1AF2">
              <w:rPr>
                <w:rFonts w:ascii="Tw Cen MT" w:hAnsi="Tw Cen MT"/>
                <w:b/>
                <w:bCs/>
                <w:iCs/>
                <w:color w:val="FFFFFF" w:themeColor="background1"/>
                <w:sz w:val="16"/>
                <w:szCs w:val="16"/>
                <w:lang w:val="en-GB"/>
              </w:rPr>
              <w:t>24/01/2022</w:t>
            </w:r>
          </w:p>
        </w:tc>
        <w:tc>
          <w:tcPr>
            <w:tcW w:w="1178" w:type="dxa"/>
            <w:tcBorders>
              <w:top w:val="nil"/>
              <w:left w:val="single" w:sz="8" w:space="0" w:color="FFFFFF"/>
              <w:bottom w:val="nil"/>
              <w:right w:val="single" w:sz="8" w:space="0" w:color="FFFFFF"/>
            </w:tcBorders>
            <w:shd w:val="clear" w:color="auto" w:fill="00B0F0"/>
            <w:tcMar>
              <w:top w:w="72" w:type="dxa"/>
              <w:left w:w="144" w:type="dxa"/>
              <w:bottom w:w="72" w:type="dxa"/>
              <w:right w:w="144" w:type="dxa"/>
            </w:tcMar>
            <w:vAlign w:val="center"/>
            <w:hideMark/>
          </w:tcPr>
          <w:p w14:paraId="05E6AB47" w14:textId="77777777" w:rsidR="005F1AF2" w:rsidRPr="005F1AF2" w:rsidRDefault="005F1AF2" w:rsidP="005F1AF2">
            <w:pPr>
              <w:spacing w:before="240" w:after="160" w:line="259" w:lineRule="auto"/>
              <w:jc w:val="both"/>
              <w:rPr>
                <w:rFonts w:ascii="Tw Cen MT" w:hAnsi="Tw Cen MT"/>
                <w:b/>
                <w:bCs/>
                <w:iCs/>
                <w:color w:val="FFFFFF" w:themeColor="background1"/>
                <w:sz w:val="16"/>
                <w:szCs w:val="16"/>
                <w:lang w:val="en-GB"/>
              </w:rPr>
            </w:pPr>
            <w:r w:rsidRPr="005F1AF2">
              <w:rPr>
                <w:rFonts w:ascii="Tw Cen MT" w:hAnsi="Tw Cen MT"/>
                <w:b/>
                <w:bCs/>
                <w:iCs/>
                <w:color w:val="FFFFFF" w:themeColor="background1"/>
                <w:sz w:val="16"/>
                <w:szCs w:val="16"/>
                <w:lang w:val="en-GB"/>
              </w:rPr>
              <w:t>31/01/2022</w:t>
            </w:r>
          </w:p>
        </w:tc>
        <w:tc>
          <w:tcPr>
            <w:tcW w:w="1442" w:type="dxa"/>
            <w:tcBorders>
              <w:top w:val="nil"/>
              <w:left w:val="single" w:sz="8" w:space="0" w:color="FFFFFF"/>
              <w:bottom w:val="nil"/>
              <w:right w:val="single" w:sz="8" w:space="0" w:color="FFFFFF"/>
            </w:tcBorders>
            <w:shd w:val="clear" w:color="auto" w:fill="00B0F0"/>
            <w:tcMar>
              <w:top w:w="72" w:type="dxa"/>
              <w:left w:w="144" w:type="dxa"/>
              <w:bottom w:w="72" w:type="dxa"/>
              <w:right w:w="144" w:type="dxa"/>
            </w:tcMar>
            <w:vAlign w:val="center"/>
            <w:hideMark/>
          </w:tcPr>
          <w:p w14:paraId="7D45645C" w14:textId="144466D5" w:rsidR="005F1AF2" w:rsidRPr="005F1AF2" w:rsidRDefault="005401AB" w:rsidP="005F1AF2">
            <w:pPr>
              <w:spacing w:before="240" w:after="160" w:line="259" w:lineRule="auto"/>
              <w:ind w:left="357"/>
              <w:jc w:val="both"/>
              <w:rPr>
                <w:rFonts w:ascii="Tw Cen MT" w:hAnsi="Tw Cen MT"/>
                <w:bCs/>
                <w:iCs/>
                <w:color w:val="FFFFFF" w:themeColor="background1"/>
                <w:sz w:val="16"/>
                <w:szCs w:val="16"/>
              </w:rPr>
            </w:pPr>
            <w:r w:rsidRPr="005401AB">
              <w:rPr>
                <w:rFonts w:ascii="Tw Cen MT" w:hAnsi="Tw Cen MT"/>
                <w:b/>
                <w:bCs/>
                <w:iCs/>
                <w:color w:val="FFFFFF" w:themeColor="background1"/>
                <w:sz w:val="16"/>
                <w:szCs w:val="16"/>
                <w:lang w:val="en-GB"/>
              </w:rPr>
              <w:t>15</w:t>
            </w:r>
            <w:r w:rsidR="005F1AF2" w:rsidRPr="005F1AF2">
              <w:rPr>
                <w:rFonts w:ascii="Tw Cen MT" w:hAnsi="Tw Cen MT"/>
                <w:b/>
                <w:bCs/>
                <w:iCs/>
                <w:color w:val="FFFFFF" w:themeColor="background1"/>
                <w:sz w:val="16"/>
                <w:szCs w:val="16"/>
                <w:lang w:val="en-GB"/>
              </w:rPr>
              <w:t>/02/2022</w:t>
            </w:r>
          </w:p>
        </w:tc>
      </w:tr>
      <w:tr w:rsidR="005F1AF2" w:rsidRPr="005F1AF2" w14:paraId="1A2E3955" w14:textId="77777777" w:rsidTr="005F1AF2">
        <w:trPr>
          <w:trHeight w:val="5023"/>
        </w:trPr>
        <w:tc>
          <w:tcPr>
            <w:tcW w:w="1115" w:type="dxa"/>
            <w:tcBorders>
              <w:top w:val="nil"/>
              <w:left w:val="single" w:sz="4" w:space="0" w:color="BFBFBF"/>
              <w:bottom w:val="nil"/>
              <w:right w:val="single" w:sz="4" w:space="0" w:color="BFBFBF"/>
            </w:tcBorders>
            <w:shd w:val="clear" w:color="auto" w:fill="FFFFFF"/>
            <w:tcMar>
              <w:top w:w="72" w:type="dxa"/>
              <w:left w:w="144" w:type="dxa"/>
              <w:bottom w:w="72" w:type="dxa"/>
              <w:right w:w="144" w:type="dxa"/>
            </w:tcMar>
            <w:hideMark/>
          </w:tcPr>
          <w:p w14:paraId="1E268C70" w14:textId="7D0A80DA" w:rsidR="005F1AF2" w:rsidRPr="005F1AF2" w:rsidRDefault="005F1AF2" w:rsidP="005F1AF2">
            <w:pPr>
              <w:spacing w:before="240" w:after="160" w:line="259" w:lineRule="auto"/>
              <w:ind w:left="357"/>
              <w:jc w:val="both"/>
              <w:rPr>
                <w:rFonts w:ascii="Tw Cen MT" w:hAnsi="Tw Cen MT"/>
                <w:bCs/>
                <w:iCs/>
                <w:sz w:val="24"/>
                <w:szCs w:val="24"/>
              </w:rPr>
            </w:pPr>
            <w:r w:rsidRPr="005F1AF2">
              <w:rPr>
                <w:rFonts w:ascii="Tw Cen MT" w:hAnsi="Tw Cen MT"/>
                <w:bCs/>
                <w:iCs/>
                <w:noProof/>
                <w:sz w:val="24"/>
                <w:szCs w:val="24"/>
                <w:lang w:eastAsia="fr-FR"/>
              </w:rPr>
              <mc:AlternateContent>
                <mc:Choice Requires="wps">
                  <w:drawing>
                    <wp:anchor distT="0" distB="0" distL="114300" distR="114300" simplePos="0" relativeHeight="251661312" behindDoc="0" locked="0" layoutInCell="1" allowOverlap="1" wp14:anchorId="3370F6E4" wp14:editId="47590A8E">
                      <wp:simplePos x="0" y="0"/>
                      <wp:positionH relativeFrom="column">
                        <wp:posOffset>-3174</wp:posOffset>
                      </wp:positionH>
                      <wp:positionV relativeFrom="paragraph">
                        <wp:posOffset>-144780</wp:posOffset>
                      </wp:positionV>
                      <wp:extent cx="1257300" cy="654050"/>
                      <wp:effectExtent l="0" t="0" r="0" b="0"/>
                      <wp:wrapNone/>
                      <wp:docPr id="22" name="ZoneTexte 2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629255F-7DBF-4E5C-8E42-4CBCD6081C73}"/>
                          </a:ext>
                        </a:extLst>
                      </wp:docPr>
                      <wp:cNvGraphicFramePr/>
                      <a:graphic xmlns:a="http://schemas.openxmlformats.org/drawingml/2006/main">
                        <a:graphicData uri="http://schemas.microsoft.com/office/word/2010/wordprocessingShape">
                          <wps:wsp>
                            <wps:cNvSpPr txBox="1"/>
                            <wps:spPr>
                              <a:xfrm>
                                <a:off x="0" y="0"/>
                                <a:ext cx="1257300" cy="654050"/>
                              </a:xfrm>
                              <a:prstGeom prst="rect">
                                <a:avLst/>
                              </a:prstGeom>
                              <a:noFill/>
                            </wps:spPr>
                            <wps:txbx>
                              <w:txbxContent>
                                <w:p w14:paraId="582CE2BA" w14:textId="3CA507CB" w:rsidR="005F1AF2" w:rsidRPr="005F1AF2" w:rsidRDefault="005F1AF2" w:rsidP="005F1AF2">
                                  <w:pPr>
                                    <w:spacing w:before="60"/>
                                    <w:jc w:val="center"/>
                                    <w:rPr>
                                      <w:rFonts w:ascii="Tw Cen MT" w:hAnsi="Tw Cen MT" w:cstheme="minorBidi"/>
                                      <w:b/>
                                      <w:bCs/>
                                      <w:color w:val="222A35" w:themeColor="text2" w:themeShade="80"/>
                                      <w:kern w:val="24"/>
                                      <w:sz w:val="16"/>
                                      <w:szCs w:val="16"/>
                                      <w:lang w:val="fr-SN"/>
                                    </w:rPr>
                                  </w:pPr>
                                  <w:r w:rsidRPr="005F1AF2">
                                    <w:rPr>
                                      <w:rFonts w:ascii="Tw Cen MT" w:hAnsi="Tw Cen MT" w:cstheme="minorBidi"/>
                                      <w:b/>
                                      <w:bCs/>
                                      <w:color w:val="222A35" w:themeColor="text2" w:themeShade="80"/>
                                      <w:kern w:val="24"/>
                                      <w:sz w:val="16"/>
                                      <w:szCs w:val="16"/>
                                      <w:lang w:val="fr-SN"/>
                                    </w:rPr>
                                    <w:t>Recueil des données brutes, Élaboration du formulaire et Préparation de la Note de cadrage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70F6E4" id="ZoneTexte 21" o:spid="_x0000_s1027" type="#_x0000_t202" style="position:absolute;left:0;text-align:left;margin-left:-.25pt;margin-top:-11.4pt;width:99pt;height: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" filled="f" stroked="f">
                      <v:textbox>
                        <w:txbxContent>
                          <w:p w14:paraId="582CE2BA" w14:textId="3CA507CB" w:rsidR="005F1AF2" w:rsidRPr="005F1AF2" w:rsidRDefault="005F1AF2" w:rsidP="005F1AF2">
                            <w:pPr>
                              <w:spacing w:before="60"/>
                              <w:jc w:val="center"/>
                              <w:rPr>
                                <w:rFonts w:ascii="Tw Cen MT" w:hAnsi="Tw Cen MT" w:cstheme="minorBidi"/>
                                <w:b/>
                                <w:bCs/>
                                <w:color w:val="222A35" w:themeColor="text2" w:themeShade="80"/>
                                <w:kern w:val="24"/>
                                <w:sz w:val="16"/>
                                <w:szCs w:val="16"/>
                                <w:lang w:val="fr-SN"/>
                              </w:rPr>
                            </w:pPr>
                            <w:r w:rsidRPr="005F1AF2">
                              <w:rPr>
                                <w:rFonts w:ascii="Tw Cen MT" w:hAnsi="Tw Cen MT" w:cstheme="minorBidi"/>
                                <w:b/>
                                <w:bCs/>
                                <w:color w:val="222A35" w:themeColor="text2" w:themeShade="80"/>
                                <w:kern w:val="24"/>
                                <w:sz w:val="16"/>
                                <w:szCs w:val="16"/>
                                <w:lang w:val="fr-SN"/>
                              </w:rPr>
                              <w:t>Recueil des données brutes, Élaboration du formulaire et Préparation de la Note de cadrage</w:t>
                            </w:r>
                          </w:p>
                        </w:txbxContent>
                      </v:textbox>
                    </v:shape>
                  </w:pict>
                </mc:Fallback>
              </mc:AlternateContent>
            </w:r>
          </w:p>
        </w:tc>
        <w:tc>
          <w:tcPr>
            <w:tcW w:w="1176" w:type="dxa"/>
            <w:tcBorders>
              <w:top w:val="nil"/>
              <w:left w:val="single" w:sz="4" w:space="0" w:color="BFBFBF"/>
              <w:bottom w:val="nil"/>
              <w:right w:val="single" w:sz="4" w:space="0" w:color="BFBFBF"/>
            </w:tcBorders>
            <w:shd w:val="clear" w:color="auto" w:fill="FFFFFF"/>
            <w:tcMar>
              <w:top w:w="72" w:type="dxa"/>
              <w:left w:w="144" w:type="dxa"/>
              <w:bottom w:w="72" w:type="dxa"/>
              <w:right w:w="144" w:type="dxa"/>
            </w:tcMar>
            <w:hideMark/>
          </w:tcPr>
          <w:p w14:paraId="47E66FEA" w14:textId="066DDA9B" w:rsidR="005F1AF2" w:rsidRPr="005F1AF2" w:rsidRDefault="005F1AF2" w:rsidP="005F1AF2">
            <w:pPr>
              <w:spacing w:before="240" w:after="160" w:line="259" w:lineRule="auto"/>
              <w:ind w:left="357"/>
              <w:jc w:val="both"/>
              <w:rPr>
                <w:rFonts w:ascii="Tw Cen MT" w:hAnsi="Tw Cen MT"/>
                <w:bCs/>
                <w:iCs/>
                <w:sz w:val="24"/>
                <w:szCs w:val="24"/>
              </w:rPr>
            </w:pPr>
            <w:r w:rsidRPr="005F1AF2">
              <w:rPr>
                <w:rFonts w:ascii="Tw Cen MT" w:hAnsi="Tw Cen MT"/>
                <w:bCs/>
                <w:iCs/>
                <w:noProof/>
                <w:sz w:val="24"/>
                <w:szCs w:val="24"/>
                <w:lang w:eastAsia="fr-FR"/>
              </w:rPr>
              <mc:AlternateContent>
                <mc:Choice Requires="wps">
                  <w:drawing>
                    <wp:anchor distT="0" distB="0" distL="114300" distR="114300" simplePos="0" relativeHeight="251659264" behindDoc="0" locked="0" layoutInCell="1" allowOverlap="1" wp14:anchorId="44A21E5D" wp14:editId="3DF6C3A6">
                      <wp:simplePos x="0" y="0"/>
                      <wp:positionH relativeFrom="column">
                        <wp:posOffset>-806449</wp:posOffset>
                      </wp:positionH>
                      <wp:positionV relativeFrom="paragraph">
                        <wp:posOffset>436245</wp:posOffset>
                      </wp:positionV>
                      <wp:extent cx="1447800" cy="263725"/>
                      <wp:effectExtent l="0" t="0" r="0" b="3175"/>
                      <wp:wrapNone/>
                      <wp:docPr id="9" name="Pentagone 10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EEF0E7-7A4F-43A9-B5DA-E0B606570793}"/>
                          </a:ext>
                        </a:extLst>
                      </wp:docPr>
                      <wp:cNvGraphicFramePr/>
                      <a:graphic xmlns:a="http://schemas.openxmlformats.org/drawingml/2006/main">
                        <a:graphicData uri="http://schemas.microsoft.com/office/word/2010/wordprocessingShape">
                          <wps:wsp>
                            <wps:cNvSpPr/>
                            <wps:spPr>
                              <a:xfrm>
                                <a:off x="0" y="0"/>
                                <a:ext cx="1447800" cy="263725"/>
                              </a:xfrm>
                              <a:prstGeom prst="homePlate">
                                <a:avLst/>
                              </a:prstGeom>
                              <a:solidFill>
                                <a:srgbClr val="108BB8"/>
                              </a:solidFill>
                              <a:ln w="25400" cap="flat" cmpd="sng" algn="ctr">
                                <a:noFill/>
                                <a:prstDash val="solid"/>
                              </a:ln>
                              <a:effectLst/>
                            </wps:spPr>
                            <wps:bodyPr rtlCol="0" anchor="ct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D0887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101" o:spid="_x0000_s1026" type="#_x0000_t15" style="position:absolute;margin-left:-63.5pt;margin-top:34.35pt;width:114pt;height:2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" adj="19633" fillcolor="#108bb8" stroked="f" strokeweight="2pt"/>
                  </w:pict>
                </mc:Fallback>
              </mc:AlternateContent>
            </w:r>
          </w:p>
        </w:tc>
        <w:tc>
          <w:tcPr>
            <w:tcW w:w="1243" w:type="dxa"/>
            <w:tcBorders>
              <w:top w:val="nil"/>
              <w:left w:val="single" w:sz="4" w:space="0" w:color="BFBFBF"/>
              <w:bottom w:val="nil"/>
              <w:right w:val="single" w:sz="4" w:space="0" w:color="BFBFBF"/>
            </w:tcBorders>
            <w:shd w:val="clear" w:color="auto" w:fill="FFFFFF"/>
            <w:tcMar>
              <w:top w:w="72" w:type="dxa"/>
              <w:left w:w="144" w:type="dxa"/>
              <w:bottom w:w="72" w:type="dxa"/>
              <w:right w:w="144" w:type="dxa"/>
            </w:tcMar>
            <w:hideMark/>
          </w:tcPr>
          <w:p w14:paraId="6E604BEE" w14:textId="7032B0A1" w:rsidR="005F1AF2" w:rsidRPr="005F1AF2" w:rsidRDefault="005401AB" w:rsidP="005F1AF2">
            <w:pPr>
              <w:spacing w:before="240" w:after="160" w:line="259" w:lineRule="auto"/>
              <w:ind w:left="357"/>
              <w:jc w:val="both"/>
              <w:rPr>
                <w:rFonts w:ascii="Tw Cen MT" w:hAnsi="Tw Cen MT"/>
                <w:bCs/>
                <w:iCs/>
                <w:sz w:val="24"/>
                <w:szCs w:val="24"/>
              </w:rPr>
            </w:pPr>
            <w:r w:rsidRPr="005401AB">
              <w:rPr>
                <w:rFonts w:ascii="Tw Cen MT" w:hAnsi="Tw Cen MT"/>
                <w:bCs/>
                <w:iCs/>
                <w:noProof/>
                <w:sz w:val="24"/>
                <w:szCs w:val="24"/>
                <w:lang w:eastAsia="fr-FR"/>
              </w:rPr>
              <mc:AlternateContent>
                <mc:Choice Requires="wps">
                  <w:drawing>
                    <wp:anchor distT="0" distB="0" distL="114300" distR="114300" simplePos="0" relativeHeight="251702272" behindDoc="0" locked="0" layoutInCell="1" allowOverlap="1" wp14:anchorId="16CA84D6" wp14:editId="3EBC9DE2">
                      <wp:simplePos x="0" y="0"/>
                      <wp:positionH relativeFrom="column">
                        <wp:posOffset>240665</wp:posOffset>
                      </wp:positionH>
                      <wp:positionV relativeFrom="paragraph">
                        <wp:posOffset>1265555</wp:posOffset>
                      </wp:positionV>
                      <wp:extent cx="133156" cy="126141"/>
                      <wp:effectExtent l="0" t="0" r="635" b="7620"/>
                      <wp:wrapNone/>
                      <wp:docPr id="85" name="Triangle isocèle 8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AEC622-7220-4C17-8CC2-708976799BA7}"/>
                          </a:ext>
                        </a:extLst>
                      </wp:docPr>
                      <wp:cNvGraphicFramePr/>
                      <a:graphic xmlns:a="http://schemas.openxmlformats.org/drawingml/2006/main">
                        <a:graphicData uri="http://schemas.microsoft.com/office/word/2010/wordprocessingShape">
                          <wps:wsp>
                            <wps:cNvSpPr/>
                            <wps:spPr>
                              <a:xfrm>
                                <a:off x="0" y="0"/>
                                <a:ext cx="133156" cy="126141"/>
                              </a:xfrm>
                              <a:prstGeom prst="triangle">
                                <a:avLst/>
                              </a:prstGeom>
                              <a:solidFill>
                                <a:srgbClr val="6D1F7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112F4E" id="Triangle isocèle 84" o:spid="_x0000_s1026" type="#_x0000_t5" style="position:absolute;margin-left:18.95pt;margin-top:99.65pt;width:10.5pt;height: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" fillcolor="#6d1f77" stroked="f" strokeweight="1pt"/>
                  </w:pict>
                </mc:Fallback>
              </mc:AlternateContent>
            </w:r>
            <w:r w:rsidR="005F1AF2" w:rsidRPr="005F1AF2">
              <w:rPr>
                <w:rFonts w:ascii="Tw Cen MT" w:hAnsi="Tw Cen MT"/>
                <w:bCs/>
                <w:iCs/>
                <w:noProof/>
                <w:sz w:val="24"/>
                <w:szCs w:val="24"/>
                <w:lang w:eastAsia="fr-FR"/>
              </w:rPr>
              <mc:AlternateContent>
                <mc:Choice Requires="wps">
                  <w:drawing>
                    <wp:anchor distT="0" distB="0" distL="114300" distR="114300" simplePos="0" relativeHeight="251663360" behindDoc="0" locked="0" layoutInCell="1" allowOverlap="1" wp14:anchorId="77037E94" wp14:editId="6501B420">
                      <wp:simplePos x="0" y="0"/>
                      <wp:positionH relativeFrom="column">
                        <wp:posOffset>-254635</wp:posOffset>
                      </wp:positionH>
                      <wp:positionV relativeFrom="paragraph">
                        <wp:posOffset>200660</wp:posOffset>
                      </wp:positionV>
                      <wp:extent cx="1063102" cy="500137"/>
                      <wp:effectExtent l="0" t="0" r="0" b="0"/>
                      <wp:wrapNone/>
                      <wp:docPr id="68" name="ZoneTexte 6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1C0BD6D-3D2C-471A-8F4B-0F2490886CE6}"/>
                          </a:ext>
                        </a:extLst>
                      </wp:docPr>
                      <wp:cNvGraphicFramePr/>
                      <a:graphic xmlns:a="http://schemas.openxmlformats.org/drawingml/2006/main">
                        <a:graphicData uri="http://schemas.microsoft.com/office/word/2010/wordprocessingShape">
                          <wps:wsp>
                            <wps:cNvSpPr txBox="1"/>
                            <wps:spPr>
                              <a:xfrm>
                                <a:off x="0" y="0"/>
                                <a:ext cx="1063102" cy="500137"/>
                              </a:xfrm>
                              <a:prstGeom prst="rect">
                                <a:avLst/>
                              </a:prstGeom>
                              <a:noFill/>
                            </wps:spPr>
                            <wps:txbx>
                              <w:txbxContent>
                                <w:p w14:paraId="6B00256A" w14:textId="77777777" w:rsidR="005F1AF2" w:rsidRPr="005F1AF2" w:rsidRDefault="005F1AF2" w:rsidP="005F1AF2">
                                  <w:pPr>
                                    <w:spacing w:before="60"/>
                                    <w:jc w:val="center"/>
                                    <w:rPr>
                                      <w:rFonts w:ascii="Tw Cen MT" w:hAnsi="Tw Cen MT" w:cstheme="minorBidi"/>
                                      <w:b/>
                                      <w:bCs/>
                                      <w:color w:val="222A35" w:themeColor="text2" w:themeShade="80"/>
                                      <w:kern w:val="24"/>
                                      <w:sz w:val="16"/>
                                      <w:szCs w:val="16"/>
                                      <w:lang w:val="fr-SN"/>
                                    </w:rPr>
                                  </w:pPr>
                                  <w:r w:rsidRPr="005F1AF2">
                                    <w:rPr>
                                      <w:rFonts w:ascii="Tw Cen MT" w:hAnsi="Tw Cen MT" w:cstheme="minorBidi"/>
                                      <w:b/>
                                      <w:bCs/>
                                      <w:color w:val="222A35" w:themeColor="text2" w:themeShade="80"/>
                                      <w:kern w:val="24"/>
                                      <w:sz w:val="16"/>
                                      <w:szCs w:val="16"/>
                                      <w:lang w:val="fr-SN"/>
                                    </w:rPr>
                                    <w:t xml:space="preserve">Ateliers : Cadrage et Formation </w:t>
                                  </w:r>
                                </w:p>
                                <w:p w14:paraId="7FA840C0" w14:textId="77777777" w:rsidR="005F1AF2" w:rsidRPr="005F1AF2" w:rsidRDefault="005F1AF2" w:rsidP="005F1AF2">
                                  <w:pPr>
                                    <w:spacing w:before="60"/>
                                    <w:jc w:val="center"/>
                                    <w:rPr>
                                      <w:rFonts w:ascii="Tw Cen MT" w:hAnsi="Tw Cen MT" w:cstheme="minorBidi"/>
                                      <w:b/>
                                      <w:bCs/>
                                      <w:color w:val="1BC2EE"/>
                                      <w:kern w:val="24"/>
                                      <w:sz w:val="16"/>
                                      <w:szCs w:val="16"/>
                                      <w:lang w:val="fr-SN"/>
                                    </w:rPr>
                                  </w:pPr>
                                  <w:r w:rsidRPr="005F1AF2">
                                    <w:rPr>
                                      <w:rFonts w:ascii="Tw Cen MT" w:hAnsi="Tw Cen MT" w:cstheme="minorBidi"/>
                                      <w:b/>
                                      <w:bCs/>
                                      <w:color w:val="1BC2EE"/>
                                      <w:kern w:val="24"/>
                                      <w:sz w:val="16"/>
                                      <w:szCs w:val="16"/>
                                      <w:lang w:val="fr-SN"/>
                                    </w:rPr>
                                    <w:t>09/12 et 10/12</w:t>
                                  </w:r>
                                </w:p>
                              </w:txbxContent>
                            </wps:txbx>
                            <wps:bodyPr wrap="square" rtlCol="0" anchor="ctr">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037E94" id="ZoneTexte 67" o:spid="_x0000_s1028" type="#_x0000_t202" style="position:absolute;left:0;text-align:left;margin-left:-20.05pt;margin-top:15.8pt;width:83.7pt;height:3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" filled="f" stroked="f">
                      <v:textbox style="mso-fit-shape-to-text:t">
                        <w:txbxContent>
                          <w:p w14:paraId="6B00256A" w14:textId="77777777" w:rsidR="005F1AF2" w:rsidRPr="005F1AF2" w:rsidRDefault="005F1AF2" w:rsidP="005F1AF2">
                            <w:pPr>
                              <w:spacing w:before="60"/>
                              <w:jc w:val="center"/>
                              <w:rPr>
                                <w:rFonts w:ascii="Tw Cen MT" w:hAnsi="Tw Cen MT" w:cstheme="minorBidi"/>
                                <w:b/>
                                <w:bCs/>
                                <w:color w:val="222A35" w:themeColor="text2" w:themeShade="80"/>
                                <w:kern w:val="24"/>
                                <w:sz w:val="16"/>
                                <w:szCs w:val="16"/>
                                <w:lang w:val="fr-SN"/>
                              </w:rPr>
                            </w:pPr>
                            <w:r w:rsidRPr="005F1AF2">
                              <w:rPr>
                                <w:rFonts w:ascii="Tw Cen MT" w:hAnsi="Tw Cen MT" w:cstheme="minorBidi"/>
                                <w:b/>
                                <w:bCs/>
                                <w:color w:val="222A35" w:themeColor="text2" w:themeShade="80"/>
                                <w:kern w:val="24"/>
                                <w:sz w:val="16"/>
                                <w:szCs w:val="16"/>
                                <w:lang w:val="fr-SN"/>
                              </w:rPr>
                              <w:t xml:space="preserve">Ateliers : Cadrage et Formation </w:t>
                            </w:r>
                          </w:p>
                          <w:p w14:paraId="7FA840C0" w14:textId="77777777" w:rsidR="005F1AF2" w:rsidRPr="005F1AF2" w:rsidRDefault="005F1AF2" w:rsidP="005F1AF2">
                            <w:pPr>
                              <w:spacing w:before="60"/>
                              <w:jc w:val="center"/>
                              <w:rPr>
                                <w:rFonts w:ascii="Tw Cen MT" w:hAnsi="Tw Cen MT" w:cstheme="minorBidi"/>
                                <w:b/>
                                <w:bCs/>
                                <w:color w:val="1BC2EE"/>
                                <w:kern w:val="24"/>
                                <w:sz w:val="16"/>
                                <w:szCs w:val="16"/>
                                <w:lang w:val="fr-SN"/>
                              </w:rPr>
                            </w:pPr>
                            <w:r w:rsidRPr="005F1AF2">
                              <w:rPr>
                                <w:rFonts w:ascii="Tw Cen MT" w:hAnsi="Tw Cen MT" w:cstheme="minorBidi"/>
                                <w:b/>
                                <w:bCs/>
                                <w:color w:val="1BC2EE"/>
                                <w:kern w:val="24"/>
                                <w:sz w:val="16"/>
                                <w:szCs w:val="16"/>
                                <w:lang w:val="fr-SN"/>
                              </w:rPr>
                              <w:t>09/12 et 10/12</w:t>
                            </w:r>
                          </w:p>
                        </w:txbxContent>
                      </v:textbox>
                    </v:shape>
                  </w:pict>
                </mc:Fallback>
              </mc:AlternateContent>
            </w:r>
            <w:r w:rsidR="005F1AF2" w:rsidRPr="005F1AF2">
              <w:rPr>
                <w:rFonts w:ascii="Tw Cen MT" w:hAnsi="Tw Cen MT"/>
                <w:bCs/>
                <w:iCs/>
                <w:noProof/>
                <w:sz w:val="24"/>
                <w:szCs w:val="24"/>
                <w:lang w:eastAsia="fr-FR"/>
              </w:rPr>
              <mc:AlternateContent>
                <mc:Choice Requires="wps">
                  <w:drawing>
                    <wp:anchor distT="0" distB="0" distL="114300" distR="114300" simplePos="0" relativeHeight="251665408" behindDoc="0" locked="0" layoutInCell="1" allowOverlap="1" wp14:anchorId="31400B06" wp14:editId="0D682557">
                      <wp:simplePos x="0" y="0"/>
                      <wp:positionH relativeFrom="column">
                        <wp:posOffset>97790</wp:posOffset>
                      </wp:positionH>
                      <wp:positionV relativeFrom="paragraph">
                        <wp:posOffset>760730</wp:posOffset>
                      </wp:positionV>
                      <wp:extent cx="429025" cy="263725"/>
                      <wp:effectExtent l="0" t="0" r="9525" b="3175"/>
                      <wp:wrapNone/>
                      <wp:docPr id="67" name="Pentagone 10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02DF15F-14D6-4B18-9219-392C9FDF30A3}"/>
                          </a:ext>
                        </a:extLst>
                      </wp:docPr>
                      <wp:cNvGraphicFramePr/>
                      <a:graphic xmlns:a="http://schemas.openxmlformats.org/drawingml/2006/main">
                        <a:graphicData uri="http://schemas.microsoft.com/office/word/2010/wordprocessingShape">
                          <wps:wsp>
                            <wps:cNvSpPr/>
                            <wps:spPr>
                              <a:xfrm>
                                <a:off x="0" y="0"/>
                                <a:ext cx="429025" cy="263725"/>
                              </a:xfrm>
                              <a:prstGeom prst="homePlate">
                                <a:avLst/>
                              </a:prstGeom>
                              <a:solidFill>
                                <a:srgbClr val="108BB8"/>
                              </a:solidFill>
                              <a:ln w="25400" cap="flat" cmpd="sng" algn="ctr">
                                <a:noFill/>
                                <a:prstDash val="solid"/>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DC38C4" id="Pentagone 101" o:spid="_x0000_s1026" type="#_x0000_t15" style="position:absolute;margin-left:7.7pt;margin-top:59.9pt;width:33.8pt;height:20.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" adj="14961" fillcolor="#108bb8" stroked="f" strokeweight="2pt"/>
                  </w:pict>
                </mc:Fallback>
              </mc:AlternateContent>
            </w:r>
          </w:p>
        </w:tc>
        <w:tc>
          <w:tcPr>
            <w:tcW w:w="1177" w:type="dxa"/>
            <w:tcBorders>
              <w:top w:val="nil"/>
              <w:left w:val="single" w:sz="4" w:space="0" w:color="BFBFBF"/>
              <w:bottom w:val="nil"/>
              <w:right w:val="single" w:sz="4" w:space="0" w:color="BFBFBF"/>
            </w:tcBorders>
            <w:shd w:val="clear" w:color="auto" w:fill="FFFFFF"/>
            <w:tcMar>
              <w:top w:w="72" w:type="dxa"/>
              <w:left w:w="144" w:type="dxa"/>
              <w:bottom w:w="72" w:type="dxa"/>
              <w:right w:w="144" w:type="dxa"/>
            </w:tcMar>
            <w:hideMark/>
          </w:tcPr>
          <w:p w14:paraId="7F4DE730" w14:textId="7C9DEAF2" w:rsidR="005F1AF2" w:rsidRPr="005F1AF2" w:rsidRDefault="005F1AF2" w:rsidP="005F1AF2">
            <w:pPr>
              <w:spacing w:before="240" w:after="160" w:line="259" w:lineRule="auto"/>
              <w:ind w:left="357"/>
              <w:jc w:val="both"/>
              <w:rPr>
                <w:rFonts w:ascii="Tw Cen MT" w:hAnsi="Tw Cen MT"/>
                <w:bCs/>
                <w:iCs/>
                <w:sz w:val="24"/>
                <w:szCs w:val="24"/>
              </w:rPr>
            </w:pPr>
            <w:r w:rsidRPr="005F1AF2">
              <w:rPr>
                <w:rFonts w:ascii="Tw Cen MT" w:hAnsi="Tw Cen MT"/>
                <w:bCs/>
                <w:iCs/>
                <w:noProof/>
                <w:sz w:val="24"/>
                <w:szCs w:val="24"/>
                <w:lang w:eastAsia="fr-FR"/>
              </w:rPr>
              <mc:AlternateContent>
                <mc:Choice Requires="wps">
                  <w:drawing>
                    <wp:anchor distT="0" distB="0" distL="114300" distR="114300" simplePos="0" relativeHeight="251675648" behindDoc="0" locked="0" layoutInCell="1" allowOverlap="1" wp14:anchorId="2899C6B0" wp14:editId="6F6D3BCA">
                      <wp:simplePos x="0" y="0"/>
                      <wp:positionH relativeFrom="column">
                        <wp:posOffset>-37465</wp:posOffset>
                      </wp:positionH>
                      <wp:positionV relativeFrom="paragraph">
                        <wp:posOffset>1893570</wp:posOffset>
                      </wp:positionV>
                      <wp:extent cx="2771775" cy="263725"/>
                      <wp:effectExtent l="0" t="0" r="9525" b="3175"/>
                      <wp:wrapNone/>
                      <wp:docPr id="11" name="Pentagone 101"/>
                      <wp:cNvGraphicFramePr/>
                      <a:graphic xmlns:a="http://schemas.openxmlformats.org/drawingml/2006/main">
                        <a:graphicData uri="http://schemas.microsoft.com/office/word/2010/wordprocessingShape">
                          <wps:wsp>
                            <wps:cNvSpPr/>
                            <wps:spPr>
                              <a:xfrm>
                                <a:off x="0" y="0"/>
                                <a:ext cx="2771775" cy="263725"/>
                              </a:xfrm>
                              <a:prstGeom prst="homePlate">
                                <a:avLst/>
                              </a:prstGeom>
                              <a:solidFill>
                                <a:srgbClr val="108BB8"/>
                              </a:solidFill>
                              <a:ln w="25400" cap="flat" cmpd="sng" algn="ctr">
                                <a:noFill/>
                                <a:prstDash val="solid"/>
                              </a:ln>
                              <a:effectLst/>
                            </wps:spPr>
                            <wps:bodyPr rtlCol="0" anchor="ct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F4B04" id="Pentagone 101" o:spid="_x0000_s1026" type="#_x0000_t15" style="position:absolute;margin-left:-2.95pt;margin-top:149.1pt;width:218.25pt;height:20.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" adj="20572" fillcolor="#108bb8" stroked="f" strokeweight="2pt"/>
                  </w:pict>
                </mc:Fallback>
              </mc:AlternateContent>
            </w:r>
            <w:r w:rsidRPr="005F1AF2">
              <w:rPr>
                <w:rFonts w:ascii="Tw Cen MT" w:hAnsi="Tw Cen MT"/>
                <w:bCs/>
                <w:iCs/>
                <w:noProof/>
                <w:sz w:val="24"/>
                <w:szCs w:val="24"/>
                <w:lang w:eastAsia="fr-FR"/>
              </w:rPr>
              <mc:AlternateContent>
                <mc:Choice Requires="wps">
                  <w:drawing>
                    <wp:anchor distT="0" distB="0" distL="114300" distR="114300" simplePos="0" relativeHeight="251671552" behindDoc="0" locked="0" layoutInCell="1" allowOverlap="1" wp14:anchorId="4CDDE724" wp14:editId="4C9BB5A2">
                      <wp:simplePos x="0" y="0"/>
                      <wp:positionH relativeFrom="column">
                        <wp:posOffset>-46990</wp:posOffset>
                      </wp:positionH>
                      <wp:positionV relativeFrom="paragraph">
                        <wp:posOffset>1483995</wp:posOffset>
                      </wp:positionV>
                      <wp:extent cx="1447800" cy="263725"/>
                      <wp:effectExtent l="0" t="0" r="0" b="3175"/>
                      <wp:wrapNone/>
                      <wp:docPr id="7" name="Pentagone 101"/>
                      <wp:cNvGraphicFramePr/>
                      <a:graphic xmlns:a="http://schemas.openxmlformats.org/drawingml/2006/main">
                        <a:graphicData uri="http://schemas.microsoft.com/office/word/2010/wordprocessingShape">
                          <wps:wsp>
                            <wps:cNvSpPr/>
                            <wps:spPr>
                              <a:xfrm>
                                <a:off x="0" y="0"/>
                                <a:ext cx="1447800" cy="263725"/>
                              </a:xfrm>
                              <a:prstGeom prst="homePlate">
                                <a:avLst/>
                              </a:prstGeom>
                              <a:solidFill>
                                <a:srgbClr val="108BB8"/>
                              </a:solidFill>
                              <a:ln w="25400" cap="flat" cmpd="sng" algn="ctr">
                                <a:noFill/>
                                <a:prstDash val="solid"/>
                              </a:ln>
                              <a:effectLst/>
                            </wps:spPr>
                            <wps:bodyPr rtlCol="0" anchor="ct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8130F2" id="Pentagone 101" o:spid="_x0000_s1026" type="#_x0000_t15" style="position:absolute;margin-left:-3.7pt;margin-top:116.85pt;width:114pt;height:20.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" adj="19633" fillcolor="#108bb8" stroked="f" strokeweight="2pt"/>
                  </w:pict>
                </mc:Fallback>
              </mc:AlternateContent>
            </w:r>
            <w:r w:rsidRPr="005F1AF2">
              <w:rPr>
                <w:rFonts w:ascii="Tw Cen MT" w:hAnsi="Tw Cen MT"/>
                <w:bCs/>
                <w:iCs/>
                <w:noProof/>
                <w:sz w:val="24"/>
                <w:szCs w:val="24"/>
                <w:lang w:eastAsia="fr-FR"/>
              </w:rPr>
              <mc:AlternateContent>
                <mc:Choice Requires="wps">
                  <w:drawing>
                    <wp:anchor distT="0" distB="0" distL="114300" distR="114300" simplePos="0" relativeHeight="251669504" behindDoc="0" locked="0" layoutInCell="1" allowOverlap="1" wp14:anchorId="4D25E67E" wp14:editId="0C93EE6F">
                      <wp:simplePos x="0" y="0"/>
                      <wp:positionH relativeFrom="column">
                        <wp:posOffset>-43815</wp:posOffset>
                      </wp:positionH>
                      <wp:positionV relativeFrom="paragraph">
                        <wp:posOffset>1084580</wp:posOffset>
                      </wp:positionV>
                      <wp:extent cx="429025" cy="263725"/>
                      <wp:effectExtent l="0" t="0" r="9525" b="3175"/>
                      <wp:wrapNone/>
                      <wp:docPr id="6" name="Pentagone 101"/>
                      <wp:cNvGraphicFramePr/>
                      <a:graphic xmlns:a="http://schemas.openxmlformats.org/drawingml/2006/main">
                        <a:graphicData uri="http://schemas.microsoft.com/office/word/2010/wordprocessingShape">
                          <wps:wsp>
                            <wps:cNvSpPr/>
                            <wps:spPr>
                              <a:xfrm>
                                <a:off x="0" y="0"/>
                                <a:ext cx="429025" cy="263725"/>
                              </a:xfrm>
                              <a:prstGeom prst="homePlate">
                                <a:avLst/>
                              </a:prstGeom>
                              <a:solidFill>
                                <a:srgbClr val="108BB8"/>
                              </a:solidFill>
                              <a:ln w="25400" cap="flat" cmpd="sng" algn="ctr">
                                <a:noFill/>
                                <a:prstDash val="solid"/>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AB6D4D" id="Pentagone 101" o:spid="_x0000_s1026" type="#_x0000_t15" style="position:absolute;margin-left:-3.45pt;margin-top:85.4pt;width:33.8pt;height:20.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" adj="14961" fillcolor="#108bb8" stroked="f" strokeweight="2pt"/>
                  </w:pict>
                </mc:Fallback>
              </mc:AlternateContent>
            </w:r>
            <w:r w:rsidRPr="005F1AF2">
              <w:rPr>
                <w:rFonts w:ascii="Tw Cen MT" w:hAnsi="Tw Cen MT"/>
                <w:bCs/>
                <w:iCs/>
                <w:noProof/>
                <w:sz w:val="24"/>
                <w:szCs w:val="24"/>
                <w:lang w:eastAsia="fr-FR"/>
              </w:rPr>
              <mc:AlternateContent>
                <mc:Choice Requires="wps">
                  <w:drawing>
                    <wp:anchor distT="0" distB="0" distL="114300" distR="114300" simplePos="0" relativeHeight="251667456" behindDoc="0" locked="0" layoutInCell="1" allowOverlap="1" wp14:anchorId="4EF21679" wp14:editId="222EBEFD">
                      <wp:simplePos x="0" y="0"/>
                      <wp:positionH relativeFrom="column">
                        <wp:posOffset>-253365</wp:posOffset>
                      </wp:positionH>
                      <wp:positionV relativeFrom="paragraph">
                        <wp:posOffset>570230</wp:posOffset>
                      </wp:positionV>
                      <wp:extent cx="1063102" cy="461665"/>
                      <wp:effectExtent l="0" t="0" r="0" b="0"/>
                      <wp:wrapNone/>
                      <wp:docPr id="69" name="ZoneTexte 6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48D3B4-1C21-4A91-AD65-8D5A0A2DBFEE}"/>
                          </a:ext>
                        </a:extLst>
                      </wp:docPr>
                      <wp:cNvGraphicFramePr/>
                      <a:graphic xmlns:a="http://schemas.openxmlformats.org/drawingml/2006/main">
                        <a:graphicData uri="http://schemas.microsoft.com/office/word/2010/wordprocessingShape">
                          <wps:wsp>
                            <wps:cNvSpPr txBox="1"/>
                            <wps:spPr>
                              <a:xfrm>
                                <a:off x="0" y="0"/>
                                <a:ext cx="1063102" cy="461665"/>
                              </a:xfrm>
                              <a:prstGeom prst="rect">
                                <a:avLst/>
                              </a:prstGeom>
                              <a:noFill/>
                            </wps:spPr>
                            <wps:txbx>
                              <w:txbxContent>
                                <w:p w14:paraId="6E045791" w14:textId="77777777" w:rsidR="005F1AF2" w:rsidRDefault="005F1AF2" w:rsidP="005F1AF2">
                                  <w:pPr>
                                    <w:spacing w:before="60"/>
                                    <w:jc w:val="center"/>
                                    <w:rPr>
                                      <w:rFonts w:asciiTheme="minorHAnsi" w:hAnsi="Calibri" w:cstheme="minorBidi"/>
                                      <w:b/>
                                      <w:bCs/>
                                      <w:color w:val="222A35" w:themeColor="text2" w:themeShade="80"/>
                                      <w:kern w:val="24"/>
                                      <w:sz w:val="16"/>
                                      <w:szCs w:val="16"/>
                                      <w:lang w:val="fr-SN"/>
                                    </w:rPr>
                                  </w:pPr>
                                  <w:r>
                                    <w:rPr>
                                      <w:rFonts w:asciiTheme="minorHAnsi" w:hAnsi="Calibri" w:cstheme="minorBidi"/>
                                      <w:b/>
                                      <w:bCs/>
                                      <w:color w:val="222A35" w:themeColor="text2" w:themeShade="80"/>
                                      <w:kern w:val="24"/>
                                      <w:sz w:val="16"/>
                                      <w:szCs w:val="16"/>
                                      <w:lang w:val="fr-SN"/>
                                    </w:rPr>
                                    <w:t>Transmission des formulaires via SharePoint</w:t>
                                  </w:r>
                                </w:p>
                              </w:txbxContent>
                            </wps:txbx>
                            <wps:bodyPr wrap="square" rtlCol="0" anchor="ctr">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21679" id="ZoneTexte 68" o:spid="_x0000_s1029" type="#_x0000_t202" style="position:absolute;left:0;text-align:left;margin-left:-19.95pt;margin-top:44.9pt;width:83.7pt;height:36.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" filled="f" stroked="f">
                      <v:textbox style="mso-fit-shape-to-text:t">
                        <w:txbxContent>
                          <w:p w14:paraId="6E045791" w14:textId="77777777" w:rsidR="005F1AF2" w:rsidRDefault="005F1AF2" w:rsidP="005F1AF2">
                            <w:pPr>
                              <w:spacing w:before="60"/>
                              <w:jc w:val="center"/>
                              <w:rPr>
                                <w:rFonts w:asciiTheme="minorHAnsi" w:hAnsi="Calibri" w:cstheme="minorBidi"/>
                                <w:b/>
                                <w:bCs/>
                                <w:color w:val="222A35" w:themeColor="text2" w:themeShade="80"/>
                                <w:kern w:val="24"/>
                                <w:sz w:val="16"/>
                                <w:szCs w:val="16"/>
                                <w:lang w:val="fr-SN"/>
                              </w:rPr>
                            </w:pPr>
                            <w:r>
                              <w:rPr>
                                <w:rFonts w:asciiTheme="minorHAnsi" w:hAnsi="Calibri" w:cstheme="minorBidi"/>
                                <w:b/>
                                <w:bCs/>
                                <w:color w:val="222A35" w:themeColor="text2" w:themeShade="80"/>
                                <w:kern w:val="24"/>
                                <w:sz w:val="16"/>
                                <w:szCs w:val="16"/>
                                <w:lang w:val="fr-SN"/>
                              </w:rPr>
                              <w:t>Transmission des formulaires via SharePoint</w:t>
                            </w:r>
                          </w:p>
                        </w:txbxContent>
                      </v:textbox>
                    </v:shape>
                  </w:pict>
                </mc:Fallback>
              </mc:AlternateContent>
            </w:r>
          </w:p>
        </w:tc>
        <w:tc>
          <w:tcPr>
            <w:tcW w:w="1177" w:type="dxa"/>
            <w:tcBorders>
              <w:top w:val="nil"/>
              <w:left w:val="single" w:sz="4" w:space="0" w:color="BFBFBF"/>
              <w:bottom w:val="nil"/>
              <w:right w:val="single" w:sz="4" w:space="0" w:color="BFBFBF"/>
            </w:tcBorders>
            <w:shd w:val="clear" w:color="auto" w:fill="FFFFFF"/>
            <w:tcMar>
              <w:top w:w="72" w:type="dxa"/>
              <w:left w:w="144" w:type="dxa"/>
              <w:bottom w:w="72" w:type="dxa"/>
              <w:right w:w="144" w:type="dxa"/>
            </w:tcMar>
            <w:hideMark/>
          </w:tcPr>
          <w:p w14:paraId="6AAB14D8" w14:textId="2FEC9B5B" w:rsidR="005F1AF2" w:rsidRPr="005F1AF2" w:rsidRDefault="005F1AF2" w:rsidP="005F1AF2">
            <w:pPr>
              <w:spacing w:before="240" w:after="160" w:line="259" w:lineRule="auto"/>
              <w:ind w:left="357"/>
              <w:jc w:val="both"/>
              <w:rPr>
                <w:rFonts w:ascii="Tw Cen MT" w:hAnsi="Tw Cen MT"/>
                <w:bCs/>
                <w:iCs/>
                <w:sz w:val="24"/>
                <w:szCs w:val="24"/>
              </w:rPr>
            </w:pPr>
            <w:r w:rsidRPr="005F1AF2">
              <w:rPr>
                <w:rFonts w:ascii="Tw Cen MT" w:hAnsi="Tw Cen MT"/>
                <w:bCs/>
                <w:iCs/>
                <w:noProof/>
                <w:sz w:val="24"/>
                <w:szCs w:val="24"/>
                <w:lang w:eastAsia="fr-FR"/>
              </w:rPr>
              <mc:AlternateContent>
                <mc:Choice Requires="wps">
                  <w:drawing>
                    <wp:anchor distT="0" distB="0" distL="114300" distR="114300" simplePos="0" relativeHeight="251673600" behindDoc="0" locked="0" layoutInCell="1" allowOverlap="1" wp14:anchorId="7A9DBD37" wp14:editId="7661BF42">
                      <wp:simplePos x="0" y="0"/>
                      <wp:positionH relativeFrom="column">
                        <wp:posOffset>-413385</wp:posOffset>
                      </wp:positionH>
                      <wp:positionV relativeFrom="paragraph">
                        <wp:posOffset>960120</wp:posOffset>
                      </wp:positionV>
                      <wp:extent cx="1304925" cy="461665"/>
                      <wp:effectExtent l="0" t="0" r="0" b="0"/>
                      <wp:wrapNone/>
                      <wp:docPr id="10" name="ZoneTexte 68"/>
                      <wp:cNvGraphicFramePr/>
                      <a:graphic xmlns:a="http://schemas.openxmlformats.org/drawingml/2006/main">
                        <a:graphicData uri="http://schemas.microsoft.com/office/word/2010/wordprocessingShape">
                          <wps:wsp>
                            <wps:cNvSpPr txBox="1"/>
                            <wps:spPr>
                              <a:xfrm>
                                <a:off x="0" y="0"/>
                                <a:ext cx="1304925" cy="461665"/>
                              </a:xfrm>
                              <a:prstGeom prst="rect">
                                <a:avLst/>
                              </a:prstGeom>
                              <a:noFill/>
                            </wps:spPr>
                            <wps:txbx>
                              <w:txbxContent>
                                <w:p w14:paraId="0BD00399" w14:textId="4D7ED3AD" w:rsidR="005F1AF2" w:rsidRDefault="005F1AF2" w:rsidP="005F1AF2">
                                  <w:pPr>
                                    <w:spacing w:before="60"/>
                                    <w:jc w:val="center"/>
                                    <w:rPr>
                                      <w:rFonts w:asciiTheme="minorHAnsi" w:hAnsi="Calibri" w:cstheme="minorBidi"/>
                                      <w:b/>
                                      <w:bCs/>
                                      <w:color w:val="222A35" w:themeColor="text2" w:themeShade="80"/>
                                      <w:kern w:val="24"/>
                                      <w:sz w:val="16"/>
                                      <w:szCs w:val="16"/>
                                      <w:lang w:val="fr-SN"/>
                                    </w:rPr>
                                  </w:pPr>
                                  <w:r>
                                    <w:rPr>
                                      <w:rFonts w:asciiTheme="minorHAnsi" w:hAnsi="Calibri" w:cstheme="minorBidi"/>
                                      <w:b/>
                                      <w:bCs/>
                                      <w:color w:val="222A35" w:themeColor="text2" w:themeShade="80"/>
                                      <w:kern w:val="24"/>
                                      <w:sz w:val="16"/>
                                      <w:szCs w:val="16"/>
                                      <w:lang w:val="fr-SN"/>
                                    </w:rPr>
                                    <w:t>Recueil des formulaires électronique via SharePoint</w:t>
                                  </w:r>
                                </w:p>
                              </w:txbxContent>
                            </wps:txbx>
                            <wps:bodyPr wrap="square" rtlCol="0" anchor="ctr">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9DBD37" id="_x0000_s1030" type="#_x0000_t202" style="position:absolute;left:0;text-align:left;margin-left:-32.55pt;margin-top:75.6pt;width:102.75pt;height:36.3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" filled="f" stroked="f">
                      <v:textbox style="mso-fit-shape-to-text:t">
                        <w:txbxContent>
                          <w:p w14:paraId="0BD00399" w14:textId="4D7ED3AD" w:rsidR="005F1AF2" w:rsidRDefault="005F1AF2" w:rsidP="005F1AF2">
                            <w:pPr>
                              <w:spacing w:before="60"/>
                              <w:jc w:val="center"/>
                              <w:rPr>
                                <w:rFonts w:asciiTheme="minorHAnsi" w:hAnsi="Calibri" w:cstheme="minorBidi"/>
                                <w:b/>
                                <w:bCs/>
                                <w:color w:val="222A35" w:themeColor="text2" w:themeShade="80"/>
                                <w:kern w:val="24"/>
                                <w:sz w:val="16"/>
                                <w:szCs w:val="16"/>
                                <w:lang w:val="fr-SN"/>
                              </w:rPr>
                            </w:pPr>
                            <w:r>
                              <w:rPr>
                                <w:rFonts w:asciiTheme="minorHAnsi" w:hAnsi="Calibri" w:cstheme="minorBidi"/>
                                <w:b/>
                                <w:bCs/>
                                <w:color w:val="222A35" w:themeColor="text2" w:themeShade="80"/>
                                <w:kern w:val="24"/>
                                <w:sz w:val="16"/>
                                <w:szCs w:val="16"/>
                                <w:lang w:val="fr-SN"/>
                              </w:rPr>
                              <w:t>Recueil des formulaires électronique via SharePoint</w:t>
                            </w:r>
                          </w:p>
                        </w:txbxContent>
                      </v:textbox>
                    </v:shape>
                  </w:pict>
                </mc:Fallback>
              </mc:AlternateContent>
            </w:r>
          </w:p>
        </w:tc>
        <w:tc>
          <w:tcPr>
            <w:tcW w:w="1178" w:type="dxa"/>
            <w:tcBorders>
              <w:top w:val="nil"/>
              <w:left w:val="single" w:sz="4" w:space="0" w:color="BFBFBF"/>
              <w:bottom w:val="nil"/>
              <w:right w:val="single" w:sz="4" w:space="0" w:color="BFBFBF"/>
            </w:tcBorders>
            <w:shd w:val="clear" w:color="auto" w:fill="FFFFFF"/>
            <w:tcMar>
              <w:top w:w="72" w:type="dxa"/>
              <w:left w:w="144" w:type="dxa"/>
              <w:bottom w:w="72" w:type="dxa"/>
              <w:right w:w="144" w:type="dxa"/>
            </w:tcMar>
            <w:hideMark/>
          </w:tcPr>
          <w:p w14:paraId="404B9EC6" w14:textId="7B625446" w:rsidR="005F1AF2" w:rsidRPr="005F1AF2" w:rsidRDefault="005F1AF2" w:rsidP="005F1AF2">
            <w:pPr>
              <w:spacing w:before="240" w:after="160" w:line="259" w:lineRule="auto"/>
              <w:ind w:left="357"/>
              <w:jc w:val="both"/>
              <w:rPr>
                <w:rFonts w:ascii="Tw Cen MT" w:hAnsi="Tw Cen MT"/>
                <w:bCs/>
                <w:iCs/>
                <w:sz w:val="24"/>
                <w:szCs w:val="24"/>
              </w:rPr>
            </w:pPr>
          </w:p>
        </w:tc>
        <w:tc>
          <w:tcPr>
            <w:tcW w:w="1178" w:type="dxa"/>
            <w:tcBorders>
              <w:top w:val="nil"/>
              <w:left w:val="single" w:sz="4" w:space="0" w:color="BFBFBF"/>
              <w:bottom w:val="nil"/>
              <w:right w:val="single" w:sz="4" w:space="0" w:color="BFBFBF"/>
            </w:tcBorders>
            <w:shd w:val="clear" w:color="auto" w:fill="FFFFFF"/>
            <w:tcMar>
              <w:top w:w="72" w:type="dxa"/>
              <w:left w:w="144" w:type="dxa"/>
              <w:bottom w:w="72" w:type="dxa"/>
              <w:right w:w="144" w:type="dxa"/>
            </w:tcMar>
            <w:hideMark/>
          </w:tcPr>
          <w:p w14:paraId="3016F8E2" w14:textId="1D0F00AE" w:rsidR="005F1AF2" w:rsidRPr="005F1AF2" w:rsidRDefault="005F1AF2" w:rsidP="005F1AF2">
            <w:pPr>
              <w:spacing w:before="240" w:after="160" w:line="259" w:lineRule="auto"/>
              <w:ind w:left="357"/>
              <w:jc w:val="both"/>
              <w:rPr>
                <w:rFonts w:ascii="Tw Cen MT" w:hAnsi="Tw Cen MT"/>
                <w:bCs/>
                <w:iCs/>
                <w:sz w:val="24"/>
                <w:szCs w:val="24"/>
              </w:rPr>
            </w:pPr>
            <w:r w:rsidRPr="005F1AF2">
              <w:rPr>
                <w:rFonts w:ascii="Tw Cen MT" w:hAnsi="Tw Cen MT"/>
                <w:bCs/>
                <w:iCs/>
                <w:noProof/>
                <w:sz w:val="24"/>
                <w:szCs w:val="24"/>
                <w:lang w:eastAsia="fr-FR"/>
              </w:rPr>
              <mc:AlternateContent>
                <mc:Choice Requires="wps">
                  <w:drawing>
                    <wp:anchor distT="0" distB="0" distL="114300" distR="114300" simplePos="0" relativeHeight="251677696" behindDoc="0" locked="0" layoutInCell="1" allowOverlap="1" wp14:anchorId="67F33ABB" wp14:editId="073E0FB5">
                      <wp:simplePos x="0" y="0"/>
                      <wp:positionH relativeFrom="column">
                        <wp:posOffset>-934085</wp:posOffset>
                      </wp:positionH>
                      <wp:positionV relativeFrom="paragraph">
                        <wp:posOffset>1348105</wp:posOffset>
                      </wp:positionV>
                      <wp:extent cx="1304925" cy="461665"/>
                      <wp:effectExtent l="0" t="0" r="0" b="0"/>
                      <wp:wrapNone/>
                      <wp:docPr id="12" name="ZoneTexte 68"/>
                      <wp:cNvGraphicFramePr/>
                      <a:graphic xmlns:a="http://schemas.openxmlformats.org/drawingml/2006/main">
                        <a:graphicData uri="http://schemas.microsoft.com/office/word/2010/wordprocessingShape">
                          <wps:wsp>
                            <wps:cNvSpPr txBox="1"/>
                            <wps:spPr>
                              <a:xfrm>
                                <a:off x="0" y="0"/>
                                <a:ext cx="1304925" cy="461665"/>
                              </a:xfrm>
                              <a:prstGeom prst="rect">
                                <a:avLst/>
                              </a:prstGeom>
                              <a:noFill/>
                            </wps:spPr>
                            <wps:txbx>
                              <w:txbxContent>
                                <w:p w14:paraId="0D21CFCE" w14:textId="33F083BA" w:rsidR="005F1AF2" w:rsidRDefault="005F1AF2" w:rsidP="005F1AF2">
                                  <w:pPr>
                                    <w:spacing w:before="60"/>
                                    <w:jc w:val="center"/>
                                    <w:rPr>
                                      <w:rFonts w:asciiTheme="minorHAnsi" w:hAnsi="Calibri" w:cstheme="minorBidi"/>
                                      <w:b/>
                                      <w:bCs/>
                                      <w:color w:val="222A35" w:themeColor="text2" w:themeShade="80"/>
                                      <w:kern w:val="24"/>
                                      <w:sz w:val="16"/>
                                      <w:szCs w:val="16"/>
                                      <w:lang w:val="fr-SN"/>
                                    </w:rPr>
                                  </w:pPr>
                                  <w:r>
                                    <w:rPr>
                                      <w:rFonts w:asciiTheme="minorHAnsi" w:hAnsi="Calibri" w:cstheme="minorBidi"/>
                                      <w:b/>
                                      <w:bCs/>
                                      <w:color w:val="222A35" w:themeColor="text2" w:themeShade="80"/>
                                      <w:kern w:val="24"/>
                                      <w:sz w:val="16"/>
                                      <w:szCs w:val="16"/>
                                      <w:lang w:val="fr-SN"/>
                                    </w:rPr>
                                    <w:t>Recueil des formulaires signés et certifiés + pièces justificatives</w:t>
                                  </w:r>
                                </w:p>
                              </w:txbxContent>
                            </wps:txbx>
                            <wps:bodyPr wrap="square" rtlCol="0" anchor="ctr">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F33ABB" id="_x0000_s1031" type="#_x0000_t202" style="position:absolute;left:0;text-align:left;margin-left:-73.55pt;margin-top:106.15pt;width:102.75pt;height:36.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" filled="f" stroked="f">
                      <v:textbox style="mso-fit-shape-to-text:t">
                        <w:txbxContent>
                          <w:p w14:paraId="0D21CFCE" w14:textId="33F083BA" w:rsidR="005F1AF2" w:rsidRDefault="005F1AF2" w:rsidP="005F1AF2">
                            <w:pPr>
                              <w:spacing w:before="60"/>
                              <w:jc w:val="center"/>
                              <w:rPr>
                                <w:rFonts w:asciiTheme="minorHAnsi" w:hAnsi="Calibri" w:cstheme="minorBidi"/>
                                <w:b/>
                                <w:bCs/>
                                <w:color w:val="222A35" w:themeColor="text2" w:themeShade="80"/>
                                <w:kern w:val="24"/>
                                <w:sz w:val="16"/>
                                <w:szCs w:val="16"/>
                                <w:lang w:val="fr-SN"/>
                              </w:rPr>
                            </w:pPr>
                            <w:r>
                              <w:rPr>
                                <w:rFonts w:asciiTheme="minorHAnsi" w:hAnsi="Calibri" w:cstheme="minorBidi"/>
                                <w:b/>
                                <w:bCs/>
                                <w:color w:val="222A35" w:themeColor="text2" w:themeShade="80"/>
                                <w:kern w:val="24"/>
                                <w:sz w:val="16"/>
                                <w:szCs w:val="16"/>
                                <w:lang w:val="fr-SN"/>
                              </w:rPr>
                              <w:t>Recueil des formulaires signés et certifiés + pièces justificatives</w:t>
                            </w:r>
                          </w:p>
                        </w:txbxContent>
                      </v:textbox>
                    </v:shape>
                  </w:pict>
                </mc:Fallback>
              </mc:AlternateContent>
            </w:r>
          </w:p>
        </w:tc>
        <w:tc>
          <w:tcPr>
            <w:tcW w:w="1178" w:type="dxa"/>
            <w:tcBorders>
              <w:top w:val="nil"/>
              <w:left w:val="single" w:sz="4" w:space="0" w:color="BFBFBF"/>
              <w:bottom w:val="nil"/>
              <w:right w:val="single" w:sz="4" w:space="0" w:color="BFBFBF"/>
            </w:tcBorders>
            <w:shd w:val="clear" w:color="auto" w:fill="FFFFFF"/>
            <w:tcMar>
              <w:top w:w="72" w:type="dxa"/>
              <w:left w:w="144" w:type="dxa"/>
              <w:bottom w:w="72" w:type="dxa"/>
              <w:right w:w="144" w:type="dxa"/>
            </w:tcMar>
            <w:hideMark/>
          </w:tcPr>
          <w:p w14:paraId="7C56BF9A" w14:textId="5281CED4" w:rsidR="005F1AF2" w:rsidRPr="005F1AF2" w:rsidRDefault="005401AB" w:rsidP="005F1AF2">
            <w:pPr>
              <w:spacing w:before="240" w:after="160" w:line="259" w:lineRule="auto"/>
              <w:ind w:left="357"/>
              <w:jc w:val="both"/>
              <w:rPr>
                <w:rFonts w:ascii="Tw Cen MT" w:hAnsi="Tw Cen MT"/>
                <w:bCs/>
                <w:iCs/>
                <w:sz w:val="24"/>
                <w:szCs w:val="24"/>
              </w:rPr>
            </w:pPr>
            <w:r w:rsidRPr="005401AB">
              <w:rPr>
                <w:rFonts w:ascii="Tw Cen MT" w:hAnsi="Tw Cen MT"/>
                <w:bCs/>
                <w:iCs/>
                <w:noProof/>
                <w:sz w:val="24"/>
                <w:szCs w:val="24"/>
                <w:lang w:eastAsia="fr-FR"/>
              </w:rPr>
              <mc:AlternateContent>
                <mc:Choice Requires="wps">
                  <w:drawing>
                    <wp:anchor distT="0" distB="0" distL="114300" distR="114300" simplePos="0" relativeHeight="251683840" behindDoc="0" locked="0" layoutInCell="1" allowOverlap="1" wp14:anchorId="0A952412" wp14:editId="72ED50B8">
                      <wp:simplePos x="0" y="0"/>
                      <wp:positionH relativeFrom="column">
                        <wp:posOffset>-399415</wp:posOffset>
                      </wp:positionH>
                      <wp:positionV relativeFrom="paragraph">
                        <wp:posOffset>817245</wp:posOffset>
                      </wp:positionV>
                      <wp:extent cx="1533525" cy="263725"/>
                      <wp:effectExtent l="0" t="0" r="9525" b="3175"/>
                      <wp:wrapNone/>
                      <wp:docPr id="79" name="Pentagone 10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E9507E-185A-4D7D-8D44-4007B71303B9}"/>
                          </a:ext>
                        </a:extLst>
                      </wp:docPr>
                      <wp:cNvGraphicFramePr/>
                      <a:graphic xmlns:a="http://schemas.openxmlformats.org/drawingml/2006/main">
                        <a:graphicData uri="http://schemas.microsoft.com/office/word/2010/wordprocessingShape">
                          <wps:wsp>
                            <wps:cNvSpPr/>
                            <wps:spPr>
                              <a:xfrm>
                                <a:off x="0" y="0"/>
                                <a:ext cx="1533525" cy="263725"/>
                              </a:xfrm>
                              <a:prstGeom prst="homePlate">
                                <a:avLst/>
                              </a:prstGeom>
                              <a:solidFill>
                                <a:srgbClr val="108BB8"/>
                              </a:solidFill>
                              <a:ln w="25400" cap="flat" cmpd="sng" algn="ctr">
                                <a:noFill/>
                                <a:prstDash val="solid"/>
                              </a:ln>
                              <a:effectLst/>
                            </wps:spPr>
                            <wps:bodyPr rtlCol="0" anchor="ct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3A408E" id="Pentagone 101" o:spid="_x0000_s1026" type="#_x0000_t15" style="position:absolute;margin-left:-31.45pt;margin-top:64.35pt;width:120.75pt;height:20.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" adj="19743" fillcolor="#108bb8" stroked="f" strokeweight="2pt"/>
                  </w:pict>
                </mc:Fallback>
              </mc:AlternateContent>
            </w:r>
            <w:r w:rsidRPr="005F1AF2">
              <w:rPr>
                <w:rFonts w:ascii="Tw Cen MT" w:hAnsi="Tw Cen MT"/>
                <w:bCs/>
                <w:iCs/>
                <w:noProof/>
                <w:sz w:val="24"/>
                <w:szCs w:val="24"/>
                <w:lang w:eastAsia="fr-FR"/>
              </w:rPr>
              <mc:AlternateContent>
                <mc:Choice Requires="wps">
                  <w:drawing>
                    <wp:anchor distT="0" distB="0" distL="114300" distR="114300" simplePos="0" relativeHeight="251681792" behindDoc="0" locked="0" layoutInCell="1" allowOverlap="1" wp14:anchorId="0DD0C0FE" wp14:editId="153E8501">
                      <wp:simplePos x="0" y="0"/>
                      <wp:positionH relativeFrom="column">
                        <wp:posOffset>-323216</wp:posOffset>
                      </wp:positionH>
                      <wp:positionV relativeFrom="paragraph">
                        <wp:posOffset>2293620</wp:posOffset>
                      </wp:positionV>
                      <wp:extent cx="1019175" cy="263725"/>
                      <wp:effectExtent l="0" t="0" r="9525" b="3175"/>
                      <wp:wrapNone/>
                      <wp:docPr id="13" name="Pentagone 101"/>
                      <wp:cNvGraphicFramePr/>
                      <a:graphic xmlns:a="http://schemas.openxmlformats.org/drawingml/2006/main">
                        <a:graphicData uri="http://schemas.microsoft.com/office/word/2010/wordprocessingShape">
                          <wps:wsp>
                            <wps:cNvSpPr/>
                            <wps:spPr>
                              <a:xfrm>
                                <a:off x="0" y="0"/>
                                <a:ext cx="1019175" cy="263725"/>
                              </a:xfrm>
                              <a:prstGeom prst="homePlate">
                                <a:avLst/>
                              </a:prstGeom>
                              <a:solidFill>
                                <a:srgbClr val="108BB8"/>
                              </a:solidFill>
                              <a:ln w="25400" cap="flat" cmpd="sng" algn="ctr">
                                <a:noFill/>
                                <a:prstDash val="solid"/>
                              </a:ln>
                              <a:effectLst/>
                            </wps:spPr>
                            <wps:bodyPr rtlCol="0" anchor="ct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A62EC5" id="Pentagone 101" o:spid="_x0000_s1026" type="#_x0000_t15" style="position:absolute;margin-left:-25.45pt;margin-top:180.6pt;width:80.25pt;height:20.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" adj="18805" fillcolor="#108bb8" stroked="f" strokeweight="2pt"/>
                  </w:pict>
                </mc:Fallback>
              </mc:AlternateContent>
            </w:r>
            <w:r w:rsidRPr="005401AB">
              <w:rPr>
                <w:rFonts w:ascii="Tw Cen MT" w:hAnsi="Tw Cen MT"/>
                <w:bCs/>
                <w:iCs/>
                <w:noProof/>
                <w:sz w:val="24"/>
                <w:szCs w:val="24"/>
                <w:lang w:eastAsia="fr-FR"/>
              </w:rPr>
              <mc:AlternateContent>
                <mc:Choice Requires="wps">
                  <w:drawing>
                    <wp:anchor distT="0" distB="0" distL="114300" distR="114300" simplePos="0" relativeHeight="251679744" behindDoc="0" locked="0" layoutInCell="1" allowOverlap="1" wp14:anchorId="4B9BF3CB" wp14:editId="1A81290B">
                      <wp:simplePos x="0" y="0"/>
                      <wp:positionH relativeFrom="column">
                        <wp:posOffset>-218440</wp:posOffset>
                      </wp:positionH>
                      <wp:positionV relativeFrom="paragraph">
                        <wp:posOffset>1417320</wp:posOffset>
                      </wp:positionV>
                      <wp:extent cx="981075" cy="809625"/>
                      <wp:effectExtent l="0" t="0" r="0" b="0"/>
                      <wp:wrapNone/>
                      <wp:docPr id="78" name="ZoneTexte 7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884D6F0-F69F-4AEE-B3BA-9C06CB9D5659}"/>
                          </a:ext>
                        </a:extLst>
                      </wp:docPr>
                      <wp:cNvGraphicFramePr/>
                      <a:graphic xmlns:a="http://schemas.openxmlformats.org/drawingml/2006/main">
                        <a:graphicData uri="http://schemas.microsoft.com/office/word/2010/wordprocessingShape">
                          <wps:wsp>
                            <wps:cNvSpPr txBox="1"/>
                            <wps:spPr>
                              <a:xfrm>
                                <a:off x="0" y="0"/>
                                <a:ext cx="981075" cy="809625"/>
                              </a:xfrm>
                              <a:prstGeom prst="rect">
                                <a:avLst/>
                              </a:prstGeom>
                              <a:noFill/>
                            </wps:spPr>
                            <wps:txbx>
                              <w:txbxContent>
                                <w:p w14:paraId="3035C6D9" w14:textId="77777777" w:rsidR="005401AB" w:rsidRDefault="005401AB" w:rsidP="005401AB">
                                  <w:pPr>
                                    <w:spacing w:before="60"/>
                                    <w:jc w:val="center"/>
                                    <w:rPr>
                                      <w:rFonts w:asciiTheme="minorHAnsi" w:hAnsi="Calibri" w:cstheme="minorBidi"/>
                                      <w:b/>
                                      <w:bCs/>
                                      <w:color w:val="222A35" w:themeColor="text2" w:themeShade="80"/>
                                      <w:kern w:val="24"/>
                                      <w:sz w:val="16"/>
                                      <w:szCs w:val="16"/>
                                      <w:lang w:val="fr-SN"/>
                                    </w:rPr>
                                  </w:pPr>
                                  <w:r>
                                    <w:rPr>
                                      <w:rFonts w:asciiTheme="minorHAnsi" w:hAnsi="Calibri" w:cstheme="minorBidi"/>
                                      <w:b/>
                                      <w:bCs/>
                                      <w:color w:val="222A35" w:themeColor="text2" w:themeShade="80"/>
                                      <w:kern w:val="24"/>
                                      <w:sz w:val="16"/>
                                      <w:szCs w:val="16"/>
                                      <w:lang w:val="fr-SN"/>
                                    </w:rPr>
                                    <w:t>Validation et rapprochement des données sur la base des pièces justificatives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9BF3CB" id="ZoneTexte 77" o:spid="_x0000_s1032" type="#_x0000_t202" style="position:absolute;left:0;text-align:left;margin-left:-17.2pt;margin-top:111.6pt;width:77.25pt;height:6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" filled="f" stroked="f">
                      <v:textbox>
                        <w:txbxContent>
                          <w:p w14:paraId="3035C6D9" w14:textId="77777777" w:rsidR="005401AB" w:rsidRDefault="005401AB" w:rsidP="005401AB">
                            <w:pPr>
                              <w:spacing w:before="60"/>
                              <w:jc w:val="center"/>
                              <w:rPr>
                                <w:rFonts w:asciiTheme="minorHAnsi" w:hAnsi="Calibri" w:cstheme="minorBidi"/>
                                <w:b/>
                                <w:bCs/>
                                <w:color w:val="222A35" w:themeColor="text2" w:themeShade="80"/>
                                <w:kern w:val="24"/>
                                <w:sz w:val="16"/>
                                <w:szCs w:val="16"/>
                                <w:lang w:val="fr-SN"/>
                              </w:rPr>
                            </w:pPr>
                            <w:r>
                              <w:rPr>
                                <w:rFonts w:asciiTheme="minorHAnsi" w:hAnsi="Calibri" w:cstheme="minorBidi"/>
                                <w:b/>
                                <w:bCs/>
                                <w:color w:val="222A35" w:themeColor="text2" w:themeShade="80"/>
                                <w:kern w:val="24"/>
                                <w:sz w:val="16"/>
                                <w:szCs w:val="16"/>
                                <w:lang w:val="fr-SN"/>
                              </w:rPr>
                              <w:t>Validation et rapprochement des données sur la base des pièces justificatives</w:t>
                            </w:r>
                          </w:p>
                        </w:txbxContent>
                      </v:textbox>
                    </v:shape>
                  </w:pict>
                </mc:Fallback>
              </mc:AlternateContent>
            </w:r>
          </w:p>
        </w:tc>
        <w:tc>
          <w:tcPr>
            <w:tcW w:w="1178" w:type="dxa"/>
            <w:tcBorders>
              <w:top w:val="nil"/>
              <w:left w:val="single" w:sz="4" w:space="0" w:color="BFBFBF"/>
              <w:bottom w:val="nil"/>
              <w:right w:val="single" w:sz="4" w:space="0" w:color="BFBFBF"/>
            </w:tcBorders>
            <w:shd w:val="clear" w:color="auto" w:fill="FFFFFF"/>
            <w:tcMar>
              <w:top w:w="72" w:type="dxa"/>
              <w:left w:w="144" w:type="dxa"/>
              <w:bottom w:w="72" w:type="dxa"/>
              <w:right w:w="144" w:type="dxa"/>
            </w:tcMar>
            <w:hideMark/>
          </w:tcPr>
          <w:p w14:paraId="27017E6B" w14:textId="2393A4BD" w:rsidR="005F1AF2" w:rsidRPr="005F1AF2" w:rsidRDefault="005401AB" w:rsidP="005F1AF2">
            <w:pPr>
              <w:spacing w:before="240" w:after="160" w:line="259" w:lineRule="auto"/>
              <w:ind w:left="357"/>
              <w:jc w:val="both"/>
              <w:rPr>
                <w:rFonts w:ascii="Tw Cen MT" w:hAnsi="Tw Cen MT"/>
                <w:bCs/>
                <w:iCs/>
                <w:sz w:val="24"/>
                <w:szCs w:val="24"/>
              </w:rPr>
            </w:pPr>
            <w:r w:rsidRPr="005401AB">
              <w:rPr>
                <w:rFonts w:ascii="Tw Cen MT" w:hAnsi="Tw Cen MT"/>
                <w:bCs/>
                <w:iCs/>
                <w:noProof/>
                <w:sz w:val="24"/>
                <w:szCs w:val="24"/>
                <w:lang w:eastAsia="fr-FR"/>
              </w:rPr>
              <mc:AlternateContent>
                <mc:Choice Requires="wps">
                  <w:drawing>
                    <wp:anchor distT="0" distB="0" distL="114300" distR="114300" simplePos="0" relativeHeight="251685888" behindDoc="0" locked="0" layoutInCell="1" allowOverlap="1" wp14:anchorId="155D8F26" wp14:editId="68104EE1">
                      <wp:simplePos x="0" y="0"/>
                      <wp:positionH relativeFrom="column">
                        <wp:posOffset>-1153795</wp:posOffset>
                      </wp:positionH>
                      <wp:positionV relativeFrom="paragraph">
                        <wp:posOffset>274955</wp:posOffset>
                      </wp:positionV>
                      <wp:extent cx="1558333" cy="461665"/>
                      <wp:effectExtent l="0" t="0" r="0" b="0"/>
                      <wp:wrapNone/>
                      <wp:docPr id="80" name="ZoneTexte 7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EF5BDD-5452-4D76-9DCF-998EC92328B8}"/>
                          </a:ext>
                        </a:extLst>
                      </wp:docPr>
                      <wp:cNvGraphicFramePr/>
                      <a:graphic xmlns:a="http://schemas.openxmlformats.org/drawingml/2006/main">
                        <a:graphicData uri="http://schemas.microsoft.com/office/word/2010/wordprocessingShape">
                          <wps:wsp>
                            <wps:cNvSpPr txBox="1"/>
                            <wps:spPr>
                              <a:xfrm>
                                <a:off x="0" y="0"/>
                                <a:ext cx="1558333" cy="461665"/>
                              </a:xfrm>
                              <a:prstGeom prst="rect">
                                <a:avLst/>
                              </a:prstGeom>
                              <a:noFill/>
                            </wps:spPr>
                            <wps:txbx>
                              <w:txbxContent>
                                <w:p w14:paraId="51214771" w14:textId="77777777" w:rsidR="005401AB" w:rsidRDefault="005401AB" w:rsidP="005401AB">
                                  <w:pPr>
                                    <w:spacing w:before="60"/>
                                    <w:jc w:val="center"/>
                                    <w:rPr>
                                      <w:rFonts w:asciiTheme="minorHAnsi" w:hAnsi="Calibri" w:cstheme="minorBidi"/>
                                      <w:b/>
                                      <w:bCs/>
                                      <w:color w:val="222A35" w:themeColor="text2" w:themeShade="80"/>
                                      <w:kern w:val="24"/>
                                      <w:sz w:val="16"/>
                                      <w:szCs w:val="16"/>
                                      <w:lang w:val="fr-SN"/>
                                    </w:rPr>
                                  </w:pPr>
                                  <w:r>
                                    <w:rPr>
                                      <w:rFonts w:asciiTheme="minorHAnsi" w:hAnsi="Calibri" w:cstheme="minorBidi"/>
                                      <w:b/>
                                      <w:bCs/>
                                      <w:color w:val="222A35" w:themeColor="text2" w:themeShade="80"/>
                                      <w:kern w:val="24"/>
                                      <w:sz w:val="16"/>
                                      <w:szCs w:val="16"/>
                                      <w:lang w:val="fr-SN"/>
                                    </w:rPr>
                                    <w:t>Validation des résultats du rapprochement et justification des écarts</w:t>
                                  </w:r>
                                </w:p>
                              </w:txbxContent>
                            </wps:txbx>
                            <wps:bodyPr wrap="square" rtlCol="0" anchor="ctr">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5D8F26" id="ZoneTexte 79" o:spid="_x0000_s1033" type="#_x0000_t202" style="position:absolute;left:0;text-align:left;margin-left:-90.85pt;margin-top:21.65pt;width:122.7pt;height:36.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" filled="f" stroked="f">
                      <v:textbox style="mso-fit-shape-to-text:t">
                        <w:txbxContent>
                          <w:p w14:paraId="51214771" w14:textId="77777777" w:rsidR="005401AB" w:rsidRDefault="005401AB" w:rsidP="005401AB">
                            <w:pPr>
                              <w:spacing w:before="60"/>
                              <w:jc w:val="center"/>
                              <w:rPr>
                                <w:rFonts w:asciiTheme="minorHAnsi" w:hAnsi="Calibri" w:cstheme="minorBidi"/>
                                <w:b/>
                                <w:bCs/>
                                <w:color w:val="222A35" w:themeColor="text2" w:themeShade="80"/>
                                <w:kern w:val="24"/>
                                <w:sz w:val="16"/>
                                <w:szCs w:val="16"/>
                                <w:lang w:val="fr-SN"/>
                              </w:rPr>
                            </w:pPr>
                            <w:r>
                              <w:rPr>
                                <w:rFonts w:asciiTheme="minorHAnsi" w:hAnsi="Calibri" w:cstheme="minorBidi"/>
                                <w:b/>
                                <w:bCs/>
                                <w:color w:val="222A35" w:themeColor="text2" w:themeShade="80"/>
                                <w:kern w:val="24"/>
                                <w:sz w:val="16"/>
                                <w:szCs w:val="16"/>
                                <w:lang w:val="fr-SN"/>
                              </w:rPr>
                              <w:t>Validation des résultats du rapprochement et justification des écarts</w:t>
                            </w:r>
                          </w:p>
                        </w:txbxContent>
                      </v:textbox>
                    </v:shape>
                  </w:pict>
                </mc:Fallback>
              </mc:AlternateContent>
            </w:r>
          </w:p>
        </w:tc>
        <w:tc>
          <w:tcPr>
            <w:tcW w:w="1178" w:type="dxa"/>
            <w:tcBorders>
              <w:top w:val="nil"/>
              <w:left w:val="single" w:sz="4" w:space="0" w:color="BFBFBF"/>
              <w:bottom w:val="nil"/>
              <w:right w:val="single" w:sz="4" w:space="0" w:color="BFBFBF"/>
            </w:tcBorders>
            <w:shd w:val="clear" w:color="auto" w:fill="FFFFFF"/>
            <w:tcMar>
              <w:top w:w="72" w:type="dxa"/>
              <w:left w:w="144" w:type="dxa"/>
              <w:bottom w:w="72" w:type="dxa"/>
              <w:right w:w="144" w:type="dxa"/>
            </w:tcMar>
            <w:hideMark/>
          </w:tcPr>
          <w:p w14:paraId="7F5B91EE" w14:textId="362A8B84" w:rsidR="005F1AF2" w:rsidRPr="005F1AF2" w:rsidRDefault="005401AB" w:rsidP="005F1AF2">
            <w:pPr>
              <w:spacing w:before="240" w:after="160" w:line="259" w:lineRule="auto"/>
              <w:ind w:left="357"/>
              <w:jc w:val="both"/>
              <w:rPr>
                <w:rFonts w:ascii="Tw Cen MT" w:hAnsi="Tw Cen MT"/>
                <w:bCs/>
                <w:iCs/>
                <w:sz w:val="24"/>
                <w:szCs w:val="24"/>
              </w:rPr>
            </w:pPr>
            <w:r w:rsidRPr="005401AB">
              <w:rPr>
                <w:rFonts w:ascii="Tw Cen MT" w:hAnsi="Tw Cen MT"/>
                <w:b/>
                <w:iCs/>
                <w:noProof/>
                <w:sz w:val="24"/>
                <w:szCs w:val="24"/>
                <w:lang w:eastAsia="fr-FR"/>
              </w:rPr>
              <mc:AlternateContent>
                <mc:Choice Requires="wps">
                  <w:drawing>
                    <wp:anchor distT="0" distB="0" distL="114300" distR="114300" simplePos="0" relativeHeight="251710464" behindDoc="0" locked="0" layoutInCell="1" allowOverlap="1" wp14:anchorId="291407F9" wp14:editId="10D9CCDA">
                      <wp:simplePos x="0" y="0"/>
                      <wp:positionH relativeFrom="column">
                        <wp:posOffset>-1456690</wp:posOffset>
                      </wp:positionH>
                      <wp:positionV relativeFrom="paragraph">
                        <wp:posOffset>3295015</wp:posOffset>
                      </wp:positionV>
                      <wp:extent cx="132715" cy="125730"/>
                      <wp:effectExtent l="0" t="0" r="635" b="7620"/>
                      <wp:wrapNone/>
                      <wp:docPr id="16" name="Triangle isocèle 29"/>
                      <wp:cNvGraphicFramePr/>
                      <a:graphic xmlns:a="http://schemas.openxmlformats.org/drawingml/2006/main">
                        <a:graphicData uri="http://schemas.microsoft.com/office/word/2010/wordprocessingShape">
                          <wps:wsp>
                            <wps:cNvSpPr/>
                            <wps:spPr>
                              <a:xfrm>
                                <a:off x="0" y="0"/>
                                <a:ext cx="132715" cy="125730"/>
                              </a:xfrm>
                              <a:prstGeom prst="triangl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E4C102" id="Triangle isocèle 29" o:spid="_x0000_s1026" type="#_x0000_t5" style="position:absolute;margin-left:-114.7pt;margin-top:259.45pt;width:10.45pt;height:9.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" fillcolor="red" stroked="f" strokeweight="1pt"/>
                  </w:pict>
                </mc:Fallback>
              </mc:AlternateContent>
            </w:r>
            <w:r w:rsidRPr="005401AB">
              <w:rPr>
                <w:rFonts w:ascii="Tw Cen MT" w:hAnsi="Tw Cen MT"/>
                <w:b/>
                <w:iCs/>
                <w:noProof/>
                <w:sz w:val="24"/>
                <w:szCs w:val="24"/>
                <w:lang w:eastAsia="fr-FR"/>
              </w:rPr>
              <mc:AlternateContent>
                <mc:Choice Requires="wps">
                  <w:drawing>
                    <wp:anchor distT="0" distB="0" distL="114300" distR="114300" simplePos="0" relativeHeight="251711488" behindDoc="0" locked="0" layoutInCell="1" allowOverlap="1" wp14:anchorId="2C47B1C6" wp14:editId="343DEA60">
                      <wp:simplePos x="0" y="0"/>
                      <wp:positionH relativeFrom="column">
                        <wp:posOffset>-1250315</wp:posOffset>
                      </wp:positionH>
                      <wp:positionV relativeFrom="paragraph">
                        <wp:posOffset>3241040</wp:posOffset>
                      </wp:positionV>
                      <wp:extent cx="2790825" cy="297180"/>
                      <wp:effectExtent l="0" t="0" r="0" b="0"/>
                      <wp:wrapNone/>
                      <wp:docPr id="17" name="ZoneTexte 90"/>
                      <wp:cNvGraphicFramePr/>
                      <a:graphic xmlns:a="http://schemas.openxmlformats.org/drawingml/2006/main">
                        <a:graphicData uri="http://schemas.microsoft.com/office/word/2010/wordprocessingShape">
                          <wps:wsp>
                            <wps:cNvSpPr txBox="1"/>
                            <wps:spPr>
                              <a:xfrm>
                                <a:off x="0" y="0"/>
                                <a:ext cx="2790825" cy="297180"/>
                              </a:xfrm>
                              <a:prstGeom prst="rect">
                                <a:avLst/>
                              </a:prstGeom>
                              <a:noFill/>
                            </wps:spPr>
                            <wps:txbx>
                              <w:txbxContent>
                                <w:p w14:paraId="52667386" w14:textId="7E8B12A9" w:rsidR="005401AB" w:rsidRDefault="005401AB" w:rsidP="005401AB">
                                  <w:pPr>
                                    <w:spacing w:after="120"/>
                                    <w:rPr>
                                      <w:rFonts w:asciiTheme="minorHAnsi" w:hAnsi="Calibri" w:cstheme="minorBidi"/>
                                      <w:b/>
                                      <w:bCs/>
                                      <w:color w:val="222A35" w:themeColor="text2" w:themeShade="80"/>
                                      <w:kern w:val="24"/>
                                      <w:sz w:val="14"/>
                                      <w:szCs w:val="14"/>
                                    </w:rPr>
                                  </w:pPr>
                                  <w:r>
                                    <w:rPr>
                                      <w:rFonts w:asciiTheme="minorHAnsi" w:hAnsi="Calibri" w:cstheme="minorBidi"/>
                                      <w:b/>
                                      <w:bCs/>
                                      <w:color w:val="222A35" w:themeColor="text2" w:themeShade="80"/>
                                      <w:kern w:val="24"/>
                                      <w:sz w:val="14"/>
                                      <w:szCs w:val="14"/>
                                    </w:rPr>
                                    <w:t>Communication de la version définitive du rapport</w:t>
                                  </w:r>
                                </w:p>
                              </w:txbxContent>
                            </wps:txbx>
                            <wps:bodyPr wrap="square" lIns="54610" tIns="54610" rIns="54610" bIns="5461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47B1C6" id="_x0000_s1034" type="#_x0000_t202" style="position:absolute;left:0;text-align:left;margin-left:-98.45pt;margin-top:255.2pt;width:219.75pt;height:23.4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" filled="f" stroked="f">
                      <v:textbox inset="4.3pt,4.3pt,4.3pt,4.3pt">
                        <w:txbxContent>
                          <w:p w14:paraId="52667386" w14:textId="7E8B12A9" w:rsidR="005401AB" w:rsidRDefault="005401AB" w:rsidP="005401AB">
                            <w:pPr>
                              <w:spacing w:after="120"/>
                              <w:rPr>
                                <w:rFonts w:asciiTheme="minorHAnsi" w:hAnsi="Calibri" w:cstheme="minorBidi"/>
                                <w:b/>
                                <w:bCs/>
                                <w:color w:val="222A35" w:themeColor="text2" w:themeShade="80"/>
                                <w:kern w:val="24"/>
                                <w:sz w:val="14"/>
                                <w:szCs w:val="14"/>
                              </w:rPr>
                            </w:pPr>
                            <w:r>
                              <w:rPr>
                                <w:rFonts w:asciiTheme="minorHAnsi" w:hAnsi="Calibri" w:cstheme="minorBidi"/>
                                <w:b/>
                                <w:bCs/>
                                <w:color w:val="222A35" w:themeColor="text2" w:themeShade="80"/>
                                <w:kern w:val="24"/>
                                <w:sz w:val="14"/>
                                <w:szCs w:val="14"/>
                              </w:rPr>
                              <w:t>Communication de la version définitive du rapport</w:t>
                            </w:r>
                          </w:p>
                        </w:txbxContent>
                      </v:textbox>
                    </v:shape>
                  </w:pict>
                </mc:Fallback>
              </mc:AlternateContent>
            </w:r>
            <w:r w:rsidRPr="005401AB">
              <w:rPr>
                <w:rFonts w:ascii="Tw Cen MT" w:hAnsi="Tw Cen MT"/>
                <w:bCs/>
                <w:iCs/>
                <w:noProof/>
                <w:sz w:val="24"/>
                <w:szCs w:val="24"/>
                <w:lang w:eastAsia="fr-FR"/>
              </w:rPr>
              <mc:AlternateContent>
                <mc:Choice Requires="wps">
                  <w:drawing>
                    <wp:anchor distT="0" distB="0" distL="114300" distR="114300" simplePos="0" relativeHeight="251689984" behindDoc="0" locked="0" layoutInCell="1" allowOverlap="1" wp14:anchorId="0B465B38" wp14:editId="3658D1B5">
                      <wp:simplePos x="0" y="0"/>
                      <wp:positionH relativeFrom="column">
                        <wp:posOffset>-400685</wp:posOffset>
                      </wp:positionH>
                      <wp:positionV relativeFrom="paragraph">
                        <wp:posOffset>1503680</wp:posOffset>
                      </wp:positionV>
                      <wp:extent cx="1442686" cy="263725"/>
                      <wp:effectExtent l="0" t="0" r="5715" b="3175"/>
                      <wp:wrapNone/>
                      <wp:docPr id="81" name="Pentagone 10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979EEAC-FE5A-485E-A481-69597E1F3666}"/>
                          </a:ext>
                        </a:extLst>
                      </wp:docPr>
                      <wp:cNvGraphicFramePr/>
                      <a:graphic xmlns:a="http://schemas.openxmlformats.org/drawingml/2006/main">
                        <a:graphicData uri="http://schemas.microsoft.com/office/word/2010/wordprocessingShape">
                          <wps:wsp>
                            <wps:cNvSpPr/>
                            <wps:spPr>
                              <a:xfrm>
                                <a:off x="0" y="0"/>
                                <a:ext cx="1442686" cy="263725"/>
                              </a:xfrm>
                              <a:prstGeom prst="homePlate">
                                <a:avLst/>
                              </a:prstGeom>
                              <a:solidFill>
                                <a:srgbClr val="108BB8"/>
                              </a:solidFill>
                              <a:ln w="25400" cap="flat" cmpd="sng" algn="ctr">
                                <a:noFill/>
                                <a:prstDash val="solid"/>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9EE0D" id="Pentagone 101" o:spid="_x0000_s1026" type="#_x0000_t15" style="position:absolute;margin-left:-31.55pt;margin-top:118.4pt;width:113.6pt;height:20.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" adj="19626" fillcolor="#108bb8" stroked="f" strokeweight="2pt"/>
                  </w:pict>
                </mc:Fallback>
              </mc:AlternateContent>
            </w:r>
          </w:p>
        </w:tc>
        <w:tc>
          <w:tcPr>
            <w:tcW w:w="1178" w:type="dxa"/>
            <w:tcBorders>
              <w:top w:val="nil"/>
              <w:left w:val="single" w:sz="4" w:space="0" w:color="BFBFBF"/>
              <w:bottom w:val="nil"/>
              <w:right w:val="single" w:sz="4" w:space="0" w:color="BFBFBF"/>
            </w:tcBorders>
            <w:shd w:val="clear" w:color="auto" w:fill="FFFFFF"/>
            <w:tcMar>
              <w:top w:w="72" w:type="dxa"/>
              <w:left w:w="144" w:type="dxa"/>
              <w:bottom w:w="72" w:type="dxa"/>
              <w:right w:w="144" w:type="dxa"/>
            </w:tcMar>
            <w:hideMark/>
          </w:tcPr>
          <w:p w14:paraId="76FA471A" w14:textId="272EC555" w:rsidR="005F1AF2" w:rsidRPr="005F1AF2" w:rsidRDefault="005401AB" w:rsidP="005F1AF2">
            <w:pPr>
              <w:spacing w:before="240" w:after="160" w:line="259" w:lineRule="auto"/>
              <w:ind w:left="357"/>
              <w:jc w:val="both"/>
              <w:rPr>
                <w:rFonts w:ascii="Tw Cen MT" w:hAnsi="Tw Cen MT"/>
                <w:bCs/>
                <w:iCs/>
                <w:sz w:val="24"/>
                <w:szCs w:val="24"/>
              </w:rPr>
            </w:pPr>
            <w:r w:rsidRPr="005401AB">
              <w:rPr>
                <w:rFonts w:ascii="Tw Cen MT" w:hAnsi="Tw Cen MT"/>
                <w:bCs/>
                <w:iCs/>
                <w:noProof/>
                <w:sz w:val="24"/>
                <w:szCs w:val="24"/>
                <w:lang w:eastAsia="fr-FR"/>
              </w:rPr>
              <mc:AlternateContent>
                <mc:Choice Requires="wps">
                  <w:drawing>
                    <wp:anchor distT="0" distB="0" distL="114300" distR="114300" simplePos="0" relativeHeight="251698176" behindDoc="0" locked="0" layoutInCell="1" allowOverlap="1" wp14:anchorId="5C5A16F3" wp14:editId="0871E1CD">
                      <wp:simplePos x="0" y="0"/>
                      <wp:positionH relativeFrom="column">
                        <wp:posOffset>164465</wp:posOffset>
                      </wp:positionH>
                      <wp:positionV relativeFrom="paragraph">
                        <wp:posOffset>1798955</wp:posOffset>
                      </wp:positionV>
                      <wp:extent cx="133156" cy="126141"/>
                      <wp:effectExtent l="0" t="0" r="635" b="7620"/>
                      <wp:wrapNone/>
                      <wp:docPr id="84" name="Triangle isocèle 8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678040C-3405-422C-978B-BC508254170F}"/>
                          </a:ext>
                        </a:extLst>
                      </wp:docPr>
                      <wp:cNvGraphicFramePr/>
                      <a:graphic xmlns:a="http://schemas.openxmlformats.org/drawingml/2006/main">
                        <a:graphicData uri="http://schemas.microsoft.com/office/word/2010/wordprocessingShape">
                          <wps:wsp>
                            <wps:cNvSpPr/>
                            <wps:spPr>
                              <a:xfrm>
                                <a:off x="0" y="0"/>
                                <a:ext cx="133156" cy="126141"/>
                              </a:xfrm>
                              <a:prstGeom prst="triangl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EDC54" id="Triangle isocèle 83" o:spid="_x0000_s1026" type="#_x0000_t5" style="position:absolute;margin-left:12.95pt;margin-top:141.65pt;width:10.5pt;height:9.9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" fillcolor="yellow" stroked="f" strokeweight="1pt"/>
                  </w:pict>
                </mc:Fallback>
              </mc:AlternateContent>
            </w:r>
            <w:r w:rsidRPr="005401AB">
              <w:rPr>
                <w:rFonts w:ascii="Tw Cen MT" w:hAnsi="Tw Cen MT"/>
                <w:bCs/>
                <w:iCs/>
                <w:noProof/>
                <w:sz w:val="24"/>
                <w:szCs w:val="24"/>
                <w:lang w:eastAsia="fr-FR"/>
              </w:rPr>
              <mc:AlternateContent>
                <mc:Choice Requires="wps">
                  <w:drawing>
                    <wp:anchor distT="0" distB="0" distL="114300" distR="114300" simplePos="0" relativeHeight="251687936" behindDoc="0" locked="0" layoutInCell="1" allowOverlap="1" wp14:anchorId="44472876" wp14:editId="13F02F2C">
                      <wp:simplePos x="0" y="0"/>
                      <wp:positionH relativeFrom="column">
                        <wp:posOffset>-1021080</wp:posOffset>
                      </wp:positionH>
                      <wp:positionV relativeFrom="paragraph">
                        <wp:posOffset>979805</wp:posOffset>
                      </wp:positionV>
                      <wp:extent cx="1558333" cy="461665"/>
                      <wp:effectExtent l="0" t="0" r="0" b="0"/>
                      <wp:wrapNone/>
                      <wp:docPr id="82" name="ZoneTexte 8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AB07725-51E8-4606-829E-6285C6A64974}"/>
                          </a:ext>
                        </a:extLst>
                      </wp:docPr>
                      <wp:cNvGraphicFramePr/>
                      <a:graphic xmlns:a="http://schemas.openxmlformats.org/drawingml/2006/main">
                        <a:graphicData uri="http://schemas.microsoft.com/office/word/2010/wordprocessingShape">
                          <wps:wsp>
                            <wps:cNvSpPr txBox="1"/>
                            <wps:spPr>
                              <a:xfrm>
                                <a:off x="0" y="0"/>
                                <a:ext cx="1558333" cy="461665"/>
                              </a:xfrm>
                              <a:prstGeom prst="rect">
                                <a:avLst/>
                              </a:prstGeom>
                              <a:noFill/>
                            </wps:spPr>
                            <wps:txbx>
                              <w:txbxContent>
                                <w:p w14:paraId="20366A65" w14:textId="77777777" w:rsidR="005401AB" w:rsidRDefault="005401AB" w:rsidP="005401AB">
                                  <w:pPr>
                                    <w:spacing w:before="60"/>
                                    <w:jc w:val="center"/>
                                    <w:rPr>
                                      <w:rFonts w:asciiTheme="minorHAnsi" w:hAnsi="Calibri" w:cstheme="minorBidi"/>
                                      <w:b/>
                                      <w:bCs/>
                                      <w:color w:val="222A35" w:themeColor="text2" w:themeShade="80"/>
                                      <w:kern w:val="24"/>
                                      <w:sz w:val="16"/>
                                      <w:szCs w:val="16"/>
                                      <w:lang w:val="fr-SN"/>
                                    </w:rPr>
                                  </w:pPr>
                                  <w:r>
                                    <w:rPr>
                                      <w:rFonts w:asciiTheme="minorHAnsi" w:hAnsi="Calibri" w:cstheme="minorBidi"/>
                                      <w:b/>
                                      <w:bCs/>
                                      <w:color w:val="222A35" w:themeColor="text2" w:themeShade="80"/>
                                      <w:kern w:val="24"/>
                                      <w:sz w:val="16"/>
                                      <w:szCs w:val="16"/>
                                      <w:lang w:val="fr-SN"/>
                                    </w:rPr>
                                    <w:t>Rédaction du rapport et communication du rapport provisoire</w:t>
                                  </w:r>
                                </w:p>
                              </w:txbxContent>
                            </wps:txbx>
                            <wps:bodyPr wrap="square" rtlCol="0" anchor="ctr">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472876" id="ZoneTexte 81" o:spid="_x0000_s1035" type="#_x0000_t202" style="position:absolute;left:0;text-align:left;margin-left:-80.4pt;margin-top:77.15pt;width:122.7pt;height:36.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" filled="f" stroked="f">
                      <v:textbox style="mso-fit-shape-to-text:t">
                        <w:txbxContent>
                          <w:p w14:paraId="20366A65" w14:textId="77777777" w:rsidR="005401AB" w:rsidRDefault="005401AB" w:rsidP="005401AB">
                            <w:pPr>
                              <w:spacing w:before="60"/>
                              <w:jc w:val="center"/>
                              <w:rPr>
                                <w:rFonts w:asciiTheme="minorHAnsi" w:hAnsi="Calibri" w:cstheme="minorBidi"/>
                                <w:b/>
                                <w:bCs/>
                                <w:color w:val="222A35" w:themeColor="text2" w:themeShade="80"/>
                                <w:kern w:val="24"/>
                                <w:sz w:val="16"/>
                                <w:szCs w:val="16"/>
                                <w:lang w:val="fr-SN"/>
                              </w:rPr>
                            </w:pPr>
                            <w:r>
                              <w:rPr>
                                <w:rFonts w:asciiTheme="minorHAnsi" w:hAnsi="Calibri" w:cstheme="minorBidi"/>
                                <w:b/>
                                <w:bCs/>
                                <w:color w:val="222A35" w:themeColor="text2" w:themeShade="80"/>
                                <w:kern w:val="24"/>
                                <w:sz w:val="16"/>
                                <w:szCs w:val="16"/>
                                <w:lang w:val="fr-SN"/>
                              </w:rPr>
                              <w:t>Rédaction du rapport et communication du rapport provisoire</w:t>
                            </w:r>
                          </w:p>
                        </w:txbxContent>
                      </v:textbox>
                    </v:shape>
                  </w:pict>
                </mc:Fallback>
              </mc:AlternateContent>
            </w:r>
          </w:p>
        </w:tc>
        <w:tc>
          <w:tcPr>
            <w:tcW w:w="1442" w:type="dxa"/>
            <w:tcBorders>
              <w:top w:val="nil"/>
              <w:left w:val="single" w:sz="4" w:space="0" w:color="BFBFBF"/>
              <w:bottom w:val="nil"/>
              <w:right w:val="single" w:sz="4" w:space="0" w:color="BFBFBF"/>
            </w:tcBorders>
            <w:shd w:val="clear" w:color="auto" w:fill="FFFFFF"/>
            <w:tcMar>
              <w:top w:w="72" w:type="dxa"/>
              <w:left w:w="144" w:type="dxa"/>
              <w:bottom w:w="72" w:type="dxa"/>
              <w:right w:w="144" w:type="dxa"/>
            </w:tcMar>
            <w:hideMark/>
          </w:tcPr>
          <w:p w14:paraId="7A86A328" w14:textId="4858B37A" w:rsidR="005F1AF2" w:rsidRPr="005F1AF2" w:rsidRDefault="005401AB" w:rsidP="005F1AF2">
            <w:pPr>
              <w:spacing w:before="240" w:after="160" w:line="259" w:lineRule="auto"/>
              <w:ind w:left="357"/>
              <w:jc w:val="both"/>
              <w:rPr>
                <w:rFonts w:ascii="Tw Cen MT" w:hAnsi="Tw Cen MT"/>
                <w:bCs/>
                <w:iCs/>
                <w:sz w:val="24"/>
                <w:szCs w:val="24"/>
              </w:rPr>
            </w:pPr>
            <w:r w:rsidRPr="005401AB">
              <w:rPr>
                <w:rFonts w:ascii="Tw Cen MT" w:hAnsi="Tw Cen MT"/>
                <w:bCs/>
                <w:iCs/>
                <w:noProof/>
                <w:sz w:val="24"/>
                <w:szCs w:val="24"/>
                <w:lang w:eastAsia="fr-FR"/>
              </w:rPr>
              <mc:AlternateContent>
                <mc:Choice Requires="wps">
                  <w:drawing>
                    <wp:anchor distT="0" distB="0" distL="114300" distR="114300" simplePos="0" relativeHeight="251692032" behindDoc="0" locked="0" layoutInCell="1" allowOverlap="1" wp14:anchorId="739209D6" wp14:editId="004E5938">
                      <wp:simplePos x="0" y="0"/>
                      <wp:positionH relativeFrom="column">
                        <wp:posOffset>-562610</wp:posOffset>
                      </wp:positionH>
                      <wp:positionV relativeFrom="paragraph">
                        <wp:posOffset>2186940</wp:posOffset>
                      </wp:positionV>
                      <wp:extent cx="1219200" cy="266700"/>
                      <wp:effectExtent l="0" t="0" r="0" b="0"/>
                      <wp:wrapNone/>
                      <wp:docPr id="87" name="Pentagone 10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E19E57B-4A8D-49E3-BF33-70A9146F1B5D}"/>
                          </a:ext>
                        </a:extLst>
                      </wp:docPr>
                      <wp:cNvGraphicFramePr/>
                      <a:graphic xmlns:a="http://schemas.openxmlformats.org/drawingml/2006/main">
                        <a:graphicData uri="http://schemas.microsoft.com/office/word/2010/wordprocessingShape">
                          <wps:wsp>
                            <wps:cNvSpPr/>
                            <wps:spPr>
                              <a:xfrm>
                                <a:off x="0" y="0"/>
                                <a:ext cx="1219200" cy="266700"/>
                              </a:xfrm>
                              <a:prstGeom prst="homePlate">
                                <a:avLst/>
                              </a:prstGeom>
                              <a:solidFill>
                                <a:srgbClr val="108BB8"/>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853827" id="Pentagone 101" o:spid="_x0000_s1026" type="#_x0000_t15" style="position:absolute;margin-left:-44.3pt;margin-top:172.2pt;width:96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" adj="19238" fillcolor="#108bb8" stroked="f" strokeweight="2pt"/>
                  </w:pict>
                </mc:Fallback>
              </mc:AlternateContent>
            </w:r>
            <w:r w:rsidRPr="005401AB">
              <w:rPr>
                <w:rFonts w:ascii="Tw Cen MT" w:hAnsi="Tw Cen MT"/>
                <w:bCs/>
                <w:iCs/>
                <w:noProof/>
                <w:sz w:val="24"/>
                <w:szCs w:val="24"/>
                <w:lang w:eastAsia="fr-FR"/>
              </w:rPr>
              <mc:AlternateContent>
                <mc:Choice Requires="wps">
                  <w:drawing>
                    <wp:anchor distT="0" distB="0" distL="114300" distR="114300" simplePos="0" relativeHeight="251694080" behindDoc="0" locked="0" layoutInCell="1" allowOverlap="1" wp14:anchorId="2D4D93E8" wp14:editId="58C16F97">
                      <wp:simplePos x="0" y="0"/>
                      <wp:positionH relativeFrom="column">
                        <wp:posOffset>-626110</wp:posOffset>
                      </wp:positionH>
                      <wp:positionV relativeFrom="paragraph">
                        <wp:posOffset>1675130</wp:posOffset>
                      </wp:positionV>
                      <wp:extent cx="1558333" cy="461665"/>
                      <wp:effectExtent l="0" t="0" r="0" b="0"/>
                      <wp:wrapNone/>
                      <wp:docPr id="88" name="ZoneTexte 8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0AEEB4-478A-4928-AF8F-4AE5415F5385}"/>
                          </a:ext>
                        </a:extLst>
                      </wp:docPr>
                      <wp:cNvGraphicFramePr/>
                      <a:graphic xmlns:a="http://schemas.openxmlformats.org/drawingml/2006/main">
                        <a:graphicData uri="http://schemas.microsoft.com/office/word/2010/wordprocessingShape">
                          <wps:wsp>
                            <wps:cNvSpPr txBox="1"/>
                            <wps:spPr>
                              <a:xfrm>
                                <a:off x="0" y="0"/>
                                <a:ext cx="1558333" cy="461665"/>
                              </a:xfrm>
                              <a:prstGeom prst="rect">
                                <a:avLst/>
                              </a:prstGeom>
                              <a:noFill/>
                            </wps:spPr>
                            <wps:txbx>
                              <w:txbxContent>
                                <w:p w14:paraId="06FDD336" w14:textId="77777777" w:rsidR="005401AB" w:rsidRDefault="005401AB" w:rsidP="005401AB">
                                  <w:pPr>
                                    <w:spacing w:before="60"/>
                                    <w:jc w:val="center"/>
                                    <w:rPr>
                                      <w:rFonts w:asciiTheme="minorHAnsi" w:hAnsi="Calibri" w:cstheme="minorBidi"/>
                                      <w:b/>
                                      <w:bCs/>
                                      <w:color w:val="222A35" w:themeColor="text2" w:themeShade="80"/>
                                      <w:kern w:val="24"/>
                                      <w:sz w:val="16"/>
                                      <w:szCs w:val="16"/>
                                      <w:lang w:val="fr-SN"/>
                                    </w:rPr>
                                  </w:pPr>
                                  <w:r>
                                    <w:rPr>
                                      <w:rFonts w:asciiTheme="minorHAnsi" w:hAnsi="Calibri" w:cstheme="minorBidi"/>
                                      <w:b/>
                                      <w:bCs/>
                                      <w:color w:val="222A35" w:themeColor="text2" w:themeShade="80"/>
                                      <w:kern w:val="24"/>
                                      <w:sz w:val="16"/>
                                      <w:szCs w:val="16"/>
                                      <w:lang w:val="fr-SN"/>
                                    </w:rPr>
                                    <w:t>Prise en compte des observations de l’atelier de validation</w:t>
                                  </w:r>
                                </w:p>
                              </w:txbxContent>
                            </wps:txbx>
                            <wps:bodyPr wrap="square" rtlCol="0" anchor="ctr">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4D93E8" id="ZoneTexte 87" o:spid="_x0000_s1036" type="#_x0000_t202" style="position:absolute;left:0;text-align:left;margin-left:-49.3pt;margin-top:131.9pt;width:122.7pt;height:36.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" filled="f" stroked="f">
                      <v:textbox style="mso-fit-shape-to-text:t">
                        <w:txbxContent>
                          <w:p w14:paraId="06FDD336" w14:textId="77777777" w:rsidR="005401AB" w:rsidRDefault="005401AB" w:rsidP="005401AB">
                            <w:pPr>
                              <w:spacing w:before="60"/>
                              <w:jc w:val="center"/>
                              <w:rPr>
                                <w:rFonts w:asciiTheme="minorHAnsi" w:hAnsi="Calibri" w:cstheme="minorBidi"/>
                                <w:b/>
                                <w:bCs/>
                                <w:color w:val="222A35" w:themeColor="text2" w:themeShade="80"/>
                                <w:kern w:val="24"/>
                                <w:sz w:val="16"/>
                                <w:szCs w:val="16"/>
                                <w:lang w:val="fr-SN"/>
                              </w:rPr>
                            </w:pPr>
                            <w:r>
                              <w:rPr>
                                <w:rFonts w:asciiTheme="minorHAnsi" w:hAnsi="Calibri" w:cstheme="minorBidi"/>
                                <w:b/>
                                <w:bCs/>
                                <w:color w:val="222A35" w:themeColor="text2" w:themeShade="80"/>
                                <w:kern w:val="24"/>
                                <w:sz w:val="16"/>
                                <w:szCs w:val="16"/>
                                <w:lang w:val="fr-SN"/>
                              </w:rPr>
                              <w:t>Prise en compte des observations de l’atelier de validation</w:t>
                            </w:r>
                          </w:p>
                        </w:txbxContent>
                      </v:textbox>
                    </v:shape>
                  </w:pict>
                </mc:Fallback>
              </mc:AlternateContent>
            </w:r>
          </w:p>
        </w:tc>
      </w:tr>
    </w:tbl>
    <w:p w14:paraId="48689032" w14:textId="6C96CA8B" w:rsidR="00176E0A" w:rsidRDefault="005401AB" w:rsidP="003F215E">
      <w:pPr>
        <w:rPr>
          <w:rFonts w:ascii="Tw Cen MT" w:hAnsi="Tw Cen MT"/>
          <w:b/>
          <w:iCs/>
          <w:sz w:val="24"/>
          <w:szCs w:val="24"/>
        </w:rPr>
      </w:pPr>
      <w:r w:rsidRPr="005401AB">
        <w:rPr>
          <w:rFonts w:ascii="Tw Cen MT" w:hAnsi="Tw Cen MT"/>
          <w:b/>
          <w:iCs/>
          <w:noProof/>
          <w:sz w:val="24"/>
          <w:szCs w:val="24"/>
          <w:lang w:eastAsia="fr-FR"/>
        </w:rPr>
        <mc:AlternateContent>
          <mc:Choice Requires="wps">
            <w:drawing>
              <wp:anchor distT="0" distB="0" distL="114300" distR="114300" simplePos="0" relativeHeight="251707392" behindDoc="0" locked="0" layoutInCell="1" allowOverlap="1" wp14:anchorId="6DC8F515" wp14:editId="46A9EBC6">
                <wp:simplePos x="0" y="0"/>
                <wp:positionH relativeFrom="column">
                  <wp:posOffset>2314575</wp:posOffset>
                </wp:positionH>
                <wp:positionV relativeFrom="paragraph">
                  <wp:posOffset>31115</wp:posOffset>
                </wp:positionV>
                <wp:extent cx="132715" cy="125730"/>
                <wp:effectExtent l="0" t="0" r="635" b="7620"/>
                <wp:wrapNone/>
                <wp:docPr id="30" name="Triangle isocèle 2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6143EB-2C03-423F-8CEF-57A3509CE052}"/>
                    </a:ext>
                  </a:extLst>
                </wp:docPr>
                <wp:cNvGraphicFramePr/>
                <a:graphic xmlns:a="http://schemas.openxmlformats.org/drawingml/2006/main">
                  <a:graphicData uri="http://schemas.microsoft.com/office/word/2010/wordprocessingShape">
                    <wps:wsp>
                      <wps:cNvSpPr/>
                      <wps:spPr>
                        <a:xfrm>
                          <a:off x="0" y="0"/>
                          <a:ext cx="132715" cy="125730"/>
                        </a:xfrm>
                        <a:prstGeom prst="triangl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531CEF" id="Triangle isocèle 29" o:spid="_x0000_s1026" type="#_x0000_t5" style="position:absolute;margin-left:182.25pt;margin-top:2.45pt;width:10.45pt;height:9.9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" fillcolor="yellow" stroked="f" strokeweight="1pt"/>
            </w:pict>
          </mc:Fallback>
        </mc:AlternateContent>
      </w:r>
      <w:r w:rsidRPr="005401AB">
        <w:rPr>
          <w:rFonts w:ascii="Tw Cen MT" w:hAnsi="Tw Cen MT"/>
          <w:b/>
          <w:iCs/>
          <w:noProof/>
          <w:sz w:val="24"/>
          <w:szCs w:val="24"/>
          <w:lang w:eastAsia="fr-FR"/>
        </w:rPr>
        <mc:AlternateContent>
          <mc:Choice Requires="wps">
            <w:drawing>
              <wp:anchor distT="0" distB="0" distL="114300" distR="114300" simplePos="0" relativeHeight="251704320" behindDoc="0" locked="0" layoutInCell="1" allowOverlap="1" wp14:anchorId="7EF3BA3E" wp14:editId="7FC6DBC6">
                <wp:simplePos x="0" y="0"/>
                <wp:positionH relativeFrom="column">
                  <wp:posOffset>0</wp:posOffset>
                </wp:positionH>
                <wp:positionV relativeFrom="paragraph">
                  <wp:posOffset>50165</wp:posOffset>
                </wp:positionV>
                <wp:extent cx="133156" cy="126141"/>
                <wp:effectExtent l="0" t="0" r="635" b="7620"/>
                <wp:wrapNone/>
                <wp:docPr id="15" name="Triangle isocèle 84"/>
                <wp:cNvGraphicFramePr/>
                <a:graphic xmlns:a="http://schemas.openxmlformats.org/drawingml/2006/main">
                  <a:graphicData uri="http://schemas.microsoft.com/office/word/2010/wordprocessingShape">
                    <wps:wsp>
                      <wps:cNvSpPr/>
                      <wps:spPr>
                        <a:xfrm>
                          <a:off x="0" y="0"/>
                          <a:ext cx="133156" cy="126141"/>
                        </a:xfrm>
                        <a:prstGeom prst="triangle">
                          <a:avLst/>
                        </a:prstGeom>
                        <a:solidFill>
                          <a:srgbClr val="6D1F7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BCE3DC" id="Triangle isocèle 84" o:spid="_x0000_s1026" type="#_x0000_t5" style="position:absolute;margin-left:0;margin-top:3.95pt;width:10.5pt;height:9.9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" fillcolor="#6d1f77" stroked="f" strokeweight="1pt"/>
            </w:pict>
          </mc:Fallback>
        </mc:AlternateContent>
      </w:r>
      <w:r w:rsidRPr="005401AB">
        <w:rPr>
          <w:rFonts w:ascii="Tw Cen MT" w:hAnsi="Tw Cen MT"/>
          <w:b/>
          <w:iCs/>
          <w:noProof/>
          <w:sz w:val="24"/>
          <w:szCs w:val="24"/>
          <w:lang w:eastAsia="fr-FR"/>
        </w:rPr>
        <mc:AlternateContent>
          <mc:Choice Requires="wps">
            <w:drawing>
              <wp:anchor distT="0" distB="0" distL="114300" distR="114300" simplePos="0" relativeHeight="251705344" behindDoc="0" locked="0" layoutInCell="1" allowOverlap="1" wp14:anchorId="21D900C1" wp14:editId="0AEA3AC3">
                <wp:simplePos x="0" y="0"/>
                <wp:positionH relativeFrom="column">
                  <wp:posOffset>219075</wp:posOffset>
                </wp:positionH>
                <wp:positionV relativeFrom="paragraph">
                  <wp:posOffset>0</wp:posOffset>
                </wp:positionV>
                <wp:extent cx="2038680" cy="297606"/>
                <wp:effectExtent l="0" t="0" r="0" b="0"/>
                <wp:wrapNone/>
                <wp:docPr id="86" name="ZoneTexte 8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2BEAB1D-A8CC-4569-9F53-389633FF7011}"/>
                    </a:ext>
                  </a:extLst>
                </wp:docPr>
                <wp:cNvGraphicFramePr/>
                <a:graphic xmlns:a="http://schemas.openxmlformats.org/drawingml/2006/main">
                  <a:graphicData uri="http://schemas.microsoft.com/office/word/2010/wordprocessingShape">
                    <wps:wsp>
                      <wps:cNvSpPr txBox="1"/>
                      <wps:spPr>
                        <a:xfrm>
                          <a:off x="0" y="0"/>
                          <a:ext cx="2038680" cy="297606"/>
                        </a:xfrm>
                        <a:prstGeom prst="rect">
                          <a:avLst/>
                        </a:prstGeom>
                        <a:noFill/>
                      </wps:spPr>
                      <wps:txbx>
                        <w:txbxContent>
                          <w:p w14:paraId="45CFB212" w14:textId="77777777" w:rsidR="005401AB" w:rsidRDefault="005401AB" w:rsidP="005401AB">
                            <w:pPr>
                              <w:spacing w:after="120"/>
                              <w:rPr>
                                <w:rFonts w:asciiTheme="minorHAnsi" w:hAnsi="Calibri" w:cstheme="minorBidi"/>
                                <w:b/>
                                <w:bCs/>
                                <w:color w:val="222A35" w:themeColor="text2" w:themeShade="80"/>
                                <w:kern w:val="24"/>
                                <w:sz w:val="14"/>
                                <w:szCs w:val="14"/>
                              </w:rPr>
                            </w:pPr>
                            <w:r>
                              <w:rPr>
                                <w:rFonts w:asciiTheme="minorHAnsi" w:hAnsi="Calibri" w:cstheme="minorBidi"/>
                                <w:b/>
                                <w:bCs/>
                                <w:color w:val="222A35" w:themeColor="text2" w:themeShade="80"/>
                                <w:kern w:val="24"/>
                                <w:sz w:val="14"/>
                                <w:szCs w:val="14"/>
                              </w:rPr>
                              <w:t>Atelier de validation du rapport provisoire</w:t>
                            </w:r>
                          </w:p>
                        </w:txbxContent>
                      </wps:txbx>
                      <wps:bodyPr wrap="square" lIns="54610" tIns="54610" rIns="54610" bIns="5461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D900C1" id="ZoneTexte 85" o:spid="_x0000_s1037" type="#_x0000_t202" style="position:absolute;margin-left:17.25pt;margin-top:0;width:160.55pt;height:23.4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" filled="f" stroked="f">
                <v:textbox inset="4.3pt,4.3pt,4.3pt,4.3pt">
                  <w:txbxContent>
                    <w:p w14:paraId="45CFB212" w14:textId="77777777" w:rsidR="005401AB" w:rsidRDefault="005401AB" w:rsidP="005401AB">
                      <w:pPr>
                        <w:spacing w:after="120"/>
                        <w:rPr>
                          <w:rFonts w:asciiTheme="minorHAnsi" w:hAnsi="Calibri" w:cstheme="minorBidi"/>
                          <w:b/>
                          <w:bCs/>
                          <w:color w:val="222A35" w:themeColor="text2" w:themeShade="80"/>
                          <w:kern w:val="24"/>
                          <w:sz w:val="14"/>
                          <w:szCs w:val="14"/>
                        </w:rPr>
                      </w:pPr>
                      <w:r>
                        <w:rPr>
                          <w:rFonts w:asciiTheme="minorHAnsi" w:hAnsi="Calibri" w:cstheme="minorBidi"/>
                          <w:b/>
                          <w:bCs/>
                          <w:color w:val="222A35" w:themeColor="text2" w:themeShade="80"/>
                          <w:kern w:val="24"/>
                          <w:sz w:val="14"/>
                          <w:szCs w:val="14"/>
                        </w:rPr>
                        <w:t>Atelier de validation du rapport provisoire</w:t>
                      </w:r>
                    </w:p>
                  </w:txbxContent>
                </v:textbox>
              </v:shape>
            </w:pict>
          </mc:Fallback>
        </mc:AlternateContent>
      </w:r>
    </w:p>
    <w:p w14:paraId="1DD8C45F" w14:textId="77777777" w:rsidR="00227947" w:rsidRDefault="00227947">
      <w:pPr>
        <w:spacing w:after="160" w:line="259" w:lineRule="auto"/>
        <w:rPr>
          <w:rFonts w:ascii="Tw Cen MT" w:hAnsi="Tw Cen MT"/>
          <w:b/>
          <w:iCs/>
          <w:sz w:val="24"/>
          <w:szCs w:val="24"/>
        </w:rPr>
      </w:pPr>
      <w:r>
        <w:rPr>
          <w:rFonts w:ascii="Tw Cen MT" w:hAnsi="Tw Cen MT"/>
          <w:b/>
          <w:iCs/>
          <w:sz w:val="24"/>
          <w:szCs w:val="24"/>
        </w:rPr>
        <w:br w:type="page"/>
      </w:r>
    </w:p>
    <w:p w14:paraId="029C117F" w14:textId="77777777" w:rsidR="00AB0A2B" w:rsidRDefault="00AB0A2B" w:rsidP="00227947">
      <w:pPr>
        <w:pStyle w:val="Paragraphedeliste"/>
        <w:numPr>
          <w:ilvl w:val="0"/>
          <w:numId w:val="5"/>
        </w:numPr>
        <w:spacing w:before="240" w:after="240"/>
        <w:ind w:left="1077"/>
        <w:contextualSpacing w:val="0"/>
        <w:outlineLvl w:val="0"/>
        <w:rPr>
          <w:rFonts w:ascii="Tw Cen MT" w:hAnsi="Tw Cen MT"/>
          <w:b/>
          <w:iCs/>
          <w:sz w:val="26"/>
          <w:szCs w:val="26"/>
        </w:rPr>
        <w:sectPr w:rsidR="00AB0A2B" w:rsidSect="00AB0A2B">
          <w:pgSz w:w="16838" w:h="11906" w:orient="landscape" w:code="9"/>
          <w:pgMar w:top="1418" w:right="1418" w:bottom="1276" w:left="1276" w:header="709" w:footer="709" w:gutter="0"/>
          <w:cols w:space="708"/>
          <w:docGrid w:linePitch="360"/>
        </w:sectPr>
      </w:pPr>
    </w:p>
    <w:p w14:paraId="1FF22AE2" w14:textId="69B93E68" w:rsidR="00227947" w:rsidRPr="003F215E" w:rsidRDefault="00227947" w:rsidP="00227947">
      <w:pPr>
        <w:pStyle w:val="Paragraphedeliste"/>
        <w:numPr>
          <w:ilvl w:val="0"/>
          <w:numId w:val="5"/>
        </w:numPr>
        <w:spacing w:before="240" w:after="240"/>
        <w:ind w:left="1077"/>
        <w:contextualSpacing w:val="0"/>
        <w:outlineLvl w:val="0"/>
        <w:rPr>
          <w:rFonts w:ascii="Tw Cen MT" w:hAnsi="Tw Cen MT"/>
          <w:b/>
          <w:iCs/>
          <w:sz w:val="26"/>
          <w:szCs w:val="26"/>
        </w:rPr>
      </w:pPr>
      <w:bookmarkStart w:id="131" w:name="_Toc90999738"/>
      <w:r>
        <w:rPr>
          <w:rFonts w:ascii="Tw Cen MT" w:hAnsi="Tw Cen MT"/>
          <w:b/>
          <w:iCs/>
          <w:sz w:val="26"/>
          <w:szCs w:val="26"/>
        </w:rPr>
        <w:lastRenderedPageBreak/>
        <w:t>ANNEXES</w:t>
      </w:r>
      <w:bookmarkEnd w:id="131"/>
      <w:r>
        <w:rPr>
          <w:rFonts w:ascii="Tw Cen MT" w:hAnsi="Tw Cen MT"/>
          <w:b/>
          <w:iCs/>
          <w:sz w:val="26"/>
          <w:szCs w:val="26"/>
        </w:rPr>
        <w:t xml:space="preserve"> </w:t>
      </w:r>
    </w:p>
    <w:p w14:paraId="691299CE" w14:textId="383329D6" w:rsidR="0048041A" w:rsidRDefault="0048041A">
      <w:pPr>
        <w:spacing w:after="160" w:line="259" w:lineRule="auto"/>
        <w:rPr>
          <w:rFonts w:ascii="Tw Cen MT" w:hAnsi="Tw Cen MT"/>
          <w:b/>
          <w:iCs/>
          <w:sz w:val="24"/>
          <w:szCs w:val="24"/>
        </w:rPr>
      </w:pPr>
      <w:r>
        <w:rPr>
          <w:rFonts w:ascii="Tw Cen MT" w:hAnsi="Tw Cen MT"/>
          <w:b/>
          <w:iCs/>
          <w:sz w:val="24"/>
          <w:szCs w:val="24"/>
        </w:rPr>
        <w:br w:type="page"/>
      </w:r>
    </w:p>
    <w:p w14:paraId="5CA841D0" w14:textId="77777777" w:rsidR="00290187" w:rsidRPr="00290187" w:rsidRDefault="00290187" w:rsidP="00290187">
      <w:pPr>
        <w:spacing w:before="120" w:after="120"/>
        <w:rPr>
          <w:rFonts w:ascii="Tw Cen MT" w:hAnsi="Tw Cen MT"/>
          <w:b/>
          <w:iCs/>
          <w:sz w:val="24"/>
          <w:szCs w:val="24"/>
        </w:rPr>
      </w:pPr>
      <w:r>
        <w:rPr>
          <w:rFonts w:ascii="Tw Cen MT" w:hAnsi="Tw Cen MT"/>
          <w:b/>
          <w:iCs/>
          <w:sz w:val="24"/>
          <w:szCs w:val="24"/>
        </w:rPr>
        <w:lastRenderedPageBreak/>
        <w:t>ANNEXE 1 : LISTE DES SOCIÉTÉS EXTRACTIVES NON RETENUES DANS LE PÉRIMÈTRE DE CONCILIATION 2019</w:t>
      </w:r>
    </w:p>
    <w:tbl>
      <w:tblPr>
        <w:tblW w:w="9209" w:type="dxa"/>
        <w:tblCellMar>
          <w:left w:w="70" w:type="dxa"/>
          <w:right w:w="70" w:type="dxa"/>
        </w:tblCellMar>
        <w:tblLook w:val="04A0" w:firstRow="1" w:lastRow="0" w:firstColumn="1" w:lastColumn="0" w:noHBand="0" w:noVBand="1"/>
      </w:tblPr>
      <w:tblGrid>
        <w:gridCol w:w="940"/>
        <w:gridCol w:w="1480"/>
        <w:gridCol w:w="6789"/>
      </w:tblGrid>
      <w:tr w:rsidR="006138CB" w:rsidRPr="00AB0A2B" w14:paraId="6BB80839" w14:textId="77777777" w:rsidTr="00AB0A2B">
        <w:trPr>
          <w:trHeight w:val="300"/>
          <w:tblHeader/>
        </w:trPr>
        <w:tc>
          <w:tcPr>
            <w:tcW w:w="940"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243F9738" w14:textId="77777777" w:rsidR="00AB0A2B" w:rsidRPr="00AB0A2B" w:rsidRDefault="00AB0A2B" w:rsidP="00AB0A2B">
            <w:pPr>
              <w:jc w:val="center"/>
              <w:rPr>
                <w:rFonts w:ascii="Tw Cen MT" w:hAnsi="Tw Cen MT" w:cs="Calibri"/>
                <w:b/>
                <w:bCs/>
                <w:color w:val="FFFFFF" w:themeColor="background1"/>
                <w:lang w:eastAsia="fr-FR"/>
              </w:rPr>
            </w:pPr>
            <w:r w:rsidRPr="00AB0A2B">
              <w:rPr>
                <w:rFonts w:ascii="Tw Cen MT" w:hAnsi="Tw Cen MT" w:cs="Calibri"/>
                <w:b/>
                <w:bCs/>
                <w:color w:val="FFFFFF" w:themeColor="background1"/>
                <w:lang w:eastAsia="fr-FR"/>
              </w:rPr>
              <w:t>N° Ordre</w:t>
            </w:r>
          </w:p>
        </w:tc>
        <w:tc>
          <w:tcPr>
            <w:tcW w:w="1480" w:type="dxa"/>
            <w:tcBorders>
              <w:top w:val="single" w:sz="4" w:space="0" w:color="auto"/>
              <w:left w:val="nil"/>
              <w:bottom w:val="single" w:sz="4" w:space="0" w:color="auto"/>
              <w:right w:val="single" w:sz="4" w:space="0" w:color="auto"/>
            </w:tcBorders>
            <w:shd w:val="clear" w:color="000000" w:fill="00B0F0"/>
            <w:vAlign w:val="bottom"/>
            <w:hideMark/>
          </w:tcPr>
          <w:p w14:paraId="3698F3DF" w14:textId="77777777" w:rsidR="00AB0A2B" w:rsidRPr="00AB0A2B" w:rsidRDefault="00AB0A2B" w:rsidP="00AB0A2B">
            <w:pPr>
              <w:jc w:val="center"/>
              <w:rPr>
                <w:rFonts w:ascii="Tw Cen MT" w:hAnsi="Tw Cen MT" w:cs="Calibri"/>
                <w:b/>
                <w:bCs/>
                <w:color w:val="FFFFFF" w:themeColor="background1"/>
                <w:lang w:eastAsia="fr-FR"/>
              </w:rPr>
            </w:pPr>
            <w:r w:rsidRPr="00AB0A2B">
              <w:rPr>
                <w:rFonts w:ascii="Tw Cen MT" w:hAnsi="Tw Cen MT" w:cs="Calibri"/>
                <w:b/>
                <w:bCs/>
                <w:color w:val="FFFFFF" w:themeColor="background1"/>
                <w:lang w:eastAsia="fr-FR"/>
              </w:rPr>
              <w:t>NIF</w:t>
            </w:r>
          </w:p>
        </w:tc>
        <w:tc>
          <w:tcPr>
            <w:tcW w:w="6789" w:type="dxa"/>
            <w:tcBorders>
              <w:top w:val="single" w:sz="4" w:space="0" w:color="auto"/>
              <w:left w:val="nil"/>
              <w:bottom w:val="single" w:sz="4" w:space="0" w:color="auto"/>
              <w:right w:val="single" w:sz="4" w:space="0" w:color="auto"/>
            </w:tcBorders>
            <w:shd w:val="clear" w:color="000000" w:fill="00B0F0"/>
            <w:vAlign w:val="bottom"/>
            <w:hideMark/>
          </w:tcPr>
          <w:p w14:paraId="24D07227" w14:textId="66807F1D" w:rsidR="00AB0A2B" w:rsidRPr="00AB0A2B" w:rsidRDefault="00AB0A2B" w:rsidP="00AB0A2B">
            <w:pPr>
              <w:jc w:val="center"/>
              <w:rPr>
                <w:rFonts w:ascii="Tw Cen MT" w:hAnsi="Tw Cen MT" w:cs="Calibri"/>
                <w:b/>
                <w:bCs/>
                <w:color w:val="FFFFFF" w:themeColor="background1"/>
                <w:lang w:eastAsia="fr-FR"/>
              </w:rPr>
            </w:pPr>
            <w:r w:rsidRPr="006138CB">
              <w:rPr>
                <w:rFonts w:ascii="Tw Cen MT" w:hAnsi="Tw Cen MT" w:cs="Calibri"/>
                <w:b/>
                <w:bCs/>
                <w:color w:val="FFFFFF" w:themeColor="background1"/>
                <w:lang w:eastAsia="fr-FR"/>
              </w:rPr>
              <w:t>DÉSIGNATIONS</w:t>
            </w:r>
          </w:p>
        </w:tc>
      </w:tr>
      <w:tr w:rsidR="00AB0A2B" w:rsidRPr="00AB0A2B" w14:paraId="5CD6B4B2"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0E206C8B"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w:t>
            </w:r>
          </w:p>
        </w:tc>
        <w:tc>
          <w:tcPr>
            <w:tcW w:w="1480" w:type="dxa"/>
            <w:tcBorders>
              <w:top w:val="nil"/>
              <w:left w:val="nil"/>
              <w:bottom w:val="single" w:sz="4" w:space="0" w:color="auto"/>
              <w:right w:val="single" w:sz="4" w:space="0" w:color="auto"/>
            </w:tcBorders>
            <w:shd w:val="clear" w:color="auto" w:fill="auto"/>
            <w:vAlign w:val="bottom"/>
            <w:hideMark/>
          </w:tcPr>
          <w:p w14:paraId="0CF0D176"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024000216N</w:t>
            </w:r>
          </w:p>
        </w:tc>
        <w:tc>
          <w:tcPr>
            <w:tcW w:w="6789" w:type="dxa"/>
            <w:tcBorders>
              <w:top w:val="nil"/>
              <w:left w:val="nil"/>
              <w:bottom w:val="single" w:sz="4" w:space="0" w:color="auto"/>
              <w:right w:val="single" w:sz="4" w:space="0" w:color="auto"/>
            </w:tcBorders>
            <w:shd w:val="clear" w:color="auto" w:fill="auto"/>
            <w:noWrap/>
            <w:vAlign w:val="bottom"/>
            <w:hideMark/>
          </w:tcPr>
          <w:p w14:paraId="0DA061DB" w14:textId="1ABFEF45" w:rsidR="00AB0A2B" w:rsidRPr="00AB0A2B" w:rsidRDefault="00AB0A2B" w:rsidP="00AB0A2B">
            <w:pPr>
              <w:rPr>
                <w:rFonts w:ascii="Tw Cen MT" w:hAnsi="Tw Cen MT" w:cs="Calibri"/>
                <w:lang w:eastAsia="fr-FR"/>
              </w:rPr>
            </w:pPr>
            <w:r w:rsidRPr="00AB0A2B">
              <w:rPr>
                <w:rFonts w:ascii="Tw Cen MT" w:hAnsi="Tw Cen MT" w:cs="Calibri"/>
                <w:lang w:eastAsia="fr-FR"/>
              </w:rPr>
              <w:t>RAFFINERIE D'OR MARENA GOLD MALI SARL</w:t>
            </w:r>
          </w:p>
        </w:tc>
      </w:tr>
      <w:tr w:rsidR="00AB0A2B" w:rsidRPr="00AB0A2B" w14:paraId="5584975D"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33DEFBF6"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2</w:t>
            </w:r>
          </w:p>
        </w:tc>
        <w:tc>
          <w:tcPr>
            <w:tcW w:w="1480" w:type="dxa"/>
            <w:tcBorders>
              <w:top w:val="nil"/>
              <w:left w:val="nil"/>
              <w:bottom w:val="single" w:sz="4" w:space="0" w:color="auto"/>
              <w:right w:val="single" w:sz="4" w:space="0" w:color="auto"/>
            </w:tcBorders>
            <w:shd w:val="clear" w:color="auto" w:fill="auto"/>
            <w:vAlign w:val="bottom"/>
            <w:hideMark/>
          </w:tcPr>
          <w:p w14:paraId="0C74EA68"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025017795N</w:t>
            </w:r>
          </w:p>
        </w:tc>
        <w:tc>
          <w:tcPr>
            <w:tcW w:w="6789" w:type="dxa"/>
            <w:tcBorders>
              <w:top w:val="nil"/>
              <w:left w:val="nil"/>
              <w:bottom w:val="single" w:sz="4" w:space="0" w:color="auto"/>
              <w:right w:val="single" w:sz="4" w:space="0" w:color="auto"/>
            </w:tcBorders>
            <w:shd w:val="clear" w:color="auto" w:fill="auto"/>
            <w:noWrap/>
            <w:vAlign w:val="bottom"/>
            <w:hideMark/>
          </w:tcPr>
          <w:p w14:paraId="7C5149AE" w14:textId="643BA27E" w:rsidR="00AB0A2B" w:rsidRPr="00AB0A2B" w:rsidRDefault="00AB0A2B" w:rsidP="00AB0A2B">
            <w:pPr>
              <w:rPr>
                <w:rFonts w:ascii="Tw Cen MT" w:hAnsi="Tw Cen MT" w:cs="Calibri"/>
                <w:lang w:eastAsia="fr-FR"/>
              </w:rPr>
            </w:pPr>
            <w:r w:rsidRPr="00AB0A2B">
              <w:rPr>
                <w:rFonts w:ascii="Tw Cen MT" w:hAnsi="Tw Cen MT" w:cs="Calibri"/>
                <w:lang w:eastAsia="fr-FR"/>
              </w:rPr>
              <w:t>TOGUNA MINING CORPORATION</w:t>
            </w:r>
          </w:p>
        </w:tc>
      </w:tr>
      <w:tr w:rsidR="00AB0A2B" w:rsidRPr="00AB0A2B" w14:paraId="23A7EC47"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AAFAE10"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3</w:t>
            </w:r>
          </w:p>
        </w:tc>
        <w:tc>
          <w:tcPr>
            <w:tcW w:w="1480" w:type="dxa"/>
            <w:tcBorders>
              <w:top w:val="nil"/>
              <w:left w:val="nil"/>
              <w:bottom w:val="single" w:sz="4" w:space="0" w:color="auto"/>
              <w:right w:val="single" w:sz="4" w:space="0" w:color="auto"/>
            </w:tcBorders>
            <w:shd w:val="clear" w:color="auto" w:fill="auto"/>
            <w:vAlign w:val="bottom"/>
            <w:hideMark/>
          </w:tcPr>
          <w:p w14:paraId="20B58F81"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082215038B</w:t>
            </w:r>
          </w:p>
        </w:tc>
        <w:tc>
          <w:tcPr>
            <w:tcW w:w="6789" w:type="dxa"/>
            <w:tcBorders>
              <w:top w:val="nil"/>
              <w:left w:val="nil"/>
              <w:bottom w:val="single" w:sz="4" w:space="0" w:color="auto"/>
              <w:right w:val="single" w:sz="4" w:space="0" w:color="auto"/>
            </w:tcBorders>
            <w:shd w:val="clear" w:color="auto" w:fill="auto"/>
            <w:noWrap/>
            <w:vAlign w:val="bottom"/>
            <w:hideMark/>
          </w:tcPr>
          <w:p w14:paraId="704F0CB8" w14:textId="457FDB30" w:rsidR="00AB0A2B" w:rsidRPr="00AB0A2B" w:rsidRDefault="00AB0A2B" w:rsidP="00AB0A2B">
            <w:pPr>
              <w:rPr>
                <w:rFonts w:ascii="Tw Cen MT" w:hAnsi="Tw Cen MT" w:cs="Calibri"/>
                <w:lang w:eastAsia="fr-FR"/>
              </w:rPr>
            </w:pPr>
            <w:r w:rsidRPr="00AB0A2B">
              <w:rPr>
                <w:rFonts w:ascii="Tw Cen MT" w:hAnsi="Tw Cen MT" w:cs="Calibri"/>
                <w:lang w:eastAsia="fr-FR"/>
              </w:rPr>
              <w:t>CARACAL GOLD MALI</w:t>
            </w:r>
          </w:p>
        </w:tc>
      </w:tr>
      <w:tr w:rsidR="00AB0A2B" w:rsidRPr="00AB0A2B" w14:paraId="667B8B10"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7C2015F6"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4</w:t>
            </w:r>
          </w:p>
        </w:tc>
        <w:tc>
          <w:tcPr>
            <w:tcW w:w="1480" w:type="dxa"/>
            <w:tcBorders>
              <w:top w:val="nil"/>
              <w:left w:val="nil"/>
              <w:bottom w:val="single" w:sz="4" w:space="0" w:color="auto"/>
              <w:right w:val="single" w:sz="4" w:space="0" w:color="auto"/>
            </w:tcBorders>
            <w:shd w:val="clear" w:color="auto" w:fill="auto"/>
            <w:vAlign w:val="bottom"/>
            <w:hideMark/>
          </w:tcPr>
          <w:p w14:paraId="75F78B14"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082235217A</w:t>
            </w:r>
          </w:p>
        </w:tc>
        <w:tc>
          <w:tcPr>
            <w:tcW w:w="6789" w:type="dxa"/>
            <w:tcBorders>
              <w:top w:val="nil"/>
              <w:left w:val="nil"/>
              <w:bottom w:val="single" w:sz="4" w:space="0" w:color="auto"/>
              <w:right w:val="single" w:sz="4" w:space="0" w:color="auto"/>
            </w:tcBorders>
            <w:shd w:val="clear" w:color="auto" w:fill="auto"/>
            <w:noWrap/>
            <w:vAlign w:val="bottom"/>
            <w:hideMark/>
          </w:tcPr>
          <w:p w14:paraId="349F8344" w14:textId="4EF27146" w:rsidR="00AB0A2B" w:rsidRPr="00AB0A2B" w:rsidRDefault="00AB0A2B" w:rsidP="00AB0A2B">
            <w:pPr>
              <w:rPr>
                <w:rFonts w:ascii="Tw Cen MT" w:hAnsi="Tw Cen MT" w:cs="Calibri"/>
                <w:lang w:eastAsia="fr-FR"/>
              </w:rPr>
            </w:pPr>
            <w:r w:rsidRPr="00AB0A2B">
              <w:rPr>
                <w:rFonts w:ascii="Tw Cen MT" w:hAnsi="Tw Cen MT" w:cs="Calibri"/>
                <w:lang w:eastAsia="fr-FR"/>
              </w:rPr>
              <w:t>IAMGOLD MALI CORPORATION</w:t>
            </w:r>
          </w:p>
        </w:tc>
      </w:tr>
      <w:tr w:rsidR="00AB0A2B" w:rsidRPr="00AB0A2B" w14:paraId="43A5BB7B"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2C92C9F8"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5</w:t>
            </w:r>
          </w:p>
        </w:tc>
        <w:tc>
          <w:tcPr>
            <w:tcW w:w="1480" w:type="dxa"/>
            <w:tcBorders>
              <w:top w:val="nil"/>
              <w:left w:val="nil"/>
              <w:bottom w:val="single" w:sz="4" w:space="0" w:color="auto"/>
              <w:right w:val="single" w:sz="4" w:space="0" w:color="auto"/>
            </w:tcBorders>
            <w:shd w:val="clear" w:color="auto" w:fill="auto"/>
            <w:vAlign w:val="bottom"/>
            <w:hideMark/>
          </w:tcPr>
          <w:p w14:paraId="165AEAD1"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086121154W</w:t>
            </w:r>
          </w:p>
        </w:tc>
        <w:tc>
          <w:tcPr>
            <w:tcW w:w="6789" w:type="dxa"/>
            <w:tcBorders>
              <w:top w:val="nil"/>
              <w:left w:val="nil"/>
              <w:bottom w:val="single" w:sz="4" w:space="0" w:color="auto"/>
              <w:right w:val="single" w:sz="4" w:space="0" w:color="auto"/>
            </w:tcBorders>
            <w:shd w:val="clear" w:color="auto" w:fill="auto"/>
            <w:noWrap/>
            <w:vAlign w:val="bottom"/>
            <w:hideMark/>
          </w:tcPr>
          <w:p w14:paraId="38EEFE7C" w14:textId="30945023" w:rsidR="00AB0A2B" w:rsidRPr="00AB0A2B" w:rsidRDefault="00AB0A2B" w:rsidP="00AB0A2B">
            <w:pPr>
              <w:rPr>
                <w:rFonts w:ascii="Tw Cen MT" w:hAnsi="Tw Cen MT" w:cs="Calibri"/>
                <w:lang w:eastAsia="fr-FR"/>
              </w:rPr>
            </w:pPr>
            <w:r w:rsidRPr="00AB0A2B">
              <w:rPr>
                <w:rFonts w:ascii="Tw Cen MT" w:hAnsi="Tw Cen MT" w:cs="Calibri"/>
                <w:lang w:eastAsia="fr-FR"/>
              </w:rPr>
              <w:t>AFRICA MINING SARL</w:t>
            </w:r>
          </w:p>
        </w:tc>
      </w:tr>
      <w:tr w:rsidR="00AB0A2B" w:rsidRPr="00AB0A2B" w14:paraId="238E597F"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48162EC1"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6</w:t>
            </w:r>
          </w:p>
        </w:tc>
        <w:tc>
          <w:tcPr>
            <w:tcW w:w="1480" w:type="dxa"/>
            <w:tcBorders>
              <w:top w:val="nil"/>
              <w:left w:val="nil"/>
              <w:bottom w:val="single" w:sz="4" w:space="0" w:color="auto"/>
              <w:right w:val="single" w:sz="4" w:space="0" w:color="auto"/>
            </w:tcBorders>
            <w:shd w:val="clear" w:color="auto" w:fill="auto"/>
            <w:vAlign w:val="bottom"/>
            <w:hideMark/>
          </w:tcPr>
          <w:p w14:paraId="160C907C"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086138466M</w:t>
            </w:r>
          </w:p>
        </w:tc>
        <w:tc>
          <w:tcPr>
            <w:tcW w:w="6789" w:type="dxa"/>
            <w:tcBorders>
              <w:top w:val="nil"/>
              <w:left w:val="nil"/>
              <w:bottom w:val="single" w:sz="4" w:space="0" w:color="auto"/>
              <w:right w:val="single" w:sz="4" w:space="0" w:color="auto"/>
            </w:tcBorders>
            <w:shd w:val="clear" w:color="auto" w:fill="auto"/>
            <w:noWrap/>
            <w:vAlign w:val="bottom"/>
            <w:hideMark/>
          </w:tcPr>
          <w:p w14:paraId="7B0FADE0" w14:textId="745D1A88" w:rsidR="00AB0A2B" w:rsidRPr="00AB0A2B" w:rsidRDefault="00AB0A2B" w:rsidP="00AB0A2B">
            <w:pPr>
              <w:rPr>
                <w:rFonts w:ascii="Tw Cen MT" w:hAnsi="Tw Cen MT" w:cs="Calibri"/>
                <w:lang w:eastAsia="fr-FR"/>
              </w:rPr>
            </w:pPr>
            <w:r w:rsidRPr="00AB0A2B">
              <w:rPr>
                <w:rFonts w:ascii="Tw Cen MT" w:hAnsi="Tw Cen MT" w:cs="Calibri"/>
                <w:lang w:eastAsia="fr-FR"/>
              </w:rPr>
              <w:t>DIAMANT D'AFRIQUE - SARL</w:t>
            </w:r>
          </w:p>
        </w:tc>
      </w:tr>
      <w:tr w:rsidR="00AB0A2B" w:rsidRPr="00AB0A2B" w14:paraId="0D075D9A"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270C1F00"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7</w:t>
            </w:r>
          </w:p>
        </w:tc>
        <w:tc>
          <w:tcPr>
            <w:tcW w:w="1480" w:type="dxa"/>
            <w:tcBorders>
              <w:top w:val="nil"/>
              <w:left w:val="nil"/>
              <w:bottom w:val="single" w:sz="4" w:space="0" w:color="auto"/>
              <w:right w:val="single" w:sz="4" w:space="0" w:color="auto"/>
            </w:tcBorders>
            <w:shd w:val="clear" w:color="auto" w:fill="auto"/>
            <w:vAlign w:val="bottom"/>
            <w:hideMark/>
          </w:tcPr>
          <w:p w14:paraId="170E0FE1"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087800350L</w:t>
            </w:r>
          </w:p>
        </w:tc>
        <w:tc>
          <w:tcPr>
            <w:tcW w:w="6789" w:type="dxa"/>
            <w:tcBorders>
              <w:top w:val="nil"/>
              <w:left w:val="nil"/>
              <w:bottom w:val="single" w:sz="4" w:space="0" w:color="auto"/>
              <w:right w:val="single" w:sz="4" w:space="0" w:color="auto"/>
            </w:tcBorders>
            <w:shd w:val="clear" w:color="auto" w:fill="auto"/>
            <w:noWrap/>
            <w:vAlign w:val="bottom"/>
            <w:hideMark/>
          </w:tcPr>
          <w:p w14:paraId="1183EC27" w14:textId="668640FE" w:rsidR="00AB0A2B" w:rsidRPr="00AB0A2B" w:rsidRDefault="00AB0A2B" w:rsidP="00AB0A2B">
            <w:pPr>
              <w:rPr>
                <w:rFonts w:ascii="Tw Cen MT" w:hAnsi="Tw Cen MT" w:cs="Calibri"/>
                <w:lang w:eastAsia="fr-FR"/>
              </w:rPr>
            </w:pPr>
            <w:r w:rsidRPr="00AB0A2B">
              <w:rPr>
                <w:rFonts w:ascii="Tw Cen MT" w:hAnsi="Tw Cen MT" w:cs="Calibri"/>
                <w:lang w:eastAsia="fr-FR"/>
              </w:rPr>
              <w:t>NEW GOLD MALI SA</w:t>
            </w:r>
          </w:p>
        </w:tc>
      </w:tr>
      <w:tr w:rsidR="00AB0A2B" w:rsidRPr="00AB0A2B" w14:paraId="06556E44"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6E9E90B8"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8</w:t>
            </w:r>
          </w:p>
        </w:tc>
        <w:tc>
          <w:tcPr>
            <w:tcW w:w="1480" w:type="dxa"/>
            <w:tcBorders>
              <w:top w:val="nil"/>
              <w:left w:val="nil"/>
              <w:bottom w:val="single" w:sz="4" w:space="0" w:color="auto"/>
              <w:right w:val="single" w:sz="4" w:space="0" w:color="auto"/>
            </w:tcBorders>
            <w:shd w:val="clear" w:color="auto" w:fill="auto"/>
            <w:vAlign w:val="bottom"/>
            <w:hideMark/>
          </w:tcPr>
          <w:p w14:paraId="5422D06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087800749M</w:t>
            </w:r>
          </w:p>
        </w:tc>
        <w:tc>
          <w:tcPr>
            <w:tcW w:w="6789" w:type="dxa"/>
            <w:tcBorders>
              <w:top w:val="nil"/>
              <w:left w:val="nil"/>
              <w:bottom w:val="single" w:sz="4" w:space="0" w:color="auto"/>
              <w:right w:val="single" w:sz="4" w:space="0" w:color="auto"/>
            </w:tcBorders>
            <w:shd w:val="clear" w:color="auto" w:fill="auto"/>
            <w:noWrap/>
            <w:vAlign w:val="bottom"/>
            <w:hideMark/>
          </w:tcPr>
          <w:p w14:paraId="56A15562" w14:textId="6830C97D" w:rsidR="00AB0A2B" w:rsidRPr="00AB0A2B" w:rsidRDefault="00AB0A2B" w:rsidP="00AB0A2B">
            <w:pPr>
              <w:rPr>
                <w:rFonts w:ascii="Tw Cen MT" w:hAnsi="Tw Cen MT" w:cs="Calibri"/>
                <w:lang w:eastAsia="fr-FR"/>
              </w:rPr>
            </w:pPr>
            <w:r w:rsidRPr="00AB0A2B">
              <w:rPr>
                <w:rFonts w:ascii="Tw Cen MT" w:hAnsi="Tw Cen MT" w:cs="Calibri"/>
                <w:lang w:eastAsia="fr-FR"/>
              </w:rPr>
              <w:t>RESSOURCES ROBEX MALI - SARL</w:t>
            </w:r>
          </w:p>
        </w:tc>
      </w:tr>
      <w:tr w:rsidR="00AB0A2B" w:rsidRPr="00AB0A2B" w14:paraId="1A8E93D9"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1673DC21"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9</w:t>
            </w:r>
          </w:p>
        </w:tc>
        <w:tc>
          <w:tcPr>
            <w:tcW w:w="1480" w:type="dxa"/>
            <w:tcBorders>
              <w:top w:val="nil"/>
              <w:left w:val="nil"/>
              <w:bottom w:val="single" w:sz="4" w:space="0" w:color="auto"/>
              <w:right w:val="single" w:sz="4" w:space="0" w:color="auto"/>
            </w:tcBorders>
            <w:shd w:val="clear" w:color="auto" w:fill="auto"/>
            <w:vAlign w:val="bottom"/>
            <w:hideMark/>
          </w:tcPr>
          <w:p w14:paraId="75D0A504"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087800846M</w:t>
            </w:r>
          </w:p>
        </w:tc>
        <w:tc>
          <w:tcPr>
            <w:tcW w:w="6789" w:type="dxa"/>
            <w:tcBorders>
              <w:top w:val="nil"/>
              <w:left w:val="nil"/>
              <w:bottom w:val="single" w:sz="4" w:space="0" w:color="auto"/>
              <w:right w:val="single" w:sz="4" w:space="0" w:color="auto"/>
            </w:tcBorders>
            <w:shd w:val="clear" w:color="auto" w:fill="auto"/>
            <w:noWrap/>
            <w:vAlign w:val="bottom"/>
            <w:hideMark/>
          </w:tcPr>
          <w:p w14:paraId="60579226" w14:textId="73964A6C" w:rsidR="00AB0A2B" w:rsidRPr="00AB0A2B" w:rsidRDefault="00AB0A2B" w:rsidP="00AB0A2B">
            <w:pPr>
              <w:rPr>
                <w:rFonts w:ascii="Tw Cen MT" w:hAnsi="Tw Cen MT" w:cs="Calibri"/>
                <w:lang w:eastAsia="fr-FR"/>
              </w:rPr>
            </w:pPr>
            <w:r w:rsidRPr="00AB0A2B">
              <w:rPr>
                <w:rFonts w:ascii="Tw Cen MT" w:hAnsi="Tw Cen MT" w:cs="Calibri"/>
                <w:lang w:eastAsia="fr-FR"/>
              </w:rPr>
              <w:t>SOCIETE SAHELIENNE DES MINES</w:t>
            </w:r>
          </w:p>
        </w:tc>
      </w:tr>
      <w:tr w:rsidR="00AB0A2B" w:rsidRPr="00AB0A2B" w14:paraId="0D008C7F"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6ACAAFB7"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10</w:t>
            </w:r>
          </w:p>
        </w:tc>
        <w:tc>
          <w:tcPr>
            <w:tcW w:w="1480" w:type="dxa"/>
            <w:tcBorders>
              <w:top w:val="nil"/>
              <w:left w:val="nil"/>
              <w:bottom w:val="single" w:sz="4" w:space="0" w:color="auto"/>
              <w:right w:val="single" w:sz="4" w:space="0" w:color="auto"/>
            </w:tcBorders>
            <w:shd w:val="clear" w:color="auto" w:fill="auto"/>
            <w:vAlign w:val="bottom"/>
            <w:hideMark/>
          </w:tcPr>
          <w:p w14:paraId="7CC3EF0C"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087800893E</w:t>
            </w:r>
          </w:p>
        </w:tc>
        <w:tc>
          <w:tcPr>
            <w:tcW w:w="6789" w:type="dxa"/>
            <w:tcBorders>
              <w:top w:val="nil"/>
              <w:left w:val="nil"/>
              <w:bottom w:val="single" w:sz="4" w:space="0" w:color="auto"/>
              <w:right w:val="single" w:sz="4" w:space="0" w:color="auto"/>
            </w:tcBorders>
            <w:shd w:val="clear" w:color="auto" w:fill="auto"/>
            <w:noWrap/>
            <w:vAlign w:val="bottom"/>
            <w:hideMark/>
          </w:tcPr>
          <w:p w14:paraId="03B68B09" w14:textId="33A1BAE3" w:rsidR="00AB0A2B" w:rsidRPr="00AB0A2B" w:rsidRDefault="00AB0A2B" w:rsidP="00AB0A2B">
            <w:pPr>
              <w:rPr>
                <w:rFonts w:ascii="Tw Cen MT" w:hAnsi="Tw Cen MT" w:cs="Calibri"/>
                <w:lang w:eastAsia="fr-FR"/>
              </w:rPr>
            </w:pPr>
            <w:r w:rsidRPr="00AB0A2B">
              <w:rPr>
                <w:rFonts w:ascii="Tw Cen MT" w:hAnsi="Tw Cen MT" w:cs="Calibri"/>
                <w:lang w:eastAsia="fr-FR"/>
              </w:rPr>
              <w:t xml:space="preserve">BAGAMA MINING </w:t>
            </w:r>
          </w:p>
        </w:tc>
      </w:tr>
      <w:tr w:rsidR="00AB0A2B" w:rsidRPr="00AB0A2B" w14:paraId="77A8A851"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691AAEC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11</w:t>
            </w:r>
          </w:p>
        </w:tc>
        <w:tc>
          <w:tcPr>
            <w:tcW w:w="1480" w:type="dxa"/>
            <w:tcBorders>
              <w:top w:val="nil"/>
              <w:left w:val="nil"/>
              <w:bottom w:val="single" w:sz="4" w:space="0" w:color="auto"/>
              <w:right w:val="single" w:sz="4" w:space="0" w:color="auto"/>
            </w:tcBorders>
            <w:shd w:val="clear" w:color="auto" w:fill="auto"/>
            <w:vAlign w:val="bottom"/>
            <w:hideMark/>
          </w:tcPr>
          <w:p w14:paraId="3FAF6BBF"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082227243T</w:t>
            </w:r>
          </w:p>
        </w:tc>
        <w:tc>
          <w:tcPr>
            <w:tcW w:w="6789" w:type="dxa"/>
            <w:tcBorders>
              <w:top w:val="nil"/>
              <w:left w:val="nil"/>
              <w:bottom w:val="single" w:sz="4" w:space="0" w:color="auto"/>
              <w:right w:val="single" w:sz="4" w:space="0" w:color="auto"/>
            </w:tcBorders>
            <w:shd w:val="clear" w:color="auto" w:fill="auto"/>
            <w:noWrap/>
            <w:vAlign w:val="bottom"/>
            <w:hideMark/>
          </w:tcPr>
          <w:p w14:paraId="47C5505C" w14:textId="2793C42C" w:rsidR="00AB0A2B" w:rsidRPr="00AB0A2B" w:rsidRDefault="00AB0A2B" w:rsidP="00AB0A2B">
            <w:pPr>
              <w:rPr>
                <w:rFonts w:ascii="Tw Cen MT" w:hAnsi="Tw Cen MT" w:cs="Calibri"/>
                <w:lang w:eastAsia="fr-FR"/>
              </w:rPr>
            </w:pPr>
            <w:r w:rsidRPr="00AB0A2B">
              <w:rPr>
                <w:rFonts w:ascii="Tw Cen MT" w:hAnsi="Tw Cen MT" w:cs="Calibri"/>
                <w:lang w:eastAsia="fr-FR"/>
              </w:rPr>
              <w:t>METEDIA MINING SARL</w:t>
            </w:r>
          </w:p>
        </w:tc>
      </w:tr>
      <w:tr w:rsidR="00AB0A2B" w:rsidRPr="00AB0A2B" w14:paraId="3B53C9AD"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1C4E35E5"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12</w:t>
            </w:r>
          </w:p>
        </w:tc>
        <w:tc>
          <w:tcPr>
            <w:tcW w:w="1480" w:type="dxa"/>
            <w:tcBorders>
              <w:top w:val="nil"/>
              <w:left w:val="nil"/>
              <w:bottom w:val="single" w:sz="4" w:space="0" w:color="auto"/>
              <w:right w:val="single" w:sz="4" w:space="0" w:color="auto"/>
            </w:tcBorders>
            <w:shd w:val="clear" w:color="auto" w:fill="auto"/>
            <w:vAlign w:val="bottom"/>
            <w:hideMark/>
          </w:tcPr>
          <w:p w14:paraId="7F765F70"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082230097A</w:t>
            </w:r>
          </w:p>
        </w:tc>
        <w:tc>
          <w:tcPr>
            <w:tcW w:w="6789" w:type="dxa"/>
            <w:tcBorders>
              <w:top w:val="nil"/>
              <w:left w:val="nil"/>
              <w:bottom w:val="single" w:sz="4" w:space="0" w:color="auto"/>
              <w:right w:val="single" w:sz="4" w:space="0" w:color="auto"/>
            </w:tcBorders>
            <w:shd w:val="clear" w:color="auto" w:fill="auto"/>
            <w:noWrap/>
            <w:vAlign w:val="bottom"/>
            <w:hideMark/>
          </w:tcPr>
          <w:p w14:paraId="7B38564D" w14:textId="37D2E2D2" w:rsidR="00AB0A2B" w:rsidRPr="00AB0A2B" w:rsidRDefault="00AB0A2B" w:rsidP="00AB0A2B">
            <w:pPr>
              <w:rPr>
                <w:rFonts w:ascii="Tw Cen MT" w:hAnsi="Tw Cen MT" w:cs="Calibri"/>
                <w:lang w:eastAsia="fr-FR"/>
              </w:rPr>
            </w:pPr>
            <w:r w:rsidRPr="00AB0A2B">
              <w:rPr>
                <w:rFonts w:ascii="Tw Cen MT" w:hAnsi="Tw Cen MT" w:cs="Calibri"/>
                <w:lang w:eastAsia="fr-FR"/>
              </w:rPr>
              <w:t>ORGANISATION TOUNKARA COMMERCE INTERNATIONAL MINING INVESTISSEMENT (O.T.C.I MINING INVESTISSEMENT) SARL</w:t>
            </w:r>
          </w:p>
        </w:tc>
      </w:tr>
      <w:tr w:rsidR="00AB0A2B" w:rsidRPr="00AB0A2B" w14:paraId="2141FA05"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186CB58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13</w:t>
            </w:r>
          </w:p>
        </w:tc>
        <w:tc>
          <w:tcPr>
            <w:tcW w:w="1480" w:type="dxa"/>
            <w:tcBorders>
              <w:top w:val="nil"/>
              <w:left w:val="nil"/>
              <w:bottom w:val="single" w:sz="4" w:space="0" w:color="auto"/>
              <w:right w:val="single" w:sz="4" w:space="0" w:color="auto"/>
            </w:tcBorders>
            <w:shd w:val="clear" w:color="auto" w:fill="auto"/>
            <w:vAlign w:val="bottom"/>
            <w:hideMark/>
          </w:tcPr>
          <w:p w14:paraId="1D7C16E4"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087800564J</w:t>
            </w:r>
          </w:p>
        </w:tc>
        <w:tc>
          <w:tcPr>
            <w:tcW w:w="6789" w:type="dxa"/>
            <w:tcBorders>
              <w:top w:val="nil"/>
              <w:left w:val="nil"/>
              <w:bottom w:val="single" w:sz="4" w:space="0" w:color="auto"/>
              <w:right w:val="single" w:sz="4" w:space="0" w:color="auto"/>
            </w:tcBorders>
            <w:shd w:val="clear" w:color="auto" w:fill="auto"/>
            <w:noWrap/>
            <w:vAlign w:val="bottom"/>
            <w:hideMark/>
          </w:tcPr>
          <w:p w14:paraId="3C86FA6D" w14:textId="30B10C14" w:rsidR="00AB0A2B" w:rsidRPr="00AB0A2B" w:rsidRDefault="00AB0A2B" w:rsidP="00AB0A2B">
            <w:pPr>
              <w:rPr>
                <w:rFonts w:ascii="Tw Cen MT" w:hAnsi="Tw Cen MT" w:cs="Calibri"/>
                <w:lang w:eastAsia="fr-FR"/>
              </w:rPr>
            </w:pPr>
            <w:r w:rsidRPr="00AB0A2B">
              <w:rPr>
                <w:rFonts w:ascii="Tw Cen MT" w:hAnsi="Tw Cen MT" w:cs="Calibri"/>
                <w:lang w:eastAsia="fr-FR"/>
              </w:rPr>
              <w:t>SOCIÉTÉ MALI GOLDFIELDS  SARL</w:t>
            </w:r>
          </w:p>
        </w:tc>
      </w:tr>
      <w:tr w:rsidR="00AB0A2B" w:rsidRPr="00AB0A2B" w14:paraId="2B9E0159"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7B216429"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14</w:t>
            </w:r>
          </w:p>
        </w:tc>
        <w:tc>
          <w:tcPr>
            <w:tcW w:w="1480" w:type="dxa"/>
            <w:tcBorders>
              <w:top w:val="nil"/>
              <w:left w:val="nil"/>
              <w:bottom w:val="single" w:sz="4" w:space="0" w:color="auto"/>
              <w:right w:val="single" w:sz="4" w:space="0" w:color="auto"/>
            </w:tcBorders>
            <w:shd w:val="clear" w:color="auto" w:fill="auto"/>
            <w:vAlign w:val="bottom"/>
            <w:hideMark/>
          </w:tcPr>
          <w:p w14:paraId="4B0C6AA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084121163L</w:t>
            </w:r>
          </w:p>
        </w:tc>
        <w:tc>
          <w:tcPr>
            <w:tcW w:w="6789" w:type="dxa"/>
            <w:tcBorders>
              <w:top w:val="nil"/>
              <w:left w:val="nil"/>
              <w:bottom w:val="single" w:sz="4" w:space="0" w:color="auto"/>
              <w:right w:val="single" w:sz="4" w:space="0" w:color="auto"/>
            </w:tcBorders>
            <w:shd w:val="clear" w:color="auto" w:fill="auto"/>
            <w:noWrap/>
            <w:vAlign w:val="bottom"/>
            <w:hideMark/>
          </w:tcPr>
          <w:p w14:paraId="3663BEDD" w14:textId="2AE20CC8" w:rsidR="00AB0A2B" w:rsidRPr="00AB0A2B" w:rsidRDefault="00AB0A2B" w:rsidP="00AB0A2B">
            <w:pPr>
              <w:rPr>
                <w:rFonts w:ascii="Tw Cen MT" w:hAnsi="Tw Cen MT" w:cs="Calibri"/>
                <w:lang w:eastAsia="fr-FR"/>
              </w:rPr>
            </w:pPr>
            <w:r w:rsidRPr="00AB0A2B">
              <w:rPr>
                <w:rFonts w:ascii="Tw Cen MT" w:hAnsi="Tw Cen MT" w:cs="Calibri"/>
                <w:lang w:eastAsia="fr-FR"/>
              </w:rPr>
              <w:t>CIMENT DE L'AFRIQUE MALI</w:t>
            </w:r>
          </w:p>
        </w:tc>
      </w:tr>
      <w:tr w:rsidR="00AB0A2B" w:rsidRPr="00AB0A2B" w14:paraId="3E93D3C4"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67A67DBC"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15</w:t>
            </w:r>
          </w:p>
        </w:tc>
        <w:tc>
          <w:tcPr>
            <w:tcW w:w="1480" w:type="dxa"/>
            <w:tcBorders>
              <w:top w:val="nil"/>
              <w:left w:val="nil"/>
              <w:bottom w:val="single" w:sz="4" w:space="0" w:color="auto"/>
              <w:right w:val="single" w:sz="4" w:space="0" w:color="auto"/>
            </w:tcBorders>
            <w:shd w:val="clear" w:color="auto" w:fill="auto"/>
            <w:vAlign w:val="bottom"/>
            <w:hideMark/>
          </w:tcPr>
          <w:p w14:paraId="79327D4B"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086123179L</w:t>
            </w:r>
          </w:p>
        </w:tc>
        <w:tc>
          <w:tcPr>
            <w:tcW w:w="6789" w:type="dxa"/>
            <w:tcBorders>
              <w:top w:val="nil"/>
              <w:left w:val="nil"/>
              <w:bottom w:val="single" w:sz="4" w:space="0" w:color="auto"/>
              <w:right w:val="single" w:sz="4" w:space="0" w:color="auto"/>
            </w:tcBorders>
            <w:shd w:val="clear" w:color="auto" w:fill="auto"/>
            <w:noWrap/>
            <w:vAlign w:val="bottom"/>
            <w:hideMark/>
          </w:tcPr>
          <w:p w14:paraId="20FDAAF2" w14:textId="54013489" w:rsidR="00AB0A2B" w:rsidRPr="00AB0A2B" w:rsidRDefault="00AB0A2B" w:rsidP="00AB0A2B">
            <w:pPr>
              <w:rPr>
                <w:rFonts w:ascii="Tw Cen MT" w:hAnsi="Tw Cen MT" w:cs="Calibri"/>
                <w:lang w:eastAsia="fr-FR"/>
              </w:rPr>
            </w:pPr>
            <w:r w:rsidRPr="00AB0A2B">
              <w:rPr>
                <w:rFonts w:ascii="Tw Cen MT" w:hAnsi="Tw Cen MT" w:cs="Calibri"/>
                <w:lang w:eastAsia="fr-FR"/>
              </w:rPr>
              <w:t xml:space="preserve">STÉ DE CARRIÈRE  CHAUX DU MALI </w:t>
            </w:r>
          </w:p>
        </w:tc>
      </w:tr>
      <w:tr w:rsidR="00AB0A2B" w:rsidRPr="00AB0A2B" w14:paraId="022E073B"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482FD57A"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16</w:t>
            </w:r>
          </w:p>
        </w:tc>
        <w:tc>
          <w:tcPr>
            <w:tcW w:w="1480" w:type="dxa"/>
            <w:tcBorders>
              <w:top w:val="nil"/>
              <w:left w:val="nil"/>
              <w:bottom w:val="single" w:sz="4" w:space="0" w:color="auto"/>
              <w:right w:val="single" w:sz="4" w:space="0" w:color="auto"/>
            </w:tcBorders>
            <w:shd w:val="clear" w:color="auto" w:fill="auto"/>
            <w:vAlign w:val="bottom"/>
            <w:hideMark/>
          </w:tcPr>
          <w:p w14:paraId="6E1D89E7"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085138250N</w:t>
            </w:r>
          </w:p>
        </w:tc>
        <w:tc>
          <w:tcPr>
            <w:tcW w:w="6789" w:type="dxa"/>
            <w:tcBorders>
              <w:top w:val="nil"/>
              <w:left w:val="nil"/>
              <w:bottom w:val="single" w:sz="4" w:space="0" w:color="auto"/>
              <w:right w:val="single" w:sz="4" w:space="0" w:color="auto"/>
            </w:tcBorders>
            <w:shd w:val="clear" w:color="auto" w:fill="auto"/>
            <w:noWrap/>
            <w:vAlign w:val="bottom"/>
            <w:hideMark/>
          </w:tcPr>
          <w:p w14:paraId="7E4041EC" w14:textId="11DA6280" w:rsidR="00AB0A2B" w:rsidRPr="00AB0A2B" w:rsidRDefault="00AB0A2B" w:rsidP="00AB0A2B">
            <w:pPr>
              <w:rPr>
                <w:rFonts w:ascii="Tw Cen MT" w:hAnsi="Tw Cen MT" w:cs="Calibri"/>
                <w:lang w:eastAsia="fr-FR"/>
              </w:rPr>
            </w:pPr>
            <w:r w:rsidRPr="00AB0A2B">
              <w:rPr>
                <w:rFonts w:ascii="Tw Cen MT" w:hAnsi="Tw Cen MT" w:cs="Calibri"/>
                <w:lang w:eastAsia="fr-FR"/>
              </w:rPr>
              <w:t>STÉ MINEKO SARL</w:t>
            </w:r>
          </w:p>
        </w:tc>
      </w:tr>
      <w:tr w:rsidR="00AB0A2B" w:rsidRPr="00AB0A2B" w14:paraId="039D7DA8"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3AD805BA"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17</w:t>
            </w:r>
          </w:p>
        </w:tc>
        <w:tc>
          <w:tcPr>
            <w:tcW w:w="1480" w:type="dxa"/>
            <w:tcBorders>
              <w:top w:val="nil"/>
              <w:left w:val="nil"/>
              <w:bottom w:val="single" w:sz="4" w:space="0" w:color="auto"/>
              <w:right w:val="single" w:sz="4" w:space="0" w:color="auto"/>
            </w:tcBorders>
            <w:shd w:val="clear" w:color="auto" w:fill="auto"/>
            <w:vAlign w:val="bottom"/>
            <w:hideMark/>
          </w:tcPr>
          <w:p w14:paraId="0C607942"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087800955C</w:t>
            </w:r>
          </w:p>
        </w:tc>
        <w:tc>
          <w:tcPr>
            <w:tcW w:w="6789" w:type="dxa"/>
            <w:tcBorders>
              <w:top w:val="nil"/>
              <w:left w:val="nil"/>
              <w:bottom w:val="single" w:sz="4" w:space="0" w:color="auto"/>
              <w:right w:val="single" w:sz="4" w:space="0" w:color="auto"/>
            </w:tcBorders>
            <w:shd w:val="clear" w:color="auto" w:fill="auto"/>
            <w:noWrap/>
            <w:vAlign w:val="bottom"/>
            <w:hideMark/>
          </w:tcPr>
          <w:p w14:paraId="6C18846F" w14:textId="0C490B27" w:rsidR="00AB0A2B" w:rsidRPr="00AB0A2B" w:rsidRDefault="00AB0A2B" w:rsidP="00AB0A2B">
            <w:pPr>
              <w:rPr>
                <w:rFonts w:ascii="Tw Cen MT" w:hAnsi="Tw Cen MT" w:cs="Calibri"/>
                <w:lang w:eastAsia="fr-FR"/>
              </w:rPr>
            </w:pPr>
            <w:r w:rsidRPr="00AB0A2B">
              <w:rPr>
                <w:rFonts w:ascii="Tw Cen MT" w:hAnsi="Tw Cen MT" w:cs="Calibri"/>
                <w:lang w:eastAsia="fr-FR"/>
              </w:rPr>
              <w:t>SAHASRA GOLD MINING</w:t>
            </w:r>
          </w:p>
        </w:tc>
      </w:tr>
      <w:tr w:rsidR="00AB0A2B" w:rsidRPr="00AB0A2B" w14:paraId="22A185B0"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4BEA35BA"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18</w:t>
            </w:r>
          </w:p>
        </w:tc>
        <w:tc>
          <w:tcPr>
            <w:tcW w:w="1480" w:type="dxa"/>
            <w:tcBorders>
              <w:top w:val="nil"/>
              <w:left w:val="nil"/>
              <w:bottom w:val="single" w:sz="4" w:space="0" w:color="auto"/>
              <w:right w:val="single" w:sz="4" w:space="0" w:color="auto"/>
            </w:tcBorders>
            <w:shd w:val="clear" w:color="auto" w:fill="auto"/>
            <w:vAlign w:val="bottom"/>
            <w:hideMark/>
          </w:tcPr>
          <w:p w14:paraId="731BF40A"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084119105D</w:t>
            </w:r>
          </w:p>
        </w:tc>
        <w:tc>
          <w:tcPr>
            <w:tcW w:w="6789" w:type="dxa"/>
            <w:tcBorders>
              <w:top w:val="nil"/>
              <w:left w:val="nil"/>
              <w:bottom w:val="single" w:sz="4" w:space="0" w:color="auto"/>
              <w:right w:val="single" w:sz="4" w:space="0" w:color="auto"/>
            </w:tcBorders>
            <w:shd w:val="clear" w:color="auto" w:fill="auto"/>
            <w:noWrap/>
            <w:vAlign w:val="bottom"/>
            <w:hideMark/>
          </w:tcPr>
          <w:p w14:paraId="126E0AD0" w14:textId="7ACE6FA7" w:rsidR="00AB0A2B" w:rsidRPr="00AB0A2B" w:rsidRDefault="00AB0A2B" w:rsidP="00AB0A2B">
            <w:pPr>
              <w:rPr>
                <w:rFonts w:ascii="Tw Cen MT" w:hAnsi="Tw Cen MT" w:cs="Calibri"/>
                <w:lang w:eastAsia="fr-FR"/>
              </w:rPr>
            </w:pPr>
            <w:r w:rsidRPr="00AB0A2B">
              <w:rPr>
                <w:rFonts w:ascii="Tw Cen MT" w:hAnsi="Tw Cen MT" w:cs="Calibri"/>
                <w:lang w:eastAsia="fr-FR"/>
              </w:rPr>
              <w:t>STÉ JYA YOU SARL</w:t>
            </w:r>
          </w:p>
        </w:tc>
      </w:tr>
      <w:tr w:rsidR="00AB0A2B" w:rsidRPr="00AB0A2B" w14:paraId="124DD6E5"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2992664A"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19</w:t>
            </w:r>
          </w:p>
        </w:tc>
        <w:tc>
          <w:tcPr>
            <w:tcW w:w="1480" w:type="dxa"/>
            <w:tcBorders>
              <w:top w:val="nil"/>
              <w:left w:val="nil"/>
              <w:bottom w:val="single" w:sz="4" w:space="0" w:color="auto"/>
              <w:right w:val="single" w:sz="4" w:space="0" w:color="auto"/>
            </w:tcBorders>
            <w:shd w:val="clear" w:color="auto" w:fill="auto"/>
            <w:vAlign w:val="bottom"/>
            <w:hideMark/>
          </w:tcPr>
          <w:p w14:paraId="706AE4F2" w14:textId="6129F221"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087800578N</w:t>
            </w:r>
          </w:p>
        </w:tc>
        <w:tc>
          <w:tcPr>
            <w:tcW w:w="6789" w:type="dxa"/>
            <w:tcBorders>
              <w:top w:val="nil"/>
              <w:left w:val="nil"/>
              <w:bottom w:val="single" w:sz="4" w:space="0" w:color="auto"/>
              <w:right w:val="single" w:sz="4" w:space="0" w:color="auto"/>
            </w:tcBorders>
            <w:shd w:val="clear" w:color="auto" w:fill="auto"/>
            <w:noWrap/>
            <w:vAlign w:val="bottom"/>
            <w:hideMark/>
          </w:tcPr>
          <w:p w14:paraId="4FDDFD5E" w14:textId="41A2B511" w:rsidR="00AB0A2B" w:rsidRPr="00AB0A2B" w:rsidRDefault="00AB0A2B" w:rsidP="00AB0A2B">
            <w:pPr>
              <w:rPr>
                <w:rFonts w:ascii="Tw Cen MT" w:hAnsi="Tw Cen MT" w:cs="Calibri"/>
                <w:lang w:eastAsia="fr-FR"/>
              </w:rPr>
            </w:pPr>
            <w:r w:rsidRPr="00AB0A2B">
              <w:rPr>
                <w:rFonts w:ascii="Tw Cen MT" w:hAnsi="Tw Cen MT" w:cs="Calibri"/>
                <w:lang w:eastAsia="fr-FR"/>
              </w:rPr>
              <w:t>GLENCAR MALI SARL</w:t>
            </w:r>
          </w:p>
        </w:tc>
      </w:tr>
      <w:tr w:rsidR="00AB0A2B" w:rsidRPr="00AB0A2B" w14:paraId="00B8B1EC"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4F39B734"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20</w:t>
            </w:r>
          </w:p>
        </w:tc>
        <w:tc>
          <w:tcPr>
            <w:tcW w:w="1480" w:type="dxa"/>
            <w:tcBorders>
              <w:top w:val="nil"/>
              <w:left w:val="nil"/>
              <w:bottom w:val="single" w:sz="4" w:space="0" w:color="auto"/>
              <w:right w:val="single" w:sz="4" w:space="0" w:color="auto"/>
            </w:tcBorders>
            <w:shd w:val="clear" w:color="auto" w:fill="auto"/>
            <w:vAlign w:val="bottom"/>
            <w:hideMark/>
          </w:tcPr>
          <w:p w14:paraId="74361F94"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082221826N</w:t>
            </w:r>
          </w:p>
        </w:tc>
        <w:tc>
          <w:tcPr>
            <w:tcW w:w="6789" w:type="dxa"/>
            <w:tcBorders>
              <w:top w:val="nil"/>
              <w:left w:val="nil"/>
              <w:bottom w:val="single" w:sz="4" w:space="0" w:color="auto"/>
              <w:right w:val="single" w:sz="4" w:space="0" w:color="auto"/>
            </w:tcBorders>
            <w:shd w:val="clear" w:color="auto" w:fill="auto"/>
            <w:noWrap/>
            <w:vAlign w:val="bottom"/>
            <w:hideMark/>
          </w:tcPr>
          <w:p w14:paraId="5B665ADD" w14:textId="6C6133AA" w:rsidR="00AB0A2B" w:rsidRPr="00AB0A2B" w:rsidRDefault="00AB0A2B" w:rsidP="00AB0A2B">
            <w:pPr>
              <w:rPr>
                <w:rFonts w:ascii="Tw Cen MT" w:hAnsi="Tw Cen MT" w:cs="Calibri"/>
                <w:lang w:eastAsia="fr-FR"/>
              </w:rPr>
            </w:pPr>
            <w:r w:rsidRPr="00AB0A2B">
              <w:rPr>
                <w:rFonts w:ascii="Tw Cen MT" w:hAnsi="Tw Cen MT" w:cs="Calibri"/>
                <w:lang w:eastAsia="fr-FR"/>
              </w:rPr>
              <w:t>STÉ CADEM SARL</w:t>
            </w:r>
          </w:p>
        </w:tc>
      </w:tr>
      <w:tr w:rsidR="00AB0A2B" w:rsidRPr="00AB0A2B" w14:paraId="0A995D6A"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488E51D9"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21</w:t>
            </w:r>
          </w:p>
        </w:tc>
        <w:tc>
          <w:tcPr>
            <w:tcW w:w="1480" w:type="dxa"/>
            <w:tcBorders>
              <w:top w:val="nil"/>
              <w:left w:val="nil"/>
              <w:bottom w:val="single" w:sz="4" w:space="0" w:color="auto"/>
              <w:right w:val="single" w:sz="4" w:space="0" w:color="auto"/>
            </w:tcBorders>
            <w:shd w:val="clear" w:color="auto" w:fill="auto"/>
            <w:vAlign w:val="bottom"/>
            <w:hideMark/>
          </w:tcPr>
          <w:p w14:paraId="16E6C4A2"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Non fournie</w:t>
            </w:r>
          </w:p>
        </w:tc>
        <w:tc>
          <w:tcPr>
            <w:tcW w:w="6789" w:type="dxa"/>
            <w:tcBorders>
              <w:top w:val="nil"/>
              <w:left w:val="nil"/>
              <w:bottom w:val="single" w:sz="4" w:space="0" w:color="auto"/>
              <w:right w:val="single" w:sz="4" w:space="0" w:color="auto"/>
            </w:tcBorders>
            <w:shd w:val="clear" w:color="auto" w:fill="auto"/>
            <w:noWrap/>
            <w:vAlign w:val="bottom"/>
            <w:hideMark/>
          </w:tcPr>
          <w:p w14:paraId="2E122EC7" w14:textId="15CC1289" w:rsidR="00AB0A2B" w:rsidRPr="00AB0A2B" w:rsidRDefault="00AB0A2B" w:rsidP="00AB0A2B">
            <w:pPr>
              <w:rPr>
                <w:rFonts w:ascii="Tw Cen MT" w:hAnsi="Tw Cen MT" w:cs="Calibri"/>
                <w:lang w:eastAsia="fr-FR"/>
              </w:rPr>
            </w:pPr>
            <w:r w:rsidRPr="00AB0A2B">
              <w:rPr>
                <w:rFonts w:ascii="Tw Cen MT" w:hAnsi="Tw Cen MT" w:cs="Calibri"/>
                <w:lang w:eastAsia="fr-FR"/>
              </w:rPr>
              <w:t>SOCIÉTÉ MINIÈRE OZOGOLD SA</w:t>
            </w:r>
          </w:p>
        </w:tc>
      </w:tr>
      <w:tr w:rsidR="00AB0A2B" w:rsidRPr="00AB0A2B" w14:paraId="61B41A35"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38A16C2C"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22</w:t>
            </w:r>
          </w:p>
        </w:tc>
        <w:tc>
          <w:tcPr>
            <w:tcW w:w="1480" w:type="dxa"/>
            <w:tcBorders>
              <w:top w:val="nil"/>
              <w:left w:val="nil"/>
              <w:bottom w:val="single" w:sz="4" w:space="0" w:color="auto"/>
              <w:right w:val="single" w:sz="4" w:space="0" w:color="auto"/>
            </w:tcBorders>
            <w:shd w:val="clear" w:color="auto" w:fill="auto"/>
            <w:vAlign w:val="bottom"/>
            <w:hideMark/>
          </w:tcPr>
          <w:p w14:paraId="23BFA476"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Non fournie</w:t>
            </w:r>
          </w:p>
        </w:tc>
        <w:tc>
          <w:tcPr>
            <w:tcW w:w="6789" w:type="dxa"/>
            <w:tcBorders>
              <w:top w:val="nil"/>
              <w:left w:val="nil"/>
              <w:bottom w:val="single" w:sz="4" w:space="0" w:color="auto"/>
              <w:right w:val="single" w:sz="4" w:space="0" w:color="auto"/>
            </w:tcBorders>
            <w:shd w:val="clear" w:color="auto" w:fill="auto"/>
            <w:noWrap/>
            <w:vAlign w:val="bottom"/>
            <w:hideMark/>
          </w:tcPr>
          <w:p w14:paraId="0A14F97E" w14:textId="18CAFAEF" w:rsidR="00AB0A2B" w:rsidRPr="00AB0A2B" w:rsidRDefault="00AB0A2B" w:rsidP="00AB0A2B">
            <w:pPr>
              <w:rPr>
                <w:rFonts w:ascii="Tw Cen MT" w:hAnsi="Tw Cen MT" w:cs="Calibri"/>
                <w:lang w:eastAsia="fr-FR"/>
              </w:rPr>
            </w:pPr>
            <w:r w:rsidRPr="00AB0A2B">
              <w:rPr>
                <w:rFonts w:ascii="Tw Cen MT" w:hAnsi="Tw Cen MT" w:cs="Calibri"/>
                <w:lang w:eastAsia="fr-FR"/>
              </w:rPr>
              <w:t>GROUPE SOCIÉTÉ AHMED BARRY ET FRÈRES SARL "GROUPE SOABF SARL"</w:t>
            </w:r>
          </w:p>
        </w:tc>
      </w:tr>
      <w:tr w:rsidR="00AB0A2B" w:rsidRPr="00AB0A2B" w14:paraId="40439E8B"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55E4F60"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23</w:t>
            </w:r>
          </w:p>
        </w:tc>
        <w:tc>
          <w:tcPr>
            <w:tcW w:w="1480" w:type="dxa"/>
            <w:tcBorders>
              <w:top w:val="nil"/>
              <w:left w:val="nil"/>
              <w:bottom w:val="single" w:sz="4" w:space="0" w:color="auto"/>
              <w:right w:val="single" w:sz="4" w:space="0" w:color="auto"/>
            </w:tcBorders>
            <w:shd w:val="clear" w:color="auto" w:fill="auto"/>
            <w:vAlign w:val="bottom"/>
            <w:hideMark/>
          </w:tcPr>
          <w:p w14:paraId="1E17F3D6"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084119442K</w:t>
            </w:r>
          </w:p>
        </w:tc>
        <w:tc>
          <w:tcPr>
            <w:tcW w:w="6789" w:type="dxa"/>
            <w:tcBorders>
              <w:top w:val="nil"/>
              <w:left w:val="nil"/>
              <w:bottom w:val="single" w:sz="4" w:space="0" w:color="auto"/>
              <w:right w:val="single" w:sz="4" w:space="0" w:color="auto"/>
            </w:tcBorders>
            <w:shd w:val="clear" w:color="auto" w:fill="auto"/>
            <w:noWrap/>
            <w:vAlign w:val="bottom"/>
            <w:hideMark/>
          </w:tcPr>
          <w:p w14:paraId="17F22A0B" w14:textId="07E47247" w:rsidR="00AB0A2B" w:rsidRPr="00AB0A2B" w:rsidRDefault="00AB0A2B" w:rsidP="00AB0A2B">
            <w:pPr>
              <w:rPr>
                <w:rFonts w:ascii="Tw Cen MT" w:hAnsi="Tw Cen MT" w:cs="Calibri"/>
                <w:lang w:eastAsia="fr-FR"/>
              </w:rPr>
            </w:pPr>
            <w:r w:rsidRPr="00AB0A2B">
              <w:rPr>
                <w:rFonts w:ascii="Tw Cen MT" w:hAnsi="Tw Cen MT" w:cs="Calibri"/>
                <w:lang w:eastAsia="fr-FR"/>
              </w:rPr>
              <w:t>MAIFA MINING CORPORATION SARL</w:t>
            </w:r>
          </w:p>
        </w:tc>
      </w:tr>
      <w:tr w:rsidR="00AB0A2B" w:rsidRPr="00AB0A2B" w14:paraId="5E7C295A"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7D261D5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24</w:t>
            </w:r>
          </w:p>
        </w:tc>
        <w:tc>
          <w:tcPr>
            <w:tcW w:w="1480" w:type="dxa"/>
            <w:tcBorders>
              <w:top w:val="nil"/>
              <w:left w:val="nil"/>
              <w:bottom w:val="single" w:sz="4" w:space="0" w:color="auto"/>
              <w:right w:val="single" w:sz="4" w:space="0" w:color="auto"/>
            </w:tcBorders>
            <w:shd w:val="clear" w:color="auto" w:fill="auto"/>
            <w:vAlign w:val="bottom"/>
            <w:hideMark/>
          </w:tcPr>
          <w:p w14:paraId="3A3FE965"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083331048C</w:t>
            </w:r>
          </w:p>
        </w:tc>
        <w:tc>
          <w:tcPr>
            <w:tcW w:w="6789" w:type="dxa"/>
            <w:tcBorders>
              <w:top w:val="nil"/>
              <w:left w:val="nil"/>
              <w:bottom w:val="single" w:sz="4" w:space="0" w:color="auto"/>
              <w:right w:val="single" w:sz="4" w:space="0" w:color="auto"/>
            </w:tcBorders>
            <w:shd w:val="clear" w:color="auto" w:fill="auto"/>
            <w:noWrap/>
            <w:vAlign w:val="bottom"/>
            <w:hideMark/>
          </w:tcPr>
          <w:p w14:paraId="40E9A56D" w14:textId="513CEEA9" w:rsidR="00AB0A2B" w:rsidRPr="00AB0A2B" w:rsidRDefault="00AB0A2B" w:rsidP="00AB0A2B">
            <w:pPr>
              <w:rPr>
                <w:rFonts w:ascii="Tw Cen MT" w:hAnsi="Tw Cen MT" w:cs="Calibri"/>
                <w:lang w:eastAsia="fr-FR"/>
              </w:rPr>
            </w:pPr>
            <w:r w:rsidRPr="00AB0A2B">
              <w:rPr>
                <w:rFonts w:ascii="Tw Cen MT" w:hAnsi="Tw Cen MT" w:cs="Calibri"/>
                <w:lang w:eastAsia="fr-FR"/>
              </w:rPr>
              <w:t>STÉ ETABLISSEMENT YARA &amp; FRÈRE SARL</w:t>
            </w:r>
          </w:p>
        </w:tc>
      </w:tr>
      <w:tr w:rsidR="00AB0A2B" w:rsidRPr="00AB0A2B" w14:paraId="0F7BF70D"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C4B4AF8"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25</w:t>
            </w:r>
          </w:p>
        </w:tc>
        <w:tc>
          <w:tcPr>
            <w:tcW w:w="1480" w:type="dxa"/>
            <w:tcBorders>
              <w:top w:val="nil"/>
              <w:left w:val="nil"/>
              <w:bottom w:val="single" w:sz="4" w:space="0" w:color="auto"/>
              <w:right w:val="single" w:sz="4" w:space="0" w:color="auto"/>
            </w:tcBorders>
            <w:shd w:val="clear" w:color="auto" w:fill="auto"/>
            <w:vAlign w:val="bottom"/>
            <w:hideMark/>
          </w:tcPr>
          <w:p w14:paraId="4F87EDCD"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086134060F</w:t>
            </w:r>
          </w:p>
        </w:tc>
        <w:tc>
          <w:tcPr>
            <w:tcW w:w="6789" w:type="dxa"/>
            <w:tcBorders>
              <w:top w:val="nil"/>
              <w:left w:val="nil"/>
              <w:bottom w:val="single" w:sz="4" w:space="0" w:color="auto"/>
              <w:right w:val="single" w:sz="4" w:space="0" w:color="auto"/>
            </w:tcBorders>
            <w:shd w:val="clear" w:color="auto" w:fill="auto"/>
            <w:noWrap/>
            <w:vAlign w:val="bottom"/>
            <w:hideMark/>
          </w:tcPr>
          <w:p w14:paraId="2CBAA5EB" w14:textId="7B7C4BF4" w:rsidR="00AB0A2B" w:rsidRPr="00AB0A2B" w:rsidRDefault="00AB0A2B" w:rsidP="00AB0A2B">
            <w:pPr>
              <w:rPr>
                <w:rFonts w:ascii="Tw Cen MT" w:hAnsi="Tw Cen MT" w:cs="Calibri"/>
                <w:lang w:eastAsia="fr-FR"/>
              </w:rPr>
            </w:pPr>
            <w:r w:rsidRPr="00AB0A2B">
              <w:rPr>
                <w:rFonts w:ascii="Tw Cen MT" w:hAnsi="Tw Cen MT" w:cs="Calibri"/>
                <w:lang w:eastAsia="fr-FR"/>
              </w:rPr>
              <w:t>STAR MINING SARL</w:t>
            </w:r>
          </w:p>
        </w:tc>
      </w:tr>
      <w:tr w:rsidR="00AB0A2B" w:rsidRPr="00A32D70" w14:paraId="3F987CCE"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21C15690"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26</w:t>
            </w:r>
          </w:p>
        </w:tc>
        <w:tc>
          <w:tcPr>
            <w:tcW w:w="1480" w:type="dxa"/>
            <w:tcBorders>
              <w:top w:val="nil"/>
              <w:left w:val="nil"/>
              <w:bottom w:val="single" w:sz="4" w:space="0" w:color="auto"/>
              <w:right w:val="single" w:sz="4" w:space="0" w:color="auto"/>
            </w:tcBorders>
            <w:shd w:val="clear" w:color="auto" w:fill="auto"/>
            <w:vAlign w:val="bottom"/>
            <w:hideMark/>
          </w:tcPr>
          <w:p w14:paraId="11228591"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084121142F</w:t>
            </w:r>
          </w:p>
        </w:tc>
        <w:tc>
          <w:tcPr>
            <w:tcW w:w="6789" w:type="dxa"/>
            <w:tcBorders>
              <w:top w:val="nil"/>
              <w:left w:val="nil"/>
              <w:bottom w:val="single" w:sz="4" w:space="0" w:color="auto"/>
              <w:right w:val="single" w:sz="4" w:space="0" w:color="auto"/>
            </w:tcBorders>
            <w:shd w:val="clear" w:color="auto" w:fill="auto"/>
            <w:noWrap/>
            <w:vAlign w:val="bottom"/>
            <w:hideMark/>
          </w:tcPr>
          <w:p w14:paraId="746AC871" w14:textId="0453857E" w:rsidR="00AB0A2B" w:rsidRPr="00AB0A2B" w:rsidRDefault="00AB0A2B" w:rsidP="00AB0A2B">
            <w:pPr>
              <w:rPr>
                <w:rFonts w:ascii="Tw Cen MT" w:hAnsi="Tw Cen MT" w:cs="Calibri"/>
                <w:lang w:val="en-US" w:eastAsia="fr-FR"/>
              </w:rPr>
            </w:pPr>
            <w:r w:rsidRPr="00AB0A2B">
              <w:rPr>
                <w:rFonts w:ascii="Tw Cen MT" w:hAnsi="Tw Cen MT" w:cs="Calibri"/>
                <w:lang w:val="en-US" w:eastAsia="fr-FR"/>
              </w:rPr>
              <w:t>CENTURY MINERALS CORPORATION CMC SARL</w:t>
            </w:r>
          </w:p>
        </w:tc>
      </w:tr>
      <w:tr w:rsidR="00AB0A2B" w:rsidRPr="00AB0A2B" w14:paraId="743298FD"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7F8B816"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27</w:t>
            </w:r>
          </w:p>
        </w:tc>
        <w:tc>
          <w:tcPr>
            <w:tcW w:w="1480" w:type="dxa"/>
            <w:tcBorders>
              <w:top w:val="nil"/>
              <w:left w:val="nil"/>
              <w:bottom w:val="single" w:sz="4" w:space="0" w:color="auto"/>
              <w:right w:val="single" w:sz="4" w:space="0" w:color="auto"/>
            </w:tcBorders>
            <w:shd w:val="clear" w:color="auto" w:fill="auto"/>
            <w:vAlign w:val="bottom"/>
            <w:hideMark/>
          </w:tcPr>
          <w:p w14:paraId="7BBB083E"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087800885R</w:t>
            </w:r>
          </w:p>
        </w:tc>
        <w:tc>
          <w:tcPr>
            <w:tcW w:w="6789" w:type="dxa"/>
            <w:tcBorders>
              <w:top w:val="nil"/>
              <w:left w:val="nil"/>
              <w:bottom w:val="single" w:sz="4" w:space="0" w:color="auto"/>
              <w:right w:val="single" w:sz="4" w:space="0" w:color="auto"/>
            </w:tcBorders>
            <w:shd w:val="clear" w:color="auto" w:fill="auto"/>
            <w:noWrap/>
            <w:vAlign w:val="bottom"/>
            <w:hideMark/>
          </w:tcPr>
          <w:p w14:paraId="51383413" w14:textId="70778B27" w:rsidR="00AB0A2B" w:rsidRPr="00AB0A2B" w:rsidRDefault="00AB0A2B" w:rsidP="00AB0A2B">
            <w:pPr>
              <w:rPr>
                <w:rFonts w:ascii="Tw Cen MT" w:hAnsi="Tw Cen MT" w:cs="Calibri"/>
                <w:lang w:eastAsia="fr-FR"/>
              </w:rPr>
            </w:pPr>
            <w:r w:rsidRPr="00AB0A2B">
              <w:rPr>
                <w:rFonts w:ascii="Tw Cen MT" w:hAnsi="Tw Cen MT" w:cs="Calibri"/>
                <w:lang w:eastAsia="fr-FR"/>
              </w:rPr>
              <w:t>STÉ CAMARA GOLD</w:t>
            </w:r>
          </w:p>
        </w:tc>
      </w:tr>
      <w:tr w:rsidR="00AB0A2B" w:rsidRPr="00AB0A2B" w14:paraId="25E10EE3"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42404D1"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28</w:t>
            </w:r>
          </w:p>
        </w:tc>
        <w:tc>
          <w:tcPr>
            <w:tcW w:w="1480" w:type="dxa"/>
            <w:tcBorders>
              <w:top w:val="nil"/>
              <w:left w:val="nil"/>
              <w:bottom w:val="single" w:sz="4" w:space="0" w:color="auto"/>
              <w:right w:val="single" w:sz="4" w:space="0" w:color="auto"/>
            </w:tcBorders>
            <w:shd w:val="clear" w:color="auto" w:fill="auto"/>
            <w:vAlign w:val="bottom"/>
            <w:hideMark/>
          </w:tcPr>
          <w:p w14:paraId="04D996C7"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086106689B</w:t>
            </w:r>
          </w:p>
        </w:tc>
        <w:tc>
          <w:tcPr>
            <w:tcW w:w="6789" w:type="dxa"/>
            <w:tcBorders>
              <w:top w:val="nil"/>
              <w:left w:val="nil"/>
              <w:bottom w:val="single" w:sz="4" w:space="0" w:color="auto"/>
              <w:right w:val="single" w:sz="4" w:space="0" w:color="auto"/>
            </w:tcBorders>
            <w:shd w:val="clear" w:color="auto" w:fill="auto"/>
            <w:noWrap/>
            <w:vAlign w:val="bottom"/>
            <w:hideMark/>
          </w:tcPr>
          <w:p w14:paraId="2A7A0365" w14:textId="7CF83D4C" w:rsidR="00AB0A2B" w:rsidRPr="00AB0A2B" w:rsidRDefault="00AB0A2B" w:rsidP="00AB0A2B">
            <w:pPr>
              <w:rPr>
                <w:rFonts w:ascii="Tw Cen MT" w:hAnsi="Tw Cen MT" w:cs="Calibri"/>
                <w:lang w:eastAsia="fr-FR"/>
              </w:rPr>
            </w:pPr>
            <w:r w:rsidRPr="00AB0A2B">
              <w:rPr>
                <w:rFonts w:ascii="Tw Cen MT" w:hAnsi="Tw Cen MT" w:cs="Calibri"/>
                <w:lang w:eastAsia="fr-FR"/>
              </w:rPr>
              <w:t>AMBOCO GUINDO MINERAL EXPLORATION</w:t>
            </w:r>
          </w:p>
        </w:tc>
      </w:tr>
      <w:tr w:rsidR="00AB0A2B" w:rsidRPr="00AB0A2B" w14:paraId="75FCCFD9"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4604E219"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29</w:t>
            </w:r>
          </w:p>
        </w:tc>
        <w:tc>
          <w:tcPr>
            <w:tcW w:w="1480" w:type="dxa"/>
            <w:tcBorders>
              <w:top w:val="nil"/>
              <w:left w:val="nil"/>
              <w:bottom w:val="single" w:sz="4" w:space="0" w:color="auto"/>
              <w:right w:val="single" w:sz="4" w:space="0" w:color="auto"/>
            </w:tcBorders>
            <w:shd w:val="clear" w:color="auto" w:fill="auto"/>
            <w:vAlign w:val="bottom"/>
            <w:hideMark/>
          </w:tcPr>
          <w:p w14:paraId="4462A56F"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087800537M</w:t>
            </w:r>
          </w:p>
        </w:tc>
        <w:tc>
          <w:tcPr>
            <w:tcW w:w="6789" w:type="dxa"/>
            <w:tcBorders>
              <w:top w:val="nil"/>
              <w:left w:val="nil"/>
              <w:bottom w:val="single" w:sz="4" w:space="0" w:color="auto"/>
              <w:right w:val="single" w:sz="4" w:space="0" w:color="auto"/>
            </w:tcBorders>
            <w:shd w:val="clear" w:color="auto" w:fill="auto"/>
            <w:noWrap/>
            <w:vAlign w:val="bottom"/>
            <w:hideMark/>
          </w:tcPr>
          <w:p w14:paraId="177170B0" w14:textId="7A45E6E3" w:rsidR="00AB0A2B" w:rsidRPr="00AB0A2B" w:rsidRDefault="00AB0A2B" w:rsidP="00AB0A2B">
            <w:pPr>
              <w:rPr>
                <w:rFonts w:ascii="Tw Cen MT" w:hAnsi="Tw Cen MT" w:cs="Calibri"/>
                <w:lang w:eastAsia="fr-FR"/>
              </w:rPr>
            </w:pPr>
            <w:r w:rsidRPr="00AB0A2B">
              <w:rPr>
                <w:rFonts w:ascii="Tw Cen MT" w:hAnsi="Tw Cen MT" w:cs="Calibri"/>
                <w:lang w:eastAsia="fr-FR"/>
              </w:rPr>
              <w:t>ETRUSCAN RESSOURCES MALI</w:t>
            </w:r>
          </w:p>
        </w:tc>
      </w:tr>
      <w:tr w:rsidR="00AB0A2B" w:rsidRPr="00AB0A2B" w14:paraId="04DE0571"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7EBEB5B5"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30</w:t>
            </w:r>
          </w:p>
        </w:tc>
        <w:tc>
          <w:tcPr>
            <w:tcW w:w="1480" w:type="dxa"/>
            <w:tcBorders>
              <w:top w:val="nil"/>
              <w:left w:val="nil"/>
              <w:bottom w:val="single" w:sz="4" w:space="0" w:color="auto"/>
              <w:right w:val="single" w:sz="4" w:space="0" w:color="auto"/>
            </w:tcBorders>
            <w:shd w:val="clear" w:color="auto" w:fill="auto"/>
            <w:vAlign w:val="bottom"/>
            <w:hideMark/>
          </w:tcPr>
          <w:p w14:paraId="754DE6F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085132582Y</w:t>
            </w:r>
          </w:p>
        </w:tc>
        <w:tc>
          <w:tcPr>
            <w:tcW w:w="6789" w:type="dxa"/>
            <w:tcBorders>
              <w:top w:val="nil"/>
              <w:left w:val="nil"/>
              <w:bottom w:val="single" w:sz="4" w:space="0" w:color="auto"/>
              <w:right w:val="single" w:sz="4" w:space="0" w:color="auto"/>
            </w:tcBorders>
            <w:shd w:val="clear" w:color="auto" w:fill="auto"/>
            <w:noWrap/>
            <w:vAlign w:val="bottom"/>
            <w:hideMark/>
          </w:tcPr>
          <w:p w14:paraId="48A1DE68" w14:textId="2B741C97" w:rsidR="00AB0A2B" w:rsidRPr="00AB0A2B" w:rsidRDefault="00AB0A2B" w:rsidP="00AB0A2B">
            <w:pPr>
              <w:rPr>
                <w:rFonts w:ascii="Tw Cen MT" w:hAnsi="Tw Cen MT" w:cs="Calibri"/>
                <w:lang w:eastAsia="fr-FR"/>
              </w:rPr>
            </w:pPr>
            <w:r w:rsidRPr="00AB0A2B">
              <w:rPr>
                <w:rFonts w:ascii="Tw Cen MT" w:hAnsi="Tw Cen MT" w:cs="Calibri"/>
                <w:lang w:eastAsia="fr-FR"/>
              </w:rPr>
              <w:t>KOMET  MALI SARL</w:t>
            </w:r>
          </w:p>
        </w:tc>
      </w:tr>
      <w:tr w:rsidR="00AB0A2B" w:rsidRPr="00AB0A2B" w14:paraId="480136CE"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483625E"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31</w:t>
            </w:r>
          </w:p>
        </w:tc>
        <w:tc>
          <w:tcPr>
            <w:tcW w:w="1480" w:type="dxa"/>
            <w:tcBorders>
              <w:top w:val="nil"/>
              <w:left w:val="nil"/>
              <w:bottom w:val="single" w:sz="4" w:space="0" w:color="auto"/>
              <w:right w:val="single" w:sz="4" w:space="0" w:color="auto"/>
            </w:tcBorders>
            <w:shd w:val="clear" w:color="auto" w:fill="auto"/>
            <w:vAlign w:val="bottom"/>
            <w:hideMark/>
          </w:tcPr>
          <w:p w14:paraId="4F619154"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086127565X</w:t>
            </w:r>
          </w:p>
        </w:tc>
        <w:tc>
          <w:tcPr>
            <w:tcW w:w="6789" w:type="dxa"/>
            <w:tcBorders>
              <w:top w:val="nil"/>
              <w:left w:val="nil"/>
              <w:bottom w:val="single" w:sz="4" w:space="0" w:color="auto"/>
              <w:right w:val="single" w:sz="4" w:space="0" w:color="auto"/>
            </w:tcBorders>
            <w:shd w:val="clear" w:color="auto" w:fill="auto"/>
            <w:noWrap/>
            <w:vAlign w:val="bottom"/>
            <w:hideMark/>
          </w:tcPr>
          <w:p w14:paraId="6D1133E8" w14:textId="7558F3B4" w:rsidR="00AB0A2B" w:rsidRPr="00AB0A2B" w:rsidRDefault="00AB0A2B" w:rsidP="00AB0A2B">
            <w:pPr>
              <w:rPr>
                <w:rFonts w:ascii="Tw Cen MT" w:hAnsi="Tw Cen MT" w:cs="Calibri"/>
                <w:lang w:eastAsia="fr-FR"/>
              </w:rPr>
            </w:pPr>
            <w:r w:rsidRPr="00AB0A2B">
              <w:rPr>
                <w:rFonts w:ascii="Tw Cen MT" w:hAnsi="Tw Cen MT" w:cs="Calibri"/>
                <w:lang w:eastAsia="fr-FR"/>
              </w:rPr>
              <w:t>EAUX SOUTERRAINES DU MALI SARL</w:t>
            </w:r>
          </w:p>
        </w:tc>
      </w:tr>
      <w:tr w:rsidR="00AB0A2B" w:rsidRPr="00AB0A2B" w14:paraId="1A2BB109"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71A0497C"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32</w:t>
            </w:r>
          </w:p>
        </w:tc>
        <w:tc>
          <w:tcPr>
            <w:tcW w:w="1480" w:type="dxa"/>
            <w:tcBorders>
              <w:top w:val="nil"/>
              <w:left w:val="nil"/>
              <w:bottom w:val="single" w:sz="4" w:space="0" w:color="auto"/>
              <w:right w:val="single" w:sz="4" w:space="0" w:color="auto"/>
            </w:tcBorders>
            <w:shd w:val="clear" w:color="auto" w:fill="auto"/>
            <w:vAlign w:val="bottom"/>
            <w:hideMark/>
          </w:tcPr>
          <w:p w14:paraId="2D301348"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084123503C</w:t>
            </w:r>
          </w:p>
        </w:tc>
        <w:tc>
          <w:tcPr>
            <w:tcW w:w="6789" w:type="dxa"/>
            <w:tcBorders>
              <w:top w:val="nil"/>
              <w:left w:val="nil"/>
              <w:bottom w:val="single" w:sz="4" w:space="0" w:color="auto"/>
              <w:right w:val="single" w:sz="4" w:space="0" w:color="auto"/>
            </w:tcBorders>
            <w:shd w:val="clear" w:color="auto" w:fill="auto"/>
            <w:noWrap/>
            <w:vAlign w:val="bottom"/>
            <w:hideMark/>
          </w:tcPr>
          <w:p w14:paraId="2860871A" w14:textId="0380B186" w:rsidR="00AB0A2B" w:rsidRPr="00AB0A2B" w:rsidRDefault="00AB0A2B" w:rsidP="00AB0A2B">
            <w:pPr>
              <w:rPr>
                <w:rFonts w:ascii="Tw Cen MT" w:hAnsi="Tw Cen MT" w:cs="Calibri"/>
                <w:lang w:eastAsia="fr-FR"/>
              </w:rPr>
            </w:pPr>
            <w:r w:rsidRPr="00AB0A2B">
              <w:rPr>
                <w:rFonts w:ascii="Tw Cen MT" w:hAnsi="Tw Cen MT" w:cs="Calibri"/>
                <w:lang w:eastAsia="fr-FR"/>
              </w:rPr>
              <w:t>DRAGOLD SA</w:t>
            </w:r>
          </w:p>
        </w:tc>
      </w:tr>
      <w:tr w:rsidR="00AB0A2B" w:rsidRPr="00AB0A2B" w14:paraId="285C4FF2"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19336FC7"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33</w:t>
            </w:r>
          </w:p>
        </w:tc>
        <w:tc>
          <w:tcPr>
            <w:tcW w:w="1480" w:type="dxa"/>
            <w:tcBorders>
              <w:top w:val="nil"/>
              <w:left w:val="nil"/>
              <w:bottom w:val="single" w:sz="4" w:space="0" w:color="auto"/>
              <w:right w:val="single" w:sz="4" w:space="0" w:color="auto"/>
            </w:tcBorders>
            <w:shd w:val="clear" w:color="auto" w:fill="auto"/>
            <w:vAlign w:val="bottom"/>
            <w:hideMark/>
          </w:tcPr>
          <w:p w14:paraId="6553E009"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087800877E</w:t>
            </w:r>
          </w:p>
        </w:tc>
        <w:tc>
          <w:tcPr>
            <w:tcW w:w="6789" w:type="dxa"/>
            <w:tcBorders>
              <w:top w:val="nil"/>
              <w:left w:val="nil"/>
              <w:bottom w:val="single" w:sz="4" w:space="0" w:color="auto"/>
              <w:right w:val="single" w:sz="4" w:space="0" w:color="auto"/>
            </w:tcBorders>
            <w:shd w:val="clear" w:color="auto" w:fill="auto"/>
            <w:noWrap/>
            <w:vAlign w:val="bottom"/>
            <w:hideMark/>
          </w:tcPr>
          <w:p w14:paraId="5DC6A2B1" w14:textId="36305756" w:rsidR="00AB0A2B" w:rsidRPr="00AB0A2B" w:rsidRDefault="00AB0A2B" w:rsidP="00AB0A2B">
            <w:pPr>
              <w:rPr>
                <w:rFonts w:ascii="Tw Cen MT" w:hAnsi="Tw Cen MT" w:cs="Calibri"/>
                <w:lang w:eastAsia="fr-FR"/>
              </w:rPr>
            </w:pPr>
            <w:r w:rsidRPr="00AB0A2B">
              <w:rPr>
                <w:rFonts w:ascii="Tw Cen MT" w:hAnsi="Tw Cen MT" w:cs="Calibri"/>
                <w:lang w:eastAsia="fr-FR"/>
              </w:rPr>
              <w:t xml:space="preserve"> STÉ SAB INTERNATIONAL SARL</w:t>
            </w:r>
          </w:p>
        </w:tc>
      </w:tr>
      <w:tr w:rsidR="00AB0A2B" w:rsidRPr="00AB0A2B" w14:paraId="6E591277"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7873C31D"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34</w:t>
            </w:r>
          </w:p>
        </w:tc>
        <w:tc>
          <w:tcPr>
            <w:tcW w:w="1480" w:type="dxa"/>
            <w:tcBorders>
              <w:top w:val="nil"/>
              <w:left w:val="nil"/>
              <w:bottom w:val="single" w:sz="4" w:space="0" w:color="auto"/>
              <w:right w:val="single" w:sz="4" w:space="0" w:color="auto"/>
            </w:tcBorders>
            <w:shd w:val="clear" w:color="auto" w:fill="auto"/>
            <w:vAlign w:val="bottom"/>
            <w:hideMark/>
          </w:tcPr>
          <w:p w14:paraId="0C11255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081121299G</w:t>
            </w:r>
          </w:p>
        </w:tc>
        <w:tc>
          <w:tcPr>
            <w:tcW w:w="6789" w:type="dxa"/>
            <w:tcBorders>
              <w:top w:val="nil"/>
              <w:left w:val="nil"/>
              <w:bottom w:val="single" w:sz="4" w:space="0" w:color="auto"/>
              <w:right w:val="single" w:sz="4" w:space="0" w:color="auto"/>
            </w:tcBorders>
            <w:shd w:val="clear" w:color="auto" w:fill="auto"/>
            <w:noWrap/>
            <w:vAlign w:val="bottom"/>
            <w:hideMark/>
          </w:tcPr>
          <w:p w14:paraId="08D1A950" w14:textId="68B2C5CD" w:rsidR="00AB0A2B" w:rsidRPr="00AB0A2B" w:rsidRDefault="00AB0A2B" w:rsidP="00AB0A2B">
            <w:pPr>
              <w:rPr>
                <w:rFonts w:ascii="Tw Cen MT" w:hAnsi="Tw Cen MT" w:cs="Calibri"/>
                <w:lang w:eastAsia="fr-FR"/>
              </w:rPr>
            </w:pPr>
            <w:r w:rsidRPr="00AB0A2B">
              <w:rPr>
                <w:rFonts w:ascii="Tw Cen MT" w:hAnsi="Tw Cen MT" w:cs="Calibri"/>
                <w:lang w:eastAsia="fr-FR"/>
              </w:rPr>
              <w:t>ABAS GOLD SARL</w:t>
            </w:r>
          </w:p>
        </w:tc>
      </w:tr>
      <w:tr w:rsidR="00AB0A2B" w:rsidRPr="00AB0A2B" w14:paraId="537D561F"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6A26461B"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35</w:t>
            </w:r>
          </w:p>
        </w:tc>
        <w:tc>
          <w:tcPr>
            <w:tcW w:w="1480" w:type="dxa"/>
            <w:tcBorders>
              <w:top w:val="nil"/>
              <w:left w:val="nil"/>
              <w:bottom w:val="single" w:sz="4" w:space="0" w:color="auto"/>
              <w:right w:val="single" w:sz="4" w:space="0" w:color="auto"/>
            </w:tcBorders>
            <w:shd w:val="clear" w:color="auto" w:fill="auto"/>
            <w:vAlign w:val="bottom"/>
            <w:hideMark/>
          </w:tcPr>
          <w:p w14:paraId="595C62C8"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087800965D</w:t>
            </w:r>
          </w:p>
        </w:tc>
        <w:tc>
          <w:tcPr>
            <w:tcW w:w="6789" w:type="dxa"/>
            <w:tcBorders>
              <w:top w:val="nil"/>
              <w:left w:val="nil"/>
              <w:bottom w:val="single" w:sz="4" w:space="0" w:color="auto"/>
              <w:right w:val="single" w:sz="4" w:space="0" w:color="auto"/>
            </w:tcBorders>
            <w:shd w:val="clear" w:color="auto" w:fill="auto"/>
            <w:noWrap/>
            <w:vAlign w:val="bottom"/>
            <w:hideMark/>
          </w:tcPr>
          <w:p w14:paraId="48467EDA" w14:textId="204ED8BB" w:rsidR="00AB0A2B" w:rsidRPr="00AB0A2B" w:rsidRDefault="00AB0A2B" w:rsidP="00AB0A2B">
            <w:pPr>
              <w:rPr>
                <w:rFonts w:ascii="Tw Cen MT" w:hAnsi="Tw Cen MT" w:cs="Calibri"/>
                <w:lang w:eastAsia="fr-FR"/>
              </w:rPr>
            </w:pPr>
            <w:r w:rsidRPr="00AB0A2B">
              <w:rPr>
                <w:rFonts w:ascii="Tw Cen MT" w:hAnsi="Tw Cen MT" w:cs="Calibri"/>
                <w:lang w:eastAsia="fr-FR"/>
              </w:rPr>
              <w:t>AKASHA SARL</w:t>
            </w:r>
          </w:p>
        </w:tc>
      </w:tr>
      <w:tr w:rsidR="00AB0A2B" w:rsidRPr="00AB0A2B" w14:paraId="456BB2A8"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0A5DD6CE"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36</w:t>
            </w:r>
          </w:p>
        </w:tc>
        <w:tc>
          <w:tcPr>
            <w:tcW w:w="1480" w:type="dxa"/>
            <w:tcBorders>
              <w:top w:val="nil"/>
              <w:left w:val="nil"/>
              <w:bottom w:val="single" w:sz="4" w:space="0" w:color="auto"/>
              <w:right w:val="single" w:sz="4" w:space="0" w:color="auto"/>
            </w:tcBorders>
            <w:shd w:val="clear" w:color="auto" w:fill="auto"/>
            <w:vAlign w:val="bottom"/>
            <w:hideMark/>
          </w:tcPr>
          <w:p w14:paraId="4D0653C2"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084116322J</w:t>
            </w:r>
          </w:p>
        </w:tc>
        <w:tc>
          <w:tcPr>
            <w:tcW w:w="6789" w:type="dxa"/>
            <w:tcBorders>
              <w:top w:val="nil"/>
              <w:left w:val="nil"/>
              <w:bottom w:val="single" w:sz="4" w:space="0" w:color="auto"/>
              <w:right w:val="single" w:sz="4" w:space="0" w:color="auto"/>
            </w:tcBorders>
            <w:shd w:val="clear" w:color="auto" w:fill="auto"/>
            <w:noWrap/>
            <w:vAlign w:val="bottom"/>
            <w:hideMark/>
          </w:tcPr>
          <w:p w14:paraId="06C818CA" w14:textId="433872BA" w:rsidR="00AB0A2B" w:rsidRPr="00AB0A2B" w:rsidRDefault="00AB0A2B" w:rsidP="00AB0A2B">
            <w:pPr>
              <w:rPr>
                <w:rFonts w:ascii="Tw Cen MT" w:hAnsi="Tw Cen MT" w:cs="Calibri"/>
                <w:lang w:eastAsia="fr-FR"/>
              </w:rPr>
            </w:pPr>
            <w:r w:rsidRPr="00AB0A2B">
              <w:rPr>
                <w:rFonts w:ascii="Tw Cen MT" w:hAnsi="Tw Cen MT" w:cs="Calibri"/>
                <w:lang w:eastAsia="fr-FR"/>
              </w:rPr>
              <w:t>BIRIMIAN GOLD MALI SARL</w:t>
            </w:r>
          </w:p>
        </w:tc>
      </w:tr>
      <w:tr w:rsidR="00AB0A2B" w:rsidRPr="00AB0A2B" w14:paraId="69FC6729"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4FB1B67D"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37</w:t>
            </w:r>
          </w:p>
        </w:tc>
        <w:tc>
          <w:tcPr>
            <w:tcW w:w="1480" w:type="dxa"/>
            <w:tcBorders>
              <w:top w:val="nil"/>
              <w:left w:val="nil"/>
              <w:bottom w:val="single" w:sz="4" w:space="0" w:color="auto"/>
              <w:right w:val="single" w:sz="4" w:space="0" w:color="auto"/>
            </w:tcBorders>
            <w:shd w:val="clear" w:color="auto" w:fill="auto"/>
            <w:vAlign w:val="bottom"/>
            <w:hideMark/>
          </w:tcPr>
          <w:p w14:paraId="6FB2C2FB"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041005122C</w:t>
            </w:r>
          </w:p>
        </w:tc>
        <w:tc>
          <w:tcPr>
            <w:tcW w:w="6789" w:type="dxa"/>
            <w:tcBorders>
              <w:top w:val="nil"/>
              <w:left w:val="nil"/>
              <w:bottom w:val="single" w:sz="4" w:space="0" w:color="auto"/>
              <w:right w:val="single" w:sz="4" w:space="0" w:color="auto"/>
            </w:tcBorders>
            <w:shd w:val="clear" w:color="auto" w:fill="auto"/>
            <w:noWrap/>
            <w:vAlign w:val="bottom"/>
            <w:hideMark/>
          </w:tcPr>
          <w:p w14:paraId="37EF14C4" w14:textId="040D5983" w:rsidR="00AB0A2B" w:rsidRPr="00AB0A2B" w:rsidRDefault="00AB0A2B" w:rsidP="00AB0A2B">
            <w:pPr>
              <w:rPr>
                <w:rFonts w:ascii="Tw Cen MT" w:hAnsi="Tw Cen MT" w:cs="Calibri"/>
                <w:lang w:eastAsia="fr-FR"/>
              </w:rPr>
            </w:pPr>
            <w:r w:rsidRPr="00AB0A2B">
              <w:rPr>
                <w:rFonts w:ascii="Tw Cen MT" w:hAnsi="Tw Cen MT" w:cs="Calibri"/>
                <w:lang w:eastAsia="fr-FR"/>
              </w:rPr>
              <w:t>CHAKA MINING SARL</w:t>
            </w:r>
          </w:p>
        </w:tc>
      </w:tr>
      <w:tr w:rsidR="00AB0A2B" w:rsidRPr="00AB0A2B" w14:paraId="5D3029EE"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130E866F"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38</w:t>
            </w:r>
          </w:p>
        </w:tc>
        <w:tc>
          <w:tcPr>
            <w:tcW w:w="1480" w:type="dxa"/>
            <w:tcBorders>
              <w:top w:val="nil"/>
              <w:left w:val="nil"/>
              <w:bottom w:val="single" w:sz="4" w:space="0" w:color="auto"/>
              <w:right w:val="single" w:sz="4" w:space="0" w:color="auto"/>
            </w:tcBorders>
            <w:shd w:val="clear" w:color="auto" w:fill="auto"/>
            <w:vAlign w:val="bottom"/>
            <w:hideMark/>
          </w:tcPr>
          <w:p w14:paraId="2F481170"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084113960G</w:t>
            </w:r>
          </w:p>
        </w:tc>
        <w:tc>
          <w:tcPr>
            <w:tcW w:w="6789" w:type="dxa"/>
            <w:tcBorders>
              <w:top w:val="nil"/>
              <w:left w:val="nil"/>
              <w:bottom w:val="single" w:sz="4" w:space="0" w:color="auto"/>
              <w:right w:val="single" w:sz="4" w:space="0" w:color="auto"/>
            </w:tcBorders>
            <w:shd w:val="clear" w:color="auto" w:fill="auto"/>
            <w:noWrap/>
            <w:vAlign w:val="bottom"/>
            <w:hideMark/>
          </w:tcPr>
          <w:p w14:paraId="7AD1C99B" w14:textId="339ED436" w:rsidR="00AB0A2B" w:rsidRPr="00AB0A2B" w:rsidRDefault="00AB0A2B" w:rsidP="00AB0A2B">
            <w:pPr>
              <w:rPr>
                <w:rFonts w:ascii="Tw Cen MT" w:hAnsi="Tw Cen MT" w:cs="Calibri"/>
                <w:lang w:eastAsia="fr-FR"/>
              </w:rPr>
            </w:pPr>
            <w:r w:rsidRPr="00AB0A2B">
              <w:rPr>
                <w:rFonts w:ascii="Tw Cen MT" w:hAnsi="Tw Cen MT" w:cs="Calibri"/>
                <w:lang w:eastAsia="fr-FR"/>
              </w:rPr>
              <w:t>DS CONSULTING SARL</w:t>
            </w:r>
          </w:p>
        </w:tc>
      </w:tr>
      <w:tr w:rsidR="00AB0A2B" w:rsidRPr="00AB0A2B" w14:paraId="267FE395"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1BC57B96"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39</w:t>
            </w:r>
          </w:p>
        </w:tc>
        <w:tc>
          <w:tcPr>
            <w:tcW w:w="1480" w:type="dxa"/>
            <w:tcBorders>
              <w:top w:val="nil"/>
              <w:left w:val="nil"/>
              <w:bottom w:val="single" w:sz="4" w:space="0" w:color="auto"/>
              <w:right w:val="single" w:sz="4" w:space="0" w:color="auto"/>
            </w:tcBorders>
            <w:shd w:val="clear" w:color="auto" w:fill="auto"/>
            <w:vAlign w:val="bottom"/>
            <w:hideMark/>
          </w:tcPr>
          <w:p w14:paraId="0222E118"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082241276A</w:t>
            </w:r>
          </w:p>
        </w:tc>
        <w:tc>
          <w:tcPr>
            <w:tcW w:w="6789" w:type="dxa"/>
            <w:tcBorders>
              <w:top w:val="nil"/>
              <w:left w:val="nil"/>
              <w:bottom w:val="single" w:sz="4" w:space="0" w:color="auto"/>
              <w:right w:val="single" w:sz="4" w:space="0" w:color="auto"/>
            </w:tcBorders>
            <w:shd w:val="clear" w:color="auto" w:fill="auto"/>
            <w:noWrap/>
            <w:vAlign w:val="bottom"/>
            <w:hideMark/>
          </w:tcPr>
          <w:p w14:paraId="0F2200A8" w14:textId="49E82823" w:rsidR="00AB0A2B" w:rsidRPr="00AB0A2B" w:rsidRDefault="00AB0A2B" w:rsidP="00AB0A2B">
            <w:pPr>
              <w:rPr>
                <w:rFonts w:ascii="Tw Cen MT" w:hAnsi="Tw Cen MT" w:cs="Calibri"/>
                <w:lang w:eastAsia="fr-FR"/>
              </w:rPr>
            </w:pPr>
            <w:r w:rsidRPr="00AB0A2B">
              <w:rPr>
                <w:rFonts w:ascii="Tw Cen MT" w:hAnsi="Tw Cen MT" w:cs="Calibri"/>
                <w:lang w:eastAsia="fr-FR"/>
              </w:rPr>
              <w:t>FOND DINVESTISSEMENT MAHAMADOU OUSMANE COULIBALY</w:t>
            </w:r>
          </w:p>
        </w:tc>
      </w:tr>
      <w:tr w:rsidR="00AB0A2B" w:rsidRPr="00AB0A2B" w14:paraId="07959336"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134A9E9A"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40</w:t>
            </w:r>
          </w:p>
        </w:tc>
        <w:tc>
          <w:tcPr>
            <w:tcW w:w="1480" w:type="dxa"/>
            <w:tcBorders>
              <w:top w:val="nil"/>
              <w:left w:val="nil"/>
              <w:bottom w:val="single" w:sz="4" w:space="0" w:color="auto"/>
              <w:right w:val="single" w:sz="4" w:space="0" w:color="auto"/>
            </w:tcBorders>
            <w:shd w:val="clear" w:color="auto" w:fill="auto"/>
            <w:vAlign w:val="bottom"/>
            <w:hideMark/>
          </w:tcPr>
          <w:p w14:paraId="30B33AC2"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082214455N</w:t>
            </w:r>
          </w:p>
        </w:tc>
        <w:tc>
          <w:tcPr>
            <w:tcW w:w="6789" w:type="dxa"/>
            <w:tcBorders>
              <w:top w:val="nil"/>
              <w:left w:val="nil"/>
              <w:bottom w:val="single" w:sz="4" w:space="0" w:color="auto"/>
              <w:right w:val="single" w:sz="4" w:space="0" w:color="auto"/>
            </w:tcBorders>
            <w:shd w:val="clear" w:color="auto" w:fill="auto"/>
            <w:noWrap/>
            <w:vAlign w:val="bottom"/>
            <w:hideMark/>
          </w:tcPr>
          <w:p w14:paraId="66E202E2" w14:textId="6839150B" w:rsidR="00AB0A2B" w:rsidRPr="00AB0A2B" w:rsidRDefault="00AB0A2B" w:rsidP="00AB0A2B">
            <w:pPr>
              <w:rPr>
                <w:rFonts w:ascii="Tw Cen MT" w:hAnsi="Tw Cen MT" w:cs="Calibri"/>
                <w:lang w:eastAsia="fr-FR"/>
              </w:rPr>
            </w:pPr>
            <w:r w:rsidRPr="00AB0A2B">
              <w:rPr>
                <w:rFonts w:ascii="Tw Cen MT" w:hAnsi="Tw Cen MT" w:cs="Calibri"/>
                <w:lang w:eastAsia="fr-FR"/>
              </w:rPr>
              <w:t>GECOM SARL</w:t>
            </w:r>
          </w:p>
        </w:tc>
      </w:tr>
      <w:tr w:rsidR="00AB0A2B" w:rsidRPr="00AB0A2B" w14:paraId="3FC3D349"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103D42CE"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41</w:t>
            </w:r>
          </w:p>
        </w:tc>
        <w:tc>
          <w:tcPr>
            <w:tcW w:w="1480" w:type="dxa"/>
            <w:tcBorders>
              <w:top w:val="nil"/>
              <w:left w:val="nil"/>
              <w:bottom w:val="single" w:sz="4" w:space="0" w:color="auto"/>
              <w:right w:val="single" w:sz="4" w:space="0" w:color="auto"/>
            </w:tcBorders>
            <w:shd w:val="clear" w:color="auto" w:fill="auto"/>
            <w:vAlign w:val="bottom"/>
            <w:hideMark/>
          </w:tcPr>
          <w:p w14:paraId="1938978E"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087800574V</w:t>
            </w:r>
          </w:p>
        </w:tc>
        <w:tc>
          <w:tcPr>
            <w:tcW w:w="6789" w:type="dxa"/>
            <w:tcBorders>
              <w:top w:val="nil"/>
              <w:left w:val="nil"/>
              <w:bottom w:val="single" w:sz="4" w:space="0" w:color="auto"/>
              <w:right w:val="single" w:sz="4" w:space="0" w:color="auto"/>
            </w:tcBorders>
            <w:shd w:val="clear" w:color="auto" w:fill="auto"/>
            <w:noWrap/>
            <w:vAlign w:val="bottom"/>
            <w:hideMark/>
          </w:tcPr>
          <w:p w14:paraId="2B1AD756" w14:textId="3FD90726" w:rsidR="00AB0A2B" w:rsidRPr="00AB0A2B" w:rsidRDefault="00AB0A2B" w:rsidP="00AB0A2B">
            <w:pPr>
              <w:rPr>
                <w:rFonts w:ascii="Tw Cen MT" w:hAnsi="Tw Cen MT" w:cs="Calibri"/>
                <w:lang w:eastAsia="fr-FR"/>
              </w:rPr>
            </w:pPr>
            <w:r w:rsidRPr="00AB0A2B">
              <w:rPr>
                <w:rFonts w:ascii="Tw Cen MT" w:hAnsi="Tw Cen MT" w:cs="Calibri"/>
                <w:lang w:eastAsia="fr-FR"/>
              </w:rPr>
              <w:t>GOLDEN SPEAR MALI SARL</w:t>
            </w:r>
          </w:p>
        </w:tc>
      </w:tr>
      <w:tr w:rsidR="00AB0A2B" w:rsidRPr="00AB0A2B" w14:paraId="5812533A"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68D7794"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42</w:t>
            </w:r>
          </w:p>
        </w:tc>
        <w:tc>
          <w:tcPr>
            <w:tcW w:w="1480" w:type="dxa"/>
            <w:tcBorders>
              <w:top w:val="nil"/>
              <w:left w:val="nil"/>
              <w:bottom w:val="single" w:sz="4" w:space="0" w:color="auto"/>
              <w:right w:val="single" w:sz="4" w:space="0" w:color="auto"/>
            </w:tcBorders>
            <w:shd w:val="clear" w:color="auto" w:fill="auto"/>
            <w:vAlign w:val="bottom"/>
            <w:hideMark/>
          </w:tcPr>
          <w:p w14:paraId="0C313D5D"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084123504M</w:t>
            </w:r>
          </w:p>
        </w:tc>
        <w:tc>
          <w:tcPr>
            <w:tcW w:w="6789" w:type="dxa"/>
            <w:tcBorders>
              <w:top w:val="nil"/>
              <w:left w:val="nil"/>
              <w:bottom w:val="single" w:sz="4" w:space="0" w:color="auto"/>
              <w:right w:val="single" w:sz="4" w:space="0" w:color="auto"/>
            </w:tcBorders>
            <w:shd w:val="clear" w:color="auto" w:fill="auto"/>
            <w:noWrap/>
            <w:vAlign w:val="bottom"/>
            <w:hideMark/>
          </w:tcPr>
          <w:p w14:paraId="580BCF08" w14:textId="45AE0E45" w:rsidR="00AB0A2B" w:rsidRPr="00AB0A2B" w:rsidRDefault="00AB0A2B" w:rsidP="00AB0A2B">
            <w:pPr>
              <w:rPr>
                <w:rFonts w:ascii="Tw Cen MT" w:hAnsi="Tw Cen MT" w:cs="Calibri"/>
                <w:lang w:eastAsia="fr-FR"/>
              </w:rPr>
            </w:pPr>
            <w:r w:rsidRPr="00AB0A2B">
              <w:rPr>
                <w:rFonts w:ascii="Tw Cen MT" w:hAnsi="Tw Cen MT" w:cs="Calibri"/>
                <w:lang w:eastAsia="fr-FR"/>
              </w:rPr>
              <w:t>GOLDROXS MALI SA</w:t>
            </w:r>
          </w:p>
        </w:tc>
      </w:tr>
      <w:tr w:rsidR="00AB0A2B" w:rsidRPr="00AB0A2B" w14:paraId="599AEE92"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20FB26F"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lastRenderedPageBreak/>
              <w:t>43</w:t>
            </w:r>
          </w:p>
        </w:tc>
        <w:tc>
          <w:tcPr>
            <w:tcW w:w="1480" w:type="dxa"/>
            <w:tcBorders>
              <w:top w:val="nil"/>
              <w:left w:val="nil"/>
              <w:bottom w:val="single" w:sz="4" w:space="0" w:color="auto"/>
              <w:right w:val="single" w:sz="4" w:space="0" w:color="auto"/>
            </w:tcBorders>
            <w:shd w:val="clear" w:color="auto" w:fill="auto"/>
            <w:vAlign w:val="bottom"/>
            <w:hideMark/>
          </w:tcPr>
          <w:p w14:paraId="3F3D2869"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087800783K</w:t>
            </w:r>
          </w:p>
        </w:tc>
        <w:tc>
          <w:tcPr>
            <w:tcW w:w="6789" w:type="dxa"/>
            <w:tcBorders>
              <w:top w:val="nil"/>
              <w:left w:val="nil"/>
              <w:bottom w:val="single" w:sz="4" w:space="0" w:color="auto"/>
              <w:right w:val="single" w:sz="4" w:space="0" w:color="auto"/>
            </w:tcBorders>
            <w:shd w:val="clear" w:color="auto" w:fill="auto"/>
            <w:noWrap/>
            <w:vAlign w:val="bottom"/>
            <w:hideMark/>
          </w:tcPr>
          <w:p w14:paraId="2844270D" w14:textId="0AE64D87" w:rsidR="00AB0A2B" w:rsidRPr="00AB0A2B" w:rsidRDefault="00AB0A2B" w:rsidP="00AB0A2B">
            <w:pPr>
              <w:rPr>
                <w:rFonts w:ascii="Tw Cen MT" w:hAnsi="Tw Cen MT" w:cs="Calibri"/>
                <w:lang w:eastAsia="fr-FR"/>
              </w:rPr>
            </w:pPr>
            <w:r w:rsidRPr="00AB0A2B">
              <w:rPr>
                <w:rFonts w:ascii="Tw Cen MT" w:hAnsi="Tw Cen MT" w:cs="Calibri"/>
                <w:lang w:eastAsia="fr-FR"/>
              </w:rPr>
              <w:t>GREAT QUEST MALI SA</w:t>
            </w:r>
          </w:p>
        </w:tc>
      </w:tr>
      <w:tr w:rsidR="00AB0A2B" w:rsidRPr="00AB0A2B" w14:paraId="400E66FB"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27BF3081"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44</w:t>
            </w:r>
          </w:p>
        </w:tc>
        <w:tc>
          <w:tcPr>
            <w:tcW w:w="1480" w:type="dxa"/>
            <w:tcBorders>
              <w:top w:val="nil"/>
              <w:left w:val="nil"/>
              <w:bottom w:val="single" w:sz="4" w:space="0" w:color="auto"/>
              <w:right w:val="single" w:sz="4" w:space="0" w:color="auto"/>
            </w:tcBorders>
            <w:shd w:val="clear" w:color="auto" w:fill="auto"/>
            <w:vAlign w:val="bottom"/>
            <w:hideMark/>
          </w:tcPr>
          <w:p w14:paraId="6CB49A0E"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082234708L</w:t>
            </w:r>
          </w:p>
        </w:tc>
        <w:tc>
          <w:tcPr>
            <w:tcW w:w="6789" w:type="dxa"/>
            <w:tcBorders>
              <w:top w:val="nil"/>
              <w:left w:val="nil"/>
              <w:bottom w:val="single" w:sz="4" w:space="0" w:color="auto"/>
              <w:right w:val="single" w:sz="4" w:space="0" w:color="auto"/>
            </w:tcBorders>
            <w:shd w:val="clear" w:color="auto" w:fill="auto"/>
            <w:noWrap/>
            <w:vAlign w:val="bottom"/>
            <w:hideMark/>
          </w:tcPr>
          <w:p w14:paraId="6786F914" w14:textId="61BAAF20" w:rsidR="00AB0A2B" w:rsidRPr="00AB0A2B" w:rsidRDefault="00AB0A2B" w:rsidP="00AB0A2B">
            <w:pPr>
              <w:rPr>
                <w:rFonts w:ascii="Tw Cen MT" w:hAnsi="Tw Cen MT" w:cs="Calibri"/>
                <w:lang w:eastAsia="fr-FR"/>
              </w:rPr>
            </w:pPr>
            <w:r w:rsidRPr="00AB0A2B">
              <w:rPr>
                <w:rFonts w:ascii="Tw Cen MT" w:hAnsi="Tw Cen MT" w:cs="Calibri"/>
                <w:lang w:eastAsia="fr-FR"/>
              </w:rPr>
              <w:t>JINLONG SARL</w:t>
            </w:r>
          </w:p>
        </w:tc>
      </w:tr>
      <w:tr w:rsidR="00AB0A2B" w:rsidRPr="00AB0A2B" w14:paraId="1EE63E40"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0391888C"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45</w:t>
            </w:r>
          </w:p>
        </w:tc>
        <w:tc>
          <w:tcPr>
            <w:tcW w:w="1480" w:type="dxa"/>
            <w:tcBorders>
              <w:top w:val="nil"/>
              <w:left w:val="nil"/>
              <w:bottom w:val="single" w:sz="4" w:space="0" w:color="auto"/>
              <w:right w:val="single" w:sz="4" w:space="0" w:color="auto"/>
            </w:tcBorders>
            <w:shd w:val="clear" w:color="auto" w:fill="auto"/>
            <w:vAlign w:val="bottom"/>
            <w:hideMark/>
          </w:tcPr>
          <w:p w14:paraId="013022C7"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083331966D</w:t>
            </w:r>
          </w:p>
        </w:tc>
        <w:tc>
          <w:tcPr>
            <w:tcW w:w="6789" w:type="dxa"/>
            <w:tcBorders>
              <w:top w:val="nil"/>
              <w:left w:val="nil"/>
              <w:bottom w:val="single" w:sz="4" w:space="0" w:color="auto"/>
              <w:right w:val="single" w:sz="4" w:space="0" w:color="auto"/>
            </w:tcBorders>
            <w:shd w:val="clear" w:color="auto" w:fill="auto"/>
            <w:noWrap/>
            <w:vAlign w:val="bottom"/>
            <w:hideMark/>
          </w:tcPr>
          <w:p w14:paraId="2EB2DD73" w14:textId="313EA2B6" w:rsidR="00AB0A2B" w:rsidRPr="00AB0A2B" w:rsidRDefault="00AB0A2B" w:rsidP="00AB0A2B">
            <w:pPr>
              <w:rPr>
                <w:rFonts w:ascii="Tw Cen MT" w:hAnsi="Tw Cen MT" w:cs="Calibri"/>
                <w:lang w:eastAsia="fr-FR"/>
              </w:rPr>
            </w:pPr>
            <w:r w:rsidRPr="00AB0A2B">
              <w:rPr>
                <w:rFonts w:ascii="Tw Cen MT" w:hAnsi="Tw Cen MT" w:cs="Calibri"/>
                <w:lang w:eastAsia="fr-FR"/>
              </w:rPr>
              <w:t>KPB NET  SARL</w:t>
            </w:r>
          </w:p>
        </w:tc>
      </w:tr>
      <w:tr w:rsidR="00AB0A2B" w:rsidRPr="00AB0A2B" w14:paraId="080FDE61"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01EEE872"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46</w:t>
            </w:r>
          </w:p>
        </w:tc>
        <w:tc>
          <w:tcPr>
            <w:tcW w:w="1480" w:type="dxa"/>
            <w:tcBorders>
              <w:top w:val="nil"/>
              <w:left w:val="nil"/>
              <w:bottom w:val="single" w:sz="4" w:space="0" w:color="auto"/>
              <w:right w:val="single" w:sz="4" w:space="0" w:color="auto"/>
            </w:tcBorders>
            <w:shd w:val="clear" w:color="auto" w:fill="auto"/>
            <w:vAlign w:val="bottom"/>
            <w:hideMark/>
          </w:tcPr>
          <w:p w14:paraId="4558084F"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082223002V</w:t>
            </w:r>
          </w:p>
        </w:tc>
        <w:tc>
          <w:tcPr>
            <w:tcW w:w="6789" w:type="dxa"/>
            <w:tcBorders>
              <w:top w:val="nil"/>
              <w:left w:val="nil"/>
              <w:bottom w:val="single" w:sz="4" w:space="0" w:color="auto"/>
              <w:right w:val="single" w:sz="4" w:space="0" w:color="auto"/>
            </w:tcBorders>
            <w:shd w:val="clear" w:color="auto" w:fill="auto"/>
            <w:noWrap/>
            <w:vAlign w:val="bottom"/>
            <w:hideMark/>
          </w:tcPr>
          <w:p w14:paraId="5D43AB4F" w14:textId="30AD9A21" w:rsidR="00AB0A2B" w:rsidRPr="00AB0A2B" w:rsidRDefault="00AB0A2B" w:rsidP="00AB0A2B">
            <w:pPr>
              <w:rPr>
                <w:rFonts w:ascii="Tw Cen MT" w:hAnsi="Tw Cen MT" w:cs="Calibri"/>
                <w:lang w:eastAsia="fr-FR"/>
              </w:rPr>
            </w:pPr>
            <w:r w:rsidRPr="00AB0A2B">
              <w:rPr>
                <w:rFonts w:ascii="Tw Cen MT" w:hAnsi="Tw Cen MT" w:cs="Calibri"/>
                <w:lang w:eastAsia="fr-FR"/>
              </w:rPr>
              <w:t>L'HORIZON SARL</w:t>
            </w:r>
          </w:p>
        </w:tc>
      </w:tr>
      <w:tr w:rsidR="00AB0A2B" w:rsidRPr="00AB0A2B" w14:paraId="5863D76C"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63D2D932"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47</w:t>
            </w:r>
          </w:p>
        </w:tc>
        <w:tc>
          <w:tcPr>
            <w:tcW w:w="1480" w:type="dxa"/>
            <w:tcBorders>
              <w:top w:val="nil"/>
              <w:left w:val="nil"/>
              <w:bottom w:val="single" w:sz="4" w:space="0" w:color="auto"/>
              <w:right w:val="single" w:sz="4" w:space="0" w:color="auto"/>
            </w:tcBorders>
            <w:shd w:val="clear" w:color="auto" w:fill="auto"/>
            <w:vAlign w:val="bottom"/>
            <w:hideMark/>
          </w:tcPr>
          <w:p w14:paraId="2AE34894"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025027089P</w:t>
            </w:r>
          </w:p>
        </w:tc>
        <w:tc>
          <w:tcPr>
            <w:tcW w:w="6789" w:type="dxa"/>
            <w:tcBorders>
              <w:top w:val="nil"/>
              <w:left w:val="nil"/>
              <w:bottom w:val="single" w:sz="4" w:space="0" w:color="auto"/>
              <w:right w:val="single" w:sz="4" w:space="0" w:color="auto"/>
            </w:tcBorders>
            <w:shd w:val="clear" w:color="auto" w:fill="auto"/>
            <w:noWrap/>
            <w:vAlign w:val="bottom"/>
            <w:hideMark/>
          </w:tcPr>
          <w:p w14:paraId="6C642171" w14:textId="5B9798C6" w:rsidR="00AB0A2B" w:rsidRPr="00AB0A2B" w:rsidRDefault="00AB0A2B" w:rsidP="00AB0A2B">
            <w:pPr>
              <w:rPr>
                <w:rFonts w:ascii="Tw Cen MT" w:hAnsi="Tw Cen MT" w:cs="Calibri"/>
                <w:lang w:eastAsia="fr-FR"/>
              </w:rPr>
            </w:pPr>
            <w:r w:rsidRPr="00AB0A2B">
              <w:rPr>
                <w:rFonts w:ascii="Tw Cen MT" w:hAnsi="Tw Cen MT" w:cs="Calibri"/>
                <w:lang w:eastAsia="fr-FR"/>
              </w:rPr>
              <w:t>MANDE OR KABA SARL</w:t>
            </w:r>
          </w:p>
        </w:tc>
      </w:tr>
      <w:tr w:rsidR="00AB0A2B" w:rsidRPr="00AB0A2B" w14:paraId="0F38C664"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094C2F51"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48</w:t>
            </w:r>
          </w:p>
        </w:tc>
        <w:tc>
          <w:tcPr>
            <w:tcW w:w="1480" w:type="dxa"/>
            <w:tcBorders>
              <w:top w:val="nil"/>
              <w:left w:val="nil"/>
              <w:bottom w:val="single" w:sz="4" w:space="0" w:color="auto"/>
              <w:right w:val="single" w:sz="4" w:space="0" w:color="auto"/>
            </w:tcBorders>
            <w:shd w:val="clear" w:color="auto" w:fill="auto"/>
            <w:vAlign w:val="bottom"/>
            <w:hideMark/>
          </w:tcPr>
          <w:p w14:paraId="4ABFEB2D"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084132138L</w:t>
            </w:r>
          </w:p>
        </w:tc>
        <w:tc>
          <w:tcPr>
            <w:tcW w:w="6789" w:type="dxa"/>
            <w:tcBorders>
              <w:top w:val="nil"/>
              <w:left w:val="nil"/>
              <w:bottom w:val="single" w:sz="4" w:space="0" w:color="auto"/>
              <w:right w:val="single" w:sz="4" w:space="0" w:color="auto"/>
            </w:tcBorders>
            <w:shd w:val="clear" w:color="auto" w:fill="auto"/>
            <w:noWrap/>
            <w:vAlign w:val="bottom"/>
            <w:hideMark/>
          </w:tcPr>
          <w:p w14:paraId="3FADF264" w14:textId="0B5BC968" w:rsidR="00AB0A2B" w:rsidRPr="00AB0A2B" w:rsidRDefault="00AB0A2B" w:rsidP="00AB0A2B">
            <w:pPr>
              <w:rPr>
                <w:rFonts w:ascii="Tw Cen MT" w:hAnsi="Tw Cen MT" w:cs="Calibri"/>
                <w:lang w:eastAsia="fr-FR"/>
              </w:rPr>
            </w:pPr>
            <w:r w:rsidRPr="00AB0A2B">
              <w:rPr>
                <w:rFonts w:ascii="Tw Cen MT" w:hAnsi="Tw Cen MT" w:cs="Calibri"/>
                <w:lang w:eastAsia="fr-FR"/>
              </w:rPr>
              <w:t>MATRIX MINING</w:t>
            </w:r>
          </w:p>
        </w:tc>
      </w:tr>
      <w:tr w:rsidR="00AB0A2B" w:rsidRPr="00AB0A2B" w14:paraId="2C00526E"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101F9890"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49</w:t>
            </w:r>
          </w:p>
        </w:tc>
        <w:tc>
          <w:tcPr>
            <w:tcW w:w="1480" w:type="dxa"/>
            <w:tcBorders>
              <w:top w:val="nil"/>
              <w:left w:val="nil"/>
              <w:bottom w:val="single" w:sz="4" w:space="0" w:color="auto"/>
              <w:right w:val="single" w:sz="4" w:space="0" w:color="auto"/>
            </w:tcBorders>
            <w:shd w:val="clear" w:color="auto" w:fill="auto"/>
            <w:vAlign w:val="bottom"/>
            <w:hideMark/>
          </w:tcPr>
          <w:p w14:paraId="272C8290"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086144099B</w:t>
            </w:r>
          </w:p>
        </w:tc>
        <w:tc>
          <w:tcPr>
            <w:tcW w:w="6789" w:type="dxa"/>
            <w:tcBorders>
              <w:top w:val="nil"/>
              <w:left w:val="nil"/>
              <w:bottom w:val="single" w:sz="4" w:space="0" w:color="auto"/>
              <w:right w:val="single" w:sz="4" w:space="0" w:color="auto"/>
            </w:tcBorders>
            <w:shd w:val="clear" w:color="auto" w:fill="auto"/>
            <w:noWrap/>
            <w:vAlign w:val="bottom"/>
            <w:hideMark/>
          </w:tcPr>
          <w:p w14:paraId="71999544" w14:textId="4F32AE6C" w:rsidR="00AB0A2B" w:rsidRPr="00AB0A2B" w:rsidRDefault="00AB0A2B" w:rsidP="00AB0A2B">
            <w:pPr>
              <w:rPr>
                <w:rFonts w:ascii="Tw Cen MT" w:hAnsi="Tw Cen MT" w:cs="Calibri"/>
                <w:lang w:eastAsia="fr-FR"/>
              </w:rPr>
            </w:pPr>
            <w:r w:rsidRPr="00AB0A2B">
              <w:rPr>
                <w:rFonts w:ascii="Tw Cen MT" w:hAnsi="Tw Cen MT" w:cs="Calibri"/>
                <w:lang w:eastAsia="fr-FR"/>
              </w:rPr>
              <w:t xml:space="preserve">MINERAL MANAGEMENT CONSULTING SARL </w:t>
            </w:r>
          </w:p>
        </w:tc>
      </w:tr>
      <w:tr w:rsidR="00AB0A2B" w:rsidRPr="00AB0A2B" w14:paraId="538A0917"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2367223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50</w:t>
            </w:r>
          </w:p>
        </w:tc>
        <w:tc>
          <w:tcPr>
            <w:tcW w:w="1480" w:type="dxa"/>
            <w:tcBorders>
              <w:top w:val="nil"/>
              <w:left w:val="nil"/>
              <w:bottom w:val="single" w:sz="4" w:space="0" w:color="auto"/>
              <w:right w:val="single" w:sz="4" w:space="0" w:color="auto"/>
            </w:tcBorders>
            <w:shd w:val="clear" w:color="auto" w:fill="auto"/>
            <w:vAlign w:val="bottom"/>
            <w:hideMark/>
          </w:tcPr>
          <w:p w14:paraId="4697C902"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086134064B</w:t>
            </w:r>
          </w:p>
        </w:tc>
        <w:tc>
          <w:tcPr>
            <w:tcW w:w="6789" w:type="dxa"/>
            <w:tcBorders>
              <w:top w:val="nil"/>
              <w:left w:val="nil"/>
              <w:bottom w:val="single" w:sz="4" w:space="0" w:color="auto"/>
              <w:right w:val="single" w:sz="4" w:space="0" w:color="auto"/>
            </w:tcBorders>
            <w:shd w:val="clear" w:color="auto" w:fill="auto"/>
            <w:noWrap/>
            <w:vAlign w:val="bottom"/>
            <w:hideMark/>
          </w:tcPr>
          <w:p w14:paraId="48071A55" w14:textId="2D8920B7" w:rsidR="00AB0A2B" w:rsidRPr="00AB0A2B" w:rsidRDefault="00AB0A2B" w:rsidP="00AB0A2B">
            <w:pPr>
              <w:rPr>
                <w:rFonts w:ascii="Tw Cen MT" w:hAnsi="Tw Cen MT" w:cs="Calibri"/>
                <w:lang w:eastAsia="fr-FR"/>
              </w:rPr>
            </w:pPr>
            <w:r w:rsidRPr="00AB0A2B">
              <w:rPr>
                <w:rFonts w:ascii="Tw Cen MT" w:hAnsi="Tw Cen MT" w:cs="Calibri"/>
                <w:lang w:eastAsia="fr-FR"/>
              </w:rPr>
              <w:t>NEW HOP GOLD MALI</w:t>
            </w:r>
          </w:p>
        </w:tc>
      </w:tr>
      <w:tr w:rsidR="00AB0A2B" w:rsidRPr="00AB0A2B" w14:paraId="31B16981"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718BABDE"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51</w:t>
            </w:r>
          </w:p>
        </w:tc>
        <w:tc>
          <w:tcPr>
            <w:tcW w:w="1480" w:type="dxa"/>
            <w:tcBorders>
              <w:top w:val="nil"/>
              <w:left w:val="nil"/>
              <w:bottom w:val="single" w:sz="4" w:space="0" w:color="auto"/>
              <w:right w:val="single" w:sz="4" w:space="0" w:color="auto"/>
            </w:tcBorders>
            <w:shd w:val="clear" w:color="auto" w:fill="auto"/>
            <w:vAlign w:val="bottom"/>
            <w:hideMark/>
          </w:tcPr>
          <w:p w14:paraId="164D4ECC"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083331494R</w:t>
            </w:r>
          </w:p>
        </w:tc>
        <w:tc>
          <w:tcPr>
            <w:tcW w:w="6789" w:type="dxa"/>
            <w:tcBorders>
              <w:top w:val="nil"/>
              <w:left w:val="nil"/>
              <w:bottom w:val="single" w:sz="4" w:space="0" w:color="auto"/>
              <w:right w:val="single" w:sz="4" w:space="0" w:color="auto"/>
            </w:tcBorders>
            <w:shd w:val="clear" w:color="auto" w:fill="auto"/>
            <w:noWrap/>
            <w:vAlign w:val="bottom"/>
            <w:hideMark/>
          </w:tcPr>
          <w:p w14:paraId="2ED4B85C" w14:textId="4FC1F0F6" w:rsidR="00AB0A2B" w:rsidRPr="00AB0A2B" w:rsidRDefault="00AB0A2B" w:rsidP="00AB0A2B">
            <w:pPr>
              <w:rPr>
                <w:rFonts w:ascii="Tw Cen MT" w:hAnsi="Tw Cen MT" w:cs="Calibri"/>
                <w:lang w:eastAsia="fr-FR"/>
              </w:rPr>
            </w:pPr>
            <w:r w:rsidRPr="00AB0A2B">
              <w:rPr>
                <w:rFonts w:ascii="Tw Cen MT" w:hAnsi="Tw Cen MT" w:cs="Calibri"/>
                <w:lang w:eastAsia="fr-FR"/>
              </w:rPr>
              <w:t xml:space="preserve">SAMCAM SARL </w:t>
            </w:r>
          </w:p>
        </w:tc>
      </w:tr>
      <w:tr w:rsidR="00AB0A2B" w:rsidRPr="00AB0A2B" w14:paraId="49CA82F2"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7E2949A9"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52</w:t>
            </w:r>
          </w:p>
        </w:tc>
        <w:tc>
          <w:tcPr>
            <w:tcW w:w="1480" w:type="dxa"/>
            <w:tcBorders>
              <w:top w:val="nil"/>
              <w:left w:val="nil"/>
              <w:bottom w:val="single" w:sz="4" w:space="0" w:color="auto"/>
              <w:right w:val="single" w:sz="4" w:space="0" w:color="auto"/>
            </w:tcBorders>
            <w:shd w:val="clear" w:color="auto" w:fill="auto"/>
            <w:vAlign w:val="bottom"/>
            <w:hideMark/>
          </w:tcPr>
          <w:p w14:paraId="10FBC365"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087800767K</w:t>
            </w:r>
          </w:p>
        </w:tc>
        <w:tc>
          <w:tcPr>
            <w:tcW w:w="6789" w:type="dxa"/>
            <w:tcBorders>
              <w:top w:val="nil"/>
              <w:left w:val="nil"/>
              <w:bottom w:val="single" w:sz="4" w:space="0" w:color="auto"/>
              <w:right w:val="single" w:sz="4" w:space="0" w:color="auto"/>
            </w:tcBorders>
            <w:shd w:val="clear" w:color="auto" w:fill="auto"/>
            <w:noWrap/>
            <w:vAlign w:val="bottom"/>
            <w:hideMark/>
          </w:tcPr>
          <w:p w14:paraId="2583BBDB" w14:textId="3C05AAE8" w:rsidR="00AB0A2B" w:rsidRPr="00AB0A2B" w:rsidRDefault="00AB0A2B" w:rsidP="00AB0A2B">
            <w:pPr>
              <w:rPr>
                <w:rFonts w:ascii="Tw Cen MT" w:hAnsi="Tw Cen MT" w:cs="Calibri"/>
                <w:lang w:eastAsia="fr-FR"/>
              </w:rPr>
            </w:pPr>
            <w:r w:rsidRPr="00AB0A2B">
              <w:rPr>
                <w:rFonts w:ascii="Tw Cen MT" w:hAnsi="Tw Cen MT" w:cs="Calibri"/>
                <w:lang w:eastAsia="fr-FR"/>
              </w:rPr>
              <w:t>SIRIBAYA D'EXPLORATION</w:t>
            </w:r>
          </w:p>
        </w:tc>
      </w:tr>
      <w:tr w:rsidR="00AB0A2B" w:rsidRPr="00AB0A2B" w14:paraId="57F41379"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790E5534"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53</w:t>
            </w:r>
          </w:p>
        </w:tc>
        <w:tc>
          <w:tcPr>
            <w:tcW w:w="1480" w:type="dxa"/>
            <w:tcBorders>
              <w:top w:val="nil"/>
              <w:left w:val="nil"/>
              <w:bottom w:val="single" w:sz="4" w:space="0" w:color="auto"/>
              <w:right w:val="single" w:sz="4" w:space="0" w:color="auto"/>
            </w:tcBorders>
            <w:shd w:val="clear" w:color="auto" w:fill="auto"/>
            <w:vAlign w:val="bottom"/>
            <w:hideMark/>
          </w:tcPr>
          <w:p w14:paraId="35E79D2F"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087800577D</w:t>
            </w:r>
          </w:p>
        </w:tc>
        <w:tc>
          <w:tcPr>
            <w:tcW w:w="6789" w:type="dxa"/>
            <w:tcBorders>
              <w:top w:val="nil"/>
              <w:left w:val="nil"/>
              <w:bottom w:val="single" w:sz="4" w:space="0" w:color="auto"/>
              <w:right w:val="single" w:sz="4" w:space="0" w:color="auto"/>
            </w:tcBorders>
            <w:shd w:val="clear" w:color="auto" w:fill="auto"/>
            <w:noWrap/>
            <w:vAlign w:val="bottom"/>
            <w:hideMark/>
          </w:tcPr>
          <w:p w14:paraId="1185E021" w14:textId="3053879E" w:rsidR="00AB0A2B" w:rsidRPr="00AB0A2B" w:rsidRDefault="00AB0A2B" w:rsidP="00AB0A2B">
            <w:pPr>
              <w:rPr>
                <w:rFonts w:ascii="Tw Cen MT" w:hAnsi="Tw Cen MT" w:cs="Calibri"/>
                <w:lang w:eastAsia="fr-FR"/>
              </w:rPr>
            </w:pPr>
            <w:r w:rsidRPr="00AB0A2B">
              <w:rPr>
                <w:rFonts w:ascii="Tw Cen MT" w:hAnsi="Tw Cen MT" w:cs="Calibri"/>
                <w:lang w:eastAsia="fr-FR"/>
              </w:rPr>
              <w:t>SOCIÉTÉ SANKARANI RESSOURCES SARL</w:t>
            </w:r>
          </w:p>
        </w:tc>
      </w:tr>
      <w:tr w:rsidR="00AB0A2B" w:rsidRPr="00AB0A2B" w14:paraId="069CF7DB"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499BFFB8"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54</w:t>
            </w:r>
          </w:p>
        </w:tc>
        <w:tc>
          <w:tcPr>
            <w:tcW w:w="1480" w:type="dxa"/>
            <w:tcBorders>
              <w:top w:val="nil"/>
              <w:left w:val="nil"/>
              <w:bottom w:val="single" w:sz="4" w:space="0" w:color="auto"/>
              <w:right w:val="single" w:sz="4" w:space="0" w:color="auto"/>
            </w:tcBorders>
            <w:shd w:val="clear" w:color="auto" w:fill="auto"/>
            <w:vAlign w:val="bottom"/>
            <w:hideMark/>
          </w:tcPr>
          <w:p w14:paraId="00AE0BDE"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086121154W</w:t>
            </w:r>
          </w:p>
        </w:tc>
        <w:tc>
          <w:tcPr>
            <w:tcW w:w="6789" w:type="dxa"/>
            <w:tcBorders>
              <w:top w:val="nil"/>
              <w:left w:val="nil"/>
              <w:bottom w:val="single" w:sz="4" w:space="0" w:color="auto"/>
              <w:right w:val="single" w:sz="4" w:space="0" w:color="auto"/>
            </w:tcBorders>
            <w:shd w:val="clear" w:color="auto" w:fill="auto"/>
            <w:noWrap/>
            <w:vAlign w:val="bottom"/>
            <w:hideMark/>
          </w:tcPr>
          <w:p w14:paraId="3009E4D8" w14:textId="37C1EA0D" w:rsidR="00AB0A2B" w:rsidRPr="00AB0A2B" w:rsidRDefault="00AB0A2B" w:rsidP="00AB0A2B">
            <w:pPr>
              <w:rPr>
                <w:rFonts w:ascii="Tw Cen MT" w:hAnsi="Tw Cen MT" w:cs="Calibri"/>
                <w:lang w:eastAsia="fr-FR"/>
              </w:rPr>
            </w:pPr>
            <w:r w:rsidRPr="00AB0A2B">
              <w:rPr>
                <w:rFonts w:ascii="Tw Cen MT" w:hAnsi="Tw Cen MT" w:cs="Calibri"/>
                <w:lang w:eastAsia="fr-FR"/>
              </w:rPr>
              <w:t>STÉ AFRCA MINING SARL</w:t>
            </w:r>
          </w:p>
        </w:tc>
      </w:tr>
      <w:tr w:rsidR="00AB0A2B" w:rsidRPr="00A32D70" w14:paraId="789A1FA5"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4EDD532E"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55</w:t>
            </w:r>
          </w:p>
        </w:tc>
        <w:tc>
          <w:tcPr>
            <w:tcW w:w="1480" w:type="dxa"/>
            <w:tcBorders>
              <w:top w:val="nil"/>
              <w:left w:val="nil"/>
              <w:bottom w:val="single" w:sz="4" w:space="0" w:color="auto"/>
              <w:right w:val="single" w:sz="4" w:space="0" w:color="auto"/>
            </w:tcBorders>
            <w:shd w:val="clear" w:color="auto" w:fill="auto"/>
            <w:vAlign w:val="bottom"/>
            <w:hideMark/>
          </w:tcPr>
          <w:p w14:paraId="1BCCD9E7"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084133304G</w:t>
            </w:r>
          </w:p>
        </w:tc>
        <w:tc>
          <w:tcPr>
            <w:tcW w:w="6789" w:type="dxa"/>
            <w:tcBorders>
              <w:top w:val="nil"/>
              <w:left w:val="nil"/>
              <w:bottom w:val="single" w:sz="4" w:space="0" w:color="auto"/>
              <w:right w:val="single" w:sz="4" w:space="0" w:color="auto"/>
            </w:tcBorders>
            <w:shd w:val="clear" w:color="auto" w:fill="auto"/>
            <w:noWrap/>
            <w:vAlign w:val="bottom"/>
            <w:hideMark/>
          </w:tcPr>
          <w:p w14:paraId="1CD027F8" w14:textId="25C7FEC6" w:rsidR="00AB0A2B" w:rsidRPr="00AB0A2B" w:rsidRDefault="00AB0A2B" w:rsidP="00AB0A2B">
            <w:pPr>
              <w:rPr>
                <w:rFonts w:ascii="Tw Cen MT" w:hAnsi="Tw Cen MT" w:cs="Calibri"/>
                <w:lang w:val="en-US" w:eastAsia="fr-FR"/>
              </w:rPr>
            </w:pPr>
            <w:r w:rsidRPr="00AB0A2B">
              <w:rPr>
                <w:rFonts w:ascii="Tw Cen MT" w:hAnsi="Tw Cen MT" w:cs="Calibri"/>
                <w:lang w:val="en-US" w:eastAsia="fr-FR"/>
              </w:rPr>
              <w:t>STÉ ASHANTI GOLD MALI SARL</w:t>
            </w:r>
          </w:p>
        </w:tc>
      </w:tr>
      <w:tr w:rsidR="00AB0A2B" w:rsidRPr="00AB0A2B" w14:paraId="70D7FD53"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4BBCF2E1"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56</w:t>
            </w:r>
          </w:p>
        </w:tc>
        <w:tc>
          <w:tcPr>
            <w:tcW w:w="1480" w:type="dxa"/>
            <w:tcBorders>
              <w:top w:val="nil"/>
              <w:left w:val="nil"/>
              <w:bottom w:val="single" w:sz="4" w:space="0" w:color="auto"/>
              <w:right w:val="single" w:sz="4" w:space="0" w:color="auto"/>
            </w:tcBorders>
            <w:shd w:val="clear" w:color="auto" w:fill="auto"/>
            <w:vAlign w:val="bottom"/>
            <w:hideMark/>
          </w:tcPr>
          <w:p w14:paraId="2ABE77FB"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086129214A</w:t>
            </w:r>
          </w:p>
        </w:tc>
        <w:tc>
          <w:tcPr>
            <w:tcW w:w="6789" w:type="dxa"/>
            <w:tcBorders>
              <w:top w:val="nil"/>
              <w:left w:val="nil"/>
              <w:bottom w:val="single" w:sz="4" w:space="0" w:color="auto"/>
              <w:right w:val="single" w:sz="4" w:space="0" w:color="auto"/>
            </w:tcBorders>
            <w:shd w:val="clear" w:color="auto" w:fill="auto"/>
            <w:vAlign w:val="bottom"/>
            <w:hideMark/>
          </w:tcPr>
          <w:p w14:paraId="680DB4A5" w14:textId="1B3D7DDF" w:rsidR="00AB0A2B" w:rsidRPr="00AB0A2B" w:rsidRDefault="00AB0A2B" w:rsidP="00AB0A2B">
            <w:pPr>
              <w:rPr>
                <w:rFonts w:ascii="Tw Cen MT" w:hAnsi="Tw Cen MT" w:cs="Calibri"/>
                <w:lang w:eastAsia="fr-FR"/>
              </w:rPr>
            </w:pPr>
            <w:r w:rsidRPr="00AB0A2B">
              <w:rPr>
                <w:rFonts w:ascii="Tw Cen MT" w:hAnsi="Tw Cen MT" w:cs="Calibri"/>
                <w:lang w:eastAsia="fr-FR"/>
              </w:rPr>
              <w:t>BOFONDE MINING SARL</w:t>
            </w:r>
          </w:p>
        </w:tc>
      </w:tr>
      <w:tr w:rsidR="00AB0A2B" w:rsidRPr="00A32D70" w14:paraId="2CD55249"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291E3BC2"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57</w:t>
            </w:r>
          </w:p>
        </w:tc>
        <w:tc>
          <w:tcPr>
            <w:tcW w:w="1480" w:type="dxa"/>
            <w:tcBorders>
              <w:top w:val="nil"/>
              <w:left w:val="nil"/>
              <w:bottom w:val="single" w:sz="4" w:space="0" w:color="auto"/>
              <w:right w:val="single" w:sz="4" w:space="0" w:color="auto"/>
            </w:tcBorders>
            <w:shd w:val="clear" w:color="auto" w:fill="auto"/>
            <w:vAlign w:val="bottom"/>
            <w:hideMark/>
          </w:tcPr>
          <w:p w14:paraId="07E75CD1"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086137457G</w:t>
            </w:r>
          </w:p>
        </w:tc>
        <w:tc>
          <w:tcPr>
            <w:tcW w:w="6789" w:type="dxa"/>
            <w:tcBorders>
              <w:top w:val="nil"/>
              <w:left w:val="nil"/>
              <w:bottom w:val="single" w:sz="4" w:space="0" w:color="auto"/>
              <w:right w:val="single" w:sz="4" w:space="0" w:color="auto"/>
            </w:tcBorders>
            <w:shd w:val="clear" w:color="auto" w:fill="auto"/>
            <w:vAlign w:val="bottom"/>
            <w:hideMark/>
          </w:tcPr>
          <w:p w14:paraId="51E08183" w14:textId="60C4A27C" w:rsidR="00AB0A2B" w:rsidRPr="00AB0A2B" w:rsidRDefault="00AB0A2B" w:rsidP="00AB0A2B">
            <w:pPr>
              <w:rPr>
                <w:rFonts w:ascii="Tw Cen MT" w:hAnsi="Tw Cen MT" w:cs="Calibri"/>
                <w:lang w:val="en-US" w:eastAsia="fr-FR"/>
              </w:rPr>
            </w:pPr>
            <w:r w:rsidRPr="00AB0A2B">
              <w:rPr>
                <w:rFonts w:ascii="Tw Cen MT" w:hAnsi="Tw Cen MT" w:cs="Calibri"/>
                <w:lang w:val="en-US" w:eastAsia="fr-FR"/>
              </w:rPr>
              <w:t>CAMARA BROTHERS CORPORATION "CAMAB " SARL</w:t>
            </w:r>
          </w:p>
        </w:tc>
      </w:tr>
      <w:tr w:rsidR="00AB0A2B" w:rsidRPr="00AB0A2B" w14:paraId="0650C640"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0EC2903E"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58</w:t>
            </w:r>
          </w:p>
        </w:tc>
        <w:tc>
          <w:tcPr>
            <w:tcW w:w="1480" w:type="dxa"/>
            <w:tcBorders>
              <w:top w:val="nil"/>
              <w:left w:val="nil"/>
              <w:bottom w:val="single" w:sz="4" w:space="0" w:color="auto"/>
              <w:right w:val="single" w:sz="4" w:space="0" w:color="auto"/>
            </w:tcBorders>
            <w:shd w:val="clear" w:color="auto" w:fill="auto"/>
            <w:vAlign w:val="bottom"/>
            <w:hideMark/>
          </w:tcPr>
          <w:p w14:paraId="59244635"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082242472E</w:t>
            </w:r>
          </w:p>
        </w:tc>
        <w:tc>
          <w:tcPr>
            <w:tcW w:w="6789" w:type="dxa"/>
            <w:tcBorders>
              <w:top w:val="nil"/>
              <w:left w:val="nil"/>
              <w:bottom w:val="single" w:sz="4" w:space="0" w:color="auto"/>
              <w:right w:val="single" w:sz="4" w:space="0" w:color="auto"/>
            </w:tcBorders>
            <w:shd w:val="clear" w:color="auto" w:fill="auto"/>
            <w:vAlign w:val="bottom"/>
            <w:hideMark/>
          </w:tcPr>
          <w:p w14:paraId="5FA6351F" w14:textId="25B1B4FA" w:rsidR="00AB0A2B" w:rsidRPr="00AB0A2B" w:rsidRDefault="00AB0A2B" w:rsidP="00AB0A2B">
            <w:pPr>
              <w:rPr>
                <w:rFonts w:ascii="Tw Cen MT" w:hAnsi="Tw Cen MT" w:cs="Calibri"/>
                <w:lang w:eastAsia="fr-FR"/>
              </w:rPr>
            </w:pPr>
            <w:r w:rsidRPr="00AB0A2B">
              <w:rPr>
                <w:rFonts w:ascii="Tw Cen MT" w:hAnsi="Tw Cen MT" w:cs="Calibri"/>
                <w:lang w:eastAsia="fr-FR"/>
              </w:rPr>
              <w:t>CATALYST RESSOURCES SARL</w:t>
            </w:r>
          </w:p>
        </w:tc>
      </w:tr>
      <w:tr w:rsidR="00AB0A2B" w:rsidRPr="00AB0A2B" w14:paraId="6550962E"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63D22C8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59</w:t>
            </w:r>
          </w:p>
        </w:tc>
        <w:tc>
          <w:tcPr>
            <w:tcW w:w="1480" w:type="dxa"/>
            <w:tcBorders>
              <w:top w:val="nil"/>
              <w:left w:val="nil"/>
              <w:bottom w:val="single" w:sz="4" w:space="0" w:color="auto"/>
              <w:right w:val="single" w:sz="4" w:space="0" w:color="auto"/>
            </w:tcBorders>
            <w:shd w:val="clear" w:color="auto" w:fill="auto"/>
            <w:vAlign w:val="bottom"/>
            <w:hideMark/>
          </w:tcPr>
          <w:p w14:paraId="11027E5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084130070D</w:t>
            </w:r>
          </w:p>
        </w:tc>
        <w:tc>
          <w:tcPr>
            <w:tcW w:w="6789" w:type="dxa"/>
            <w:tcBorders>
              <w:top w:val="nil"/>
              <w:left w:val="nil"/>
              <w:bottom w:val="single" w:sz="4" w:space="0" w:color="auto"/>
              <w:right w:val="single" w:sz="4" w:space="0" w:color="auto"/>
            </w:tcBorders>
            <w:shd w:val="clear" w:color="auto" w:fill="auto"/>
            <w:vAlign w:val="bottom"/>
            <w:hideMark/>
          </w:tcPr>
          <w:p w14:paraId="27B4FCBD" w14:textId="064AFC06" w:rsidR="00AB0A2B" w:rsidRPr="00AB0A2B" w:rsidRDefault="00AB0A2B" w:rsidP="00AB0A2B">
            <w:pPr>
              <w:rPr>
                <w:rFonts w:ascii="Tw Cen MT" w:hAnsi="Tw Cen MT" w:cs="Calibri"/>
                <w:lang w:eastAsia="fr-FR"/>
              </w:rPr>
            </w:pPr>
            <w:r w:rsidRPr="00AB0A2B">
              <w:rPr>
                <w:rFonts w:ascii="Tw Cen MT" w:hAnsi="Tw Cen MT" w:cs="Calibri"/>
                <w:lang w:eastAsia="fr-FR"/>
              </w:rPr>
              <w:t>CONTINENTAL STEEL SA</w:t>
            </w:r>
          </w:p>
        </w:tc>
      </w:tr>
      <w:tr w:rsidR="00AB0A2B" w:rsidRPr="00AB0A2B" w14:paraId="45B52033"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F9E5367"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60</w:t>
            </w:r>
          </w:p>
        </w:tc>
        <w:tc>
          <w:tcPr>
            <w:tcW w:w="1480" w:type="dxa"/>
            <w:tcBorders>
              <w:top w:val="nil"/>
              <w:left w:val="nil"/>
              <w:bottom w:val="single" w:sz="4" w:space="0" w:color="auto"/>
              <w:right w:val="single" w:sz="4" w:space="0" w:color="auto"/>
            </w:tcBorders>
            <w:shd w:val="clear" w:color="auto" w:fill="auto"/>
            <w:vAlign w:val="bottom"/>
            <w:hideMark/>
          </w:tcPr>
          <w:p w14:paraId="57F2777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010004545L</w:t>
            </w:r>
          </w:p>
        </w:tc>
        <w:tc>
          <w:tcPr>
            <w:tcW w:w="6789" w:type="dxa"/>
            <w:tcBorders>
              <w:top w:val="nil"/>
              <w:left w:val="nil"/>
              <w:bottom w:val="single" w:sz="4" w:space="0" w:color="auto"/>
              <w:right w:val="single" w:sz="4" w:space="0" w:color="auto"/>
            </w:tcBorders>
            <w:shd w:val="clear" w:color="auto" w:fill="auto"/>
            <w:vAlign w:val="bottom"/>
            <w:hideMark/>
          </w:tcPr>
          <w:p w14:paraId="0BDD593D" w14:textId="46845B03" w:rsidR="00AB0A2B" w:rsidRPr="00AB0A2B" w:rsidRDefault="00AB0A2B" w:rsidP="00AB0A2B">
            <w:pPr>
              <w:rPr>
                <w:rFonts w:ascii="Tw Cen MT" w:hAnsi="Tw Cen MT" w:cs="Calibri"/>
                <w:lang w:eastAsia="fr-FR"/>
              </w:rPr>
            </w:pPr>
            <w:r w:rsidRPr="00AB0A2B">
              <w:rPr>
                <w:rFonts w:ascii="Tw Cen MT" w:hAnsi="Tw Cen MT" w:cs="Calibri"/>
                <w:lang w:eastAsia="fr-FR"/>
              </w:rPr>
              <w:t>SOCIÉTÉ DES MINES DE DARSALAM SARL</w:t>
            </w:r>
          </w:p>
        </w:tc>
      </w:tr>
      <w:tr w:rsidR="00AB0A2B" w:rsidRPr="00AB0A2B" w14:paraId="4FC7AD85"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0A1105B"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61</w:t>
            </w:r>
          </w:p>
        </w:tc>
        <w:tc>
          <w:tcPr>
            <w:tcW w:w="1480" w:type="dxa"/>
            <w:tcBorders>
              <w:top w:val="nil"/>
              <w:left w:val="nil"/>
              <w:bottom w:val="single" w:sz="4" w:space="0" w:color="auto"/>
              <w:right w:val="single" w:sz="4" w:space="0" w:color="auto"/>
            </w:tcBorders>
            <w:shd w:val="clear" w:color="auto" w:fill="auto"/>
            <w:vAlign w:val="bottom"/>
            <w:hideMark/>
          </w:tcPr>
          <w:p w14:paraId="4DFD4601"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084130185L</w:t>
            </w:r>
          </w:p>
        </w:tc>
        <w:tc>
          <w:tcPr>
            <w:tcW w:w="6789" w:type="dxa"/>
            <w:tcBorders>
              <w:top w:val="nil"/>
              <w:left w:val="nil"/>
              <w:bottom w:val="single" w:sz="4" w:space="0" w:color="auto"/>
              <w:right w:val="single" w:sz="4" w:space="0" w:color="auto"/>
            </w:tcBorders>
            <w:shd w:val="clear" w:color="auto" w:fill="auto"/>
            <w:vAlign w:val="bottom"/>
            <w:hideMark/>
          </w:tcPr>
          <w:p w14:paraId="08737121" w14:textId="61425853" w:rsidR="00AB0A2B" w:rsidRPr="00AB0A2B" w:rsidRDefault="00AB0A2B" w:rsidP="00AB0A2B">
            <w:pPr>
              <w:rPr>
                <w:rFonts w:ascii="Tw Cen MT" w:hAnsi="Tw Cen MT" w:cs="Calibri"/>
                <w:lang w:eastAsia="fr-FR"/>
              </w:rPr>
            </w:pPr>
            <w:r w:rsidRPr="00AB0A2B">
              <w:rPr>
                <w:rFonts w:ascii="Tw Cen MT" w:hAnsi="Tw Cen MT" w:cs="Calibri"/>
                <w:lang w:eastAsia="fr-FR"/>
              </w:rPr>
              <w:t>DESERT GOLD MALI SARL</w:t>
            </w:r>
          </w:p>
        </w:tc>
      </w:tr>
      <w:tr w:rsidR="00AB0A2B" w:rsidRPr="00AB0A2B" w14:paraId="18135CA6"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3A589970"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62</w:t>
            </w:r>
          </w:p>
        </w:tc>
        <w:tc>
          <w:tcPr>
            <w:tcW w:w="1480" w:type="dxa"/>
            <w:tcBorders>
              <w:top w:val="nil"/>
              <w:left w:val="nil"/>
              <w:bottom w:val="single" w:sz="4" w:space="0" w:color="auto"/>
              <w:right w:val="single" w:sz="4" w:space="0" w:color="auto"/>
            </w:tcBorders>
            <w:shd w:val="clear" w:color="auto" w:fill="auto"/>
            <w:vAlign w:val="bottom"/>
            <w:hideMark/>
          </w:tcPr>
          <w:p w14:paraId="74033A85"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087800767K</w:t>
            </w:r>
          </w:p>
        </w:tc>
        <w:tc>
          <w:tcPr>
            <w:tcW w:w="6789" w:type="dxa"/>
            <w:tcBorders>
              <w:top w:val="nil"/>
              <w:left w:val="nil"/>
              <w:bottom w:val="single" w:sz="4" w:space="0" w:color="auto"/>
              <w:right w:val="single" w:sz="4" w:space="0" w:color="auto"/>
            </w:tcBorders>
            <w:shd w:val="clear" w:color="auto" w:fill="auto"/>
            <w:vAlign w:val="bottom"/>
            <w:hideMark/>
          </w:tcPr>
          <w:p w14:paraId="3AE9028B" w14:textId="33F70291" w:rsidR="00AB0A2B" w:rsidRPr="00AB0A2B" w:rsidRDefault="00AB0A2B" w:rsidP="00AB0A2B">
            <w:pPr>
              <w:rPr>
                <w:rFonts w:ascii="Tw Cen MT" w:hAnsi="Tw Cen MT" w:cs="Calibri"/>
                <w:lang w:eastAsia="fr-FR"/>
              </w:rPr>
            </w:pPr>
            <w:r w:rsidRPr="00AB0A2B">
              <w:rPr>
                <w:rFonts w:ascii="Tw Cen MT" w:hAnsi="Tw Cen MT" w:cs="Calibri"/>
                <w:lang w:eastAsia="fr-FR"/>
              </w:rPr>
              <w:t>SOCIÉTÉ D'EXPLORATION DE SIRIBAYA SARL</w:t>
            </w:r>
          </w:p>
        </w:tc>
      </w:tr>
      <w:tr w:rsidR="00AB0A2B" w:rsidRPr="00AB0A2B" w14:paraId="52E3D958"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39D61117"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63</w:t>
            </w:r>
          </w:p>
        </w:tc>
        <w:tc>
          <w:tcPr>
            <w:tcW w:w="1480" w:type="dxa"/>
            <w:tcBorders>
              <w:top w:val="nil"/>
              <w:left w:val="nil"/>
              <w:bottom w:val="single" w:sz="4" w:space="0" w:color="auto"/>
              <w:right w:val="single" w:sz="4" w:space="0" w:color="auto"/>
            </w:tcBorders>
            <w:shd w:val="clear" w:color="auto" w:fill="auto"/>
            <w:vAlign w:val="bottom"/>
            <w:hideMark/>
          </w:tcPr>
          <w:p w14:paraId="645A6F74"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082243122E</w:t>
            </w:r>
          </w:p>
        </w:tc>
        <w:tc>
          <w:tcPr>
            <w:tcW w:w="6789" w:type="dxa"/>
            <w:tcBorders>
              <w:top w:val="nil"/>
              <w:left w:val="nil"/>
              <w:bottom w:val="single" w:sz="4" w:space="0" w:color="auto"/>
              <w:right w:val="single" w:sz="4" w:space="0" w:color="auto"/>
            </w:tcBorders>
            <w:shd w:val="clear" w:color="auto" w:fill="auto"/>
            <w:vAlign w:val="bottom"/>
            <w:hideMark/>
          </w:tcPr>
          <w:p w14:paraId="7C7295A5" w14:textId="400D2FE2" w:rsidR="00AB0A2B" w:rsidRPr="00AB0A2B" w:rsidRDefault="00AB0A2B" w:rsidP="00AB0A2B">
            <w:pPr>
              <w:rPr>
                <w:rFonts w:ascii="Tw Cen MT" w:hAnsi="Tw Cen MT" w:cs="Calibri"/>
                <w:lang w:eastAsia="fr-FR"/>
              </w:rPr>
            </w:pPr>
            <w:r w:rsidRPr="00AB0A2B">
              <w:rPr>
                <w:rFonts w:ascii="Tw Cen MT" w:hAnsi="Tw Cen MT" w:cs="Calibri"/>
                <w:lang w:eastAsia="fr-FR"/>
              </w:rPr>
              <w:t>DIAFOUNOU MINING SARL</w:t>
            </w:r>
          </w:p>
        </w:tc>
      </w:tr>
      <w:tr w:rsidR="00AB0A2B" w:rsidRPr="00AB0A2B" w14:paraId="4CDE3A40"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0A15EF4C"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64</w:t>
            </w:r>
          </w:p>
        </w:tc>
        <w:tc>
          <w:tcPr>
            <w:tcW w:w="1480" w:type="dxa"/>
            <w:tcBorders>
              <w:top w:val="nil"/>
              <w:left w:val="nil"/>
              <w:bottom w:val="single" w:sz="4" w:space="0" w:color="auto"/>
              <w:right w:val="single" w:sz="4" w:space="0" w:color="auto"/>
            </w:tcBorders>
            <w:shd w:val="clear" w:color="auto" w:fill="auto"/>
            <w:vAlign w:val="bottom"/>
            <w:hideMark/>
          </w:tcPr>
          <w:p w14:paraId="0689E06C"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085129461E</w:t>
            </w:r>
          </w:p>
        </w:tc>
        <w:tc>
          <w:tcPr>
            <w:tcW w:w="6789" w:type="dxa"/>
            <w:tcBorders>
              <w:top w:val="nil"/>
              <w:left w:val="nil"/>
              <w:bottom w:val="single" w:sz="4" w:space="0" w:color="auto"/>
              <w:right w:val="single" w:sz="4" w:space="0" w:color="auto"/>
            </w:tcBorders>
            <w:shd w:val="clear" w:color="auto" w:fill="auto"/>
            <w:vAlign w:val="bottom"/>
            <w:hideMark/>
          </w:tcPr>
          <w:p w14:paraId="72735058" w14:textId="028B43C7" w:rsidR="00AB0A2B" w:rsidRPr="00AB0A2B" w:rsidRDefault="00AB0A2B" w:rsidP="00AB0A2B">
            <w:pPr>
              <w:rPr>
                <w:rFonts w:ascii="Tw Cen MT" w:hAnsi="Tw Cen MT" w:cs="Calibri"/>
                <w:lang w:eastAsia="fr-FR"/>
              </w:rPr>
            </w:pPr>
            <w:r w:rsidRPr="00AB0A2B">
              <w:rPr>
                <w:rFonts w:ascii="Tw Cen MT" w:hAnsi="Tw Cen MT" w:cs="Calibri"/>
                <w:lang w:eastAsia="fr-FR"/>
              </w:rPr>
              <w:t>FALCON GOLD RESSOURCES SARL</w:t>
            </w:r>
          </w:p>
        </w:tc>
      </w:tr>
      <w:tr w:rsidR="00AB0A2B" w:rsidRPr="00AB0A2B" w14:paraId="7D75F08A"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046D93E0"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65</w:t>
            </w:r>
          </w:p>
        </w:tc>
        <w:tc>
          <w:tcPr>
            <w:tcW w:w="1480" w:type="dxa"/>
            <w:tcBorders>
              <w:top w:val="nil"/>
              <w:left w:val="nil"/>
              <w:bottom w:val="single" w:sz="4" w:space="0" w:color="auto"/>
              <w:right w:val="single" w:sz="4" w:space="0" w:color="auto"/>
            </w:tcBorders>
            <w:shd w:val="clear" w:color="auto" w:fill="auto"/>
            <w:vAlign w:val="bottom"/>
            <w:hideMark/>
          </w:tcPr>
          <w:p w14:paraId="7ACEBE0E"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083203048T</w:t>
            </w:r>
          </w:p>
        </w:tc>
        <w:tc>
          <w:tcPr>
            <w:tcW w:w="6789" w:type="dxa"/>
            <w:tcBorders>
              <w:top w:val="nil"/>
              <w:left w:val="nil"/>
              <w:bottom w:val="single" w:sz="4" w:space="0" w:color="auto"/>
              <w:right w:val="single" w:sz="4" w:space="0" w:color="auto"/>
            </w:tcBorders>
            <w:shd w:val="clear" w:color="auto" w:fill="auto"/>
            <w:vAlign w:val="bottom"/>
            <w:hideMark/>
          </w:tcPr>
          <w:p w14:paraId="685E1C70" w14:textId="151B0F66" w:rsidR="00AB0A2B" w:rsidRPr="00AB0A2B" w:rsidRDefault="00AB0A2B" w:rsidP="00AB0A2B">
            <w:pPr>
              <w:rPr>
                <w:rFonts w:ascii="Tw Cen MT" w:hAnsi="Tw Cen MT" w:cs="Calibri"/>
                <w:lang w:eastAsia="fr-FR"/>
              </w:rPr>
            </w:pPr>
            <w:r w:rsidRPr="00AB0A2B">
              <w:rPr>
                <w:rFonts w:ascii="Tw Cen MT" w:hAnsi="Tw Cen MT" w:cs="Calibri"/>
                <w:lang w:eastAsia="fr-FR"/>
              </w:rPr>
              <w:t>SOCIÉTÉ FOKOLORE MINING (S.F.M-SARL)</w:t>
            </w:r>
          </w:p>
        </w:tc>
      </w:tr>
      <w:tr w:rsidR="00AB0A2B" w:rsidRPr="00AB0A2B" w14:paraId="71382D6F"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3099E801"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66</w:t>
            </w:r>
          </w:p>
        </w:tc>
        <w:tc>
          <w:tcPr>
            <w:tcW w:w="1480" w:type="dxa"/>
            <w:tcBorders>
              <w:top w:val="nil"/>
              <w:left w:val="nil"/>
              <w:bottom w:val="single" w:sz="4" w:space="0" w:color="auto"/>
              <w:right w:val="single" w:sz="4" w:space="0" w:color="auto"/>
            </w:tcBorders>
            <w:shd w:val="clear" w:color="auto" w:fill="auto"/>
            <w:vAlign w:val="bottom"/>
            <w:hideMark/>
          </w:tcPr>
          <w:p w14:paraId="1B662A3C"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083333252C</w:t>
            </w:r>
          </w:p>
        </w:tc>
        <w:tc>
          <w:tcPr>
            <w:tcW w:w="6789" w:type="dxa"/>
            <w:tcBorders>
              <w:top w:val="nil"/>
              <w:left w:val="nil"/>
              <w:bottom w:val="single" w:sz="4" w:space="0" w:color="auto"/>
              <w:right w:val="single" w:sz="4" w:space="0" w:color="auto"/>
            </w:tcBorders>
            <w:shd w:val="clear" w:color="auto" w:fill="auto"/>
            <w:vAlign w:val="bottom"/>
            <w:hideMark/>
          </w:tcPr>
          <w:p w14:paraId="396EF84B" w14:textId="5CF678AF" w:rsidR="00AB0A2B" w:rsidRPr="00AB0A2B" w:rsidRDefault="00AB0A2B" w:rsidP="00AB0A2B">
            <w:pPr>
              <w:rPr>
                <w:rFonts w:ascii="Tw Cen MT" w:hAnsi="Tw Cen MT" w:cs="Calibri"/>
                <w:lang w:eastAsia="fr-FR"/>
              </w:rPr>
            </w:pPr>
            <w:r w:rsidRPr="00AB0A2B">
              <w:rPr>
                <w:rFonts w:ascii="Tw Cen MT" w:hAnsi="Tw Cen MT" w:cs="Calibri"/>
                <w:lang w:eastAsia="fr-FR"/>
              </w:rPr>
              <w:t>FUTURE MINERALS SARL</w:t>
            </w:r>
          </w:p>
        </w:tc>
      </w:tr>
      <w:tr w:rsidR="00AB0A2B" w:rsidRPr="00AB0A2B" w14:paraId="1612178B"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1333F38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67</w:t>
            </w:r>
          </w:p>
        </w:tc>
        <w:tc>
          <w:tcPr>
            <w:tcW w:w="1480" w:type="dxa"/>
            <w:tcBorders>
              <w:top w:val="nil"/>
              <w:left w:val="nil"/>
              <w:bottom w:val="single" w:sz="4" w:space="0" w:color="auto"/>
              <w:right w:val="single" w:sz="4" w:space="0" w:color="auto"/>
            </w:tcBorders>
            <w:shd w:val="clear" w:color="auto" w:fill="auto"/>
            <w:vAlign w:val="bottom"/>
            <w:hideMark/>
          </w:tcPr>
          <w:p w14:paraId="4B11A98D"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087800578N</w:t>
            </w:r>
          </w:p>
        </w:tc>
        <w:tc>
          <w:tcPr>
            <w:tcW w:w="6789" w:type="dxa"/>
            <w:tcBorders>
              <w:top w:val="nil"/>
              <w:left w:val="nil"/>
              <w:bottom w:val="single" w:sz="4" w:space="0" w:color="auto"/>
              <w:right w:val="single" w:sz="4" w:space="0" w:color="auto"/>
            </w:tcBorders>
            <w:shd w:val="clear" w:color="auto" w:fill="auto"/>
            <w:vAlign w:val="bottom"/>
            <w:hideMark/>
          </w:tcPr>
          <w:p w14:paraId="7FA27291" w14:textId="42DDA06D" w:rsidR="00AB0A2B" w:rsidRPr="00AB0A2B" w:rsidRDefault="00AB0A2B" w:rsidP="00AB0A2B">
            <w:pPr>
              <w:rPr>
                <w:rFonts w:ascii="Tw Cen MT" w:hAnsi="Tw Cen MT" w:cs="Calibri"/>
                <w:lang w:eastAsia="fr-FR"/>
              </w:rPr>
            </w:pPr>
            <w:r w:rsidRPr="00AB0A2B">
              <w:rPr>
                <w:rFonts w:ascii="Tw Cen MT" w:hAnsi="Tw Cen MT" w:cs="Calibri"/>
                <w:lang w:eastAsia="fr-FR"/>
              </w:rPr>
              <w:t>GLENCAR MALI SARL</w:t>
            </w:r>
          </w:p>
        </w:tc>
      </w:tr>
      <w:tr w:rsidR="00AB0A2B" w:rsidRPr="00AB0A2B" w14:paraId="7E1181E8"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4F1DF481"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68</w:t>
            </w:r>
          </w:p>
        </w:tc>
        <w:tc>
          <w:tcPr>
            <w:tcW w:w="1480" w:type="dxa"/>
            <w:tcBorders>
              <w:top w:val="nil"/>
              <w:left w:val="nil"/>
              <w:bottom w:val="single" w:sz="4" w:space="0" w:color="auto"/>
              <w:right w:val="single" w:sz="4" w:space="0" w:color="auto"/>
            </w:tcBorders>
            <w:shd w:val="clear" w:color="auto" w:fill="auto"/>
            <w:vAlign w:val="bottom"/>
            <w:hideMark/>
          </w:tcPr>
          <w:p w14:paraId="4B39DDDE"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084123504M</w:t>
            </w:r>
          </w:p>
        </w:tc>
        <w:tc>
          <w:tcPr>
            <w:tcW w:w="6789" w:type="dxa"/>
            <w:tcBorders>
              <w:top w:val="nil"/>
              <w:left w:val="nil"/>
              <w:bottom w:val="single" w:sz="4" w:space="0" w:color="auto"/>
              <w:right w:val="single" w:sz="4" w:space="0" w:color="auto"/>
            </w:tcBorders>
            <w:shd w:val="clear" w:color="auto" w:fill="auto"/>
            <w:vAlign w:val="bottom"/>
            <w:hideMark/>
          </w:tcPr>
          <w:p w14:paraId="060161CC" w14:textId="4B35B1F1" w:rsidR="00AB0A2B" w:rsidRPr="00AB0A2B" w:rsidRDefault="00AB0A2B" w:rsidP="00AB0A2B">
            <w:pPr>
              <w:rPr>
                <w:rFonts w:ascii="Tw Cen MT" w:hAnsi="Tw Cen MT" w:cs="Calibri"/>
                <w:lang w:eastAsia="fr-FR"/>
              </w:rPr>
            </w:pPr>
            <w:r w:rsidRPr="00AB0A2B">
              <w:rPr>
                <w:rFonts w:ascii="Tw Cen MT" w:hAnsi="Tw Cen MT" w:cs="Calibri"/>
                <w:lang w:eastAsia="fr-FR"/>
              </w:rPr>
              <w:t>GOLDROXS MALI SA</w:t>
            </w:r>
          </w:p>
        </w:tc>
      </w:tr>
      <w:tr w:rsidR="00AB0A2B" w:rsidRPr="00AB0A2B" w14:paraId="78892830"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00B1A755"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69</w:t>
            </w:r>
          </w:p>
        </w:tc>
        <w:tc>
          <w:tcPr>
            <w:tcW w:w="1480" w:type="dxa"/>
            <w:tcBorders>
              <w:top w:val="nil"/>
              <w:left w:val="nil"/>
              <w:bottom w:val="single" w:sz="4" w:space="0" w:color="auto"/>
              <w:right w:val="single" w:sz="4" w:space="0" w:color="auto"/>
            </w:tcBorders>
            <w:shd w:val="clear" w:color="auto" w:fill="auto"/>
            <w:vAlign w:val="bottom"/>
            <w:hideMark/>
          </w:tcPr>
          <w:p w14:paraId="3A6D19B5"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087800783K</w:t>
            </w:r>
          </w:p>
        </w:tc>
        <w:tc>
          <w:tcPr>
            <w:tcW w:w="6789" w:type="dxa"/>
            <w:tcBorders>
              <w:top w:val="nil"/>
              <w:left w:val="nil"/>
              <w:bottom w:val="single" w:sz="4" w:space="0" w:color="auto"/>
              <w:right w:val="single" w:sz="4" w:space="0" w:color="auto"/>
            </w:tcBorders>
            <w:shd w:val="clear" w:color="auto" w:fill="auto"/>
            <w:vAlign w:val="bottom"/>
            <w:hideMark/>
          </w:tcPr>
          <w:p w14:paraId="06800695" w14:textId="01A0B3C7" w:rsidR="00AB0A2B" w:rsidRPr="00AB0A2B" w:rsidRDefault="00AB0A2B" w:rsidP="00AB0A2B">
            <w:pPr>
              <w:rPr>
                <w:rFonts w:ascii="Tw Cen MT" w:hAnsi="Tw Cen MT" w:cs="Calibri"/>
                <w:lang w:eastAsia="fr-FR"/>
              </w:rPr>
            </w:pPr>
            <w:r w:rsidRPr="00AB0A2B">
              <w:rPr>
                <w:rFonts w:ascii="Tw Cen MT" w:hAnsi="Tw Cen MT" w:cs="Calibri"/>
                <w:lang w:eastAsia="fr-FR"/>
              </w:rPr>
              <w:t>GREAT QUEST MALI S.A</w:t>
            </w:r>
          </w:p>
        </w:tc>
      </w:tr>
      <w:tr w:rsidR="00AB0A2B" w:rsidRPr="00A32D70" w14:paraId="119A4216"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40D7C421"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70</w:t>
            </w:r>
          </w:p>
        </w:tc>
        <w:tc>
          <w:tcPr>
            <w:tcW w:w="1480" w:type="dxa"/>
            <w:tcBorders>
              <w:top w:val="nil"/>
              <w:left w:val="nil"/>
              <w:bottom w:val="single" w:sz="4" w:space="0" w:color="auto"/>
              <w:right w:val="single" w:sz="4" w:space="0" w:color="auto"/>
            </w:tcBorders>
            <w:shd w:val="clear" w:color="auto" w:fill="auto"/>
            <w:vAlign w:val="bottom"/>
            <w:hideMark/>
          </w:tcPr>
          <w:p w14:paraId="308C0838"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084122512T</w:t>
            </w:r>
          </w:p>
        </w:tc>
        <w:tc>
          <w:tcPr>
            <w:tcW w:w="6789" w:type="dxa"/>
            <w:tcBorders>
              <w:top w:val="nil"/>
              <w:left w:val="nil"/>
              <w:bottom w:val="single" w:sz="4" w:space="0" w:color="auto"/>
              <w:right w:val="single" w:sz="4" w:space="0" w:color="auto"/>
            </w:tcBorders>
            <w:shd w:val="clear" w:color="auto" w:fill="auto"/>
            <w:vAlign w:val="bottom"/>
            <w:hideMark/>
          </w:tcPr>
          <w:p w14:paraId="07242B35" w14:textId="140EB17B" w:rsidR="00AB0A2B" w:rsidRPr="00AB0A2B" w:rsidRDefault="00AB0A2B" w:rsidP="00AB0A2B">
            <w:pPr>
              <w:rPr>
                <w:rFonts w:ascii="Tw Cen MT" w:hAnsi="Tw Cen MT" w:cs="Calibri"/>
                <w:lang w:val="en-US" w:eastAsia="fr-FR"/>
              </w:rPr>
            </w:pPr>
            <w:r w:rsidRPr="00AB0A2B">
              <w:rPr>
                <w:rFonts w:ascii="Tw Cen MT" w:hAnsi="Tw Cen MT" w:cs="Calibri"/>
                <w:lang w:val="en-US" w:eastAsia="fr-FR"/>
              </w:rPr>
              <w:t>GREEN GOLD SYSTEM EUROPE (G.G.S)</w:t>
            </w:r>
          </w:p>
        </w:tc>
      </w:tr>
      <w:tr w:rsidR="00AB0A2B" w:rsidRPr="00AB0A2B" w14:paraId="5B93553F"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65E5F17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71</w:t>
            </w:r>
          </w:p>
        </w:tc>
        <w:tc>
          <w:tcPr>
            <w:tcW w:w="1480" w:type="dxa"/>
            <w:tcBorders>
              <w:top w:val="nil"/>
              <w:left w:val="nil"/>
              <w:bottom w:val="single" w:sz="4" w:space="0" w:color="auto"/>
              <w:right w:val="single" w:sz="4" w:space="0" w:color="auto"/>
            </w:tcBorders>
            <w:shd w:val="clear" w:color="auto" w:fill="auto"/>
            <w:vAlign w:val="bottom"/>
            <w:hideMark/>
          </w:tcPr>
          <w:p w14:paraId="416CB01B"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085121842M</w:t>
            </w:r>
          </w:p>
        </w:tc>
        <w:tc>
          <w:tcPr>
            <w:tcW w:w="6789" w:type="dxa"/>
            <w:tcBorders>
              <w:top w:val="nil"/>
              <w:left w:val="nil"/>
              <w:bottom w:val="single" w:sz="4" w:space="0" w:color="auto"/>
              <w:right w:val="single" w:sz="4" w:space="0" w:color="auto"/>
            </w:tcBorders>
            <w:shd w:val="clear" w:color="auto" w:fill="auto"/>
            <w:vAlign w:val="bottom"/>
            <w:hideMark/>
          </w:tcPr>
          <w:p w14:paraId="01ACC1CC" w14:textId="3C8A3F39" w:rsidR="00AB0A2B" w:rsidRPr="00AB0A2B" w:rsidRDefault="00AB0A2B" w:rsidP="00AB0A2B">
            <w:pPr>
              <w:rPr>
                <w:rFonts w:ascii="Tw Cen MT" w:hAnsi="Tw Cen MT" w:cs="Calibri"/>
                <w:lang w:eastAsia="fr-FR"/>
              </w:rPr>
            </w:pPr>
            <w:r w:rsidRPr="00AB0A2B">
              <w:rPr>
                <w:rFonts w:ascii="Tw Cen MT" w:hAnsi="Tw Cen MT" w:cs="Calibri"/>
                <w:lang w:eastAsia="fr-FR"/>
              </w:rPr>
              <w:t>INTERNATIONNAL GOLDFIELDS (MALI) SARL</w:t>
            </w:r>
          </w:p>
        </w:tc>
      </w:tr>
      <w:tr w:rsidR="00AB0A2B" w:rsidRPr="00AB0A2B" w14:paraId="00AD61EA"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3E3A3D30"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72</w:t>
            </w:r>
          </w:p>
        </w:tc>
        <w:tc>
          <w:tcPr>
            <w:tcW w:w="1480" w:type="dxa"/>
            <w:tcBorders>
              <w:top w:val="nil"/>
              <w:left w:val="nil"/>
              <w:bottom w:val="single" w:sz="4" w:space="0" w:color="auto"/>
              <w:right w:val="single" w:sz="4" w:space="0" w:color="auto"/>
            </w:tcBorders>
            <w:shd w:val="clear" w:color="auto" w:fill="auto"/>
            <w:vAlign w:val="bottom"/>
            <w:hideMark/>
          </w:tcPr>
          <w:p w14:paraId="5B4A291C"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083337449B</w:t>
            </w:r>
          </w:p>
        </w:tc>
        <w:tc>
          <w:tcPr>
            <w:tcW w:w="6789" w:type="dxa"/>
            <w:tcBorders>
              <w:top w:val="nil"/>
              <w:left w:val="nil"/>
              <w:bottom w:val="single" w:sz="4" w:space="0" w:color="auto"/>
              <w:right w:val="single" w:sz="4" w:space="0" w:color="auto"/>
            </w:tcBorders>
            <w:shd w:val="clear" w:color="auto" w:fill="auto"/>
            <w:vAlign w:val="bottom"/>
            <w:hideMark/>
          </w:tcPr>
          <w:p w14:paraId="47180CBC" w14:textId="35527FA0" w:rsidR="00AB0A2B" w:rsidRPr="00AB0A2B" w:rsidRDefault="00AB0A2B" w:rsidP="00AB0A2B">
            <w:pPr>
              <w:rPr>
                <w:rFonts w:ascii="Tw Cen MT" w:hAnsi="Tw Cen MT" w:cs="Calibri"/>
                <w:lang w:eastAsia="fr-FR"/>
              </w:rPr>
            </w:pPr>
            <w:r w:rsidRPr="00AB0A2B">
              <w:rPr>
                <w:rFonts w:ascii="Tw Cen MT" w:hAnsi="Tw Cen MT" w:cs="Calibri"/>
                <w:lang w:eastAsia="fr-FR"/>
              </w:rPr>
              <w:t>KAN MINING  SARL</w:t>
            </w:r>
          </w:p>
        </w:tc>
      </w:tr>
      <w:tr w:rsidR="00AB0A2B" w:rsidRPr="00AB0A2B" w14:paraId="7C14386C"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16920AC7"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73</w:t>
            </w:r>
          </w:p>
        </w:tc>
        <w:tc>
          <w:tcPr>
            <w:tcW w:w="1480" w:type="dxa"/>
            <w:tcBorders>
              <w:top w:val="nil"/>
              <w:left w:val="nil"/>
              <w:bottom w:val="single" w:sz="4" w:space="0" w:color="auto"/>
              <w:right w:val="single" w:sz="4" w:space="0" w:color="auto"/>
            </w:tcBorders>
            <w:shd w:val="clear" w:color="auto" w:fill="auto"/>
            <w:vAlign w:val="bottom"/>
            <w:hideMark/>
          </w:tcPr>
          <w:p w14:paraId="7BB433AE"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086139839J</w:t>
            </w:r>
          </w:p>
        </w:tc>
        <w:tc>
          <w:tcPr>
            <w:tcW w:w="6789" w:type="dxa"/>
            <w:tcBorders>
              <w:top w:val="nil"/>
              <w:left w:val="nil"/>
              <w:bottom w:val="single" w:sz="4" w:space="0" w:color="auto"/>
              <w:right w:val="single" w:sz="4" w:space="0" w:color="auto"/>
            </w:tcBorders>
            <w:shd w:val="clear" w:color="auto" w:fill="auto"/>
            <w:vAlign w:val="bottom"/>
            <w:hideMark/>
          </w:tcPr>
          <w:p w14:paraId="4B2F992D" w14:textId="7156E279" w:rsidR="00AB0A2B" w:rsidRPr="00AB0A2B" w:rsidRDefault="00AB0A2B" w:rsidP="00AB0A2B">
            <w:pPr>
              <w:rPr>
                <w:rFonts w:ascii="Tw Cen MT" w:hAnsi="Tw Cen MT" w:cs="Calibri"/>
                <w:lang w:eastAsia="fr-FR"/>
              </w:rPr>
            </w:pPr>
            <w:r w:rsidRPr="00AB0A2B">
              <w:rPr>
                <w:rFonts w:ascii="Tw Cen MT" w:hAnsi="Tw Cen MT" w:cs="Calibri"/>
                <w:lang w:eastAsia="fr-FR"/>
              </w:rPr>
              <w:t>MALI GOLD SARL</w:t>
            </w:r>
          </w:p>
        </w:tc>
      </w:tr>
      <w:tr w:rsidR="00AB0A2B" w:rsidRPr="00AB0A2B" w14:paraId="2B39B463"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2EC588B6"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74</w:t>
            </w:r>
          </w:p>
        </w:tc>
        <w:tc>
          <w:tcPr>
            <w:tcW w:w="1480" w:type="dxa"/>
            <w:tcBorders>
              <w:top w:val="nil"/>
              <w:left w:val="nil"/>
              <w:bottom w:val="single" w:sz="4" w:space="0" w:color="auto"/>
              <w:right w:val="single" w:sz="4" w:space="0" w:color="auto"/>
            </w:tcBorders>
            <w:shd w:val="clear" w:color="auto" w:fill="auto"/>
            <w:vAlign w:val="bottom"/>
            <w:hideMark/>
          </w:tcPr>
          <w:p w14:paraId="6B1A8329"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081129965D</w:t>
            </w:r>
          </w:p>
        </w:tc>
        <w:tc>
          <w:tcPr>
            <w:tcW w:w="6789" w:type="dxa"/>
            <w:tcBorders>
              <w:top w:val="nil"/>
              <w:left w:val="nil"/>
              <w:bottom w:val="single" w:sz="4" w:space="0" w:color="auto"/>
              <w:right w:val="single" w:sz="4" w:space="0" w:color="auto"/>
            </w:tcBorders>
            <w:shd w:val="clear" w:color="auto" w:fill="auto"/>
            <w:vAlign w:val="bottom"/>
            <w:hideMark/>
          </w:tcPr>
          <w:p w14:paraId="73269BF3" w14:textId="5503FCB1" w:rsidR="00AB0A2B" w:rsidRPr="00AB0A2B" w:rsidRDefault="00AB0A2B" w:rsidP="00AB0A2B">
            <w:pPr>
              <w:rPr>
                <w:rFonts w:ascii="Tw Cen MT" w:hAnsi="Tw Cen MT" w:cs="Calibri"/>
                <w:lang w:eastAsia="fr-FR"/>
              </w:rPr>
            </w:pPr>
            <w:r w:rsidRPr="00AB0A2B">
              <w:rPr>
                <w:rFonts w:ascii="Tw Cen MT" w:hAnsi="Tw Cen MT" w:cs="Calibri"/>
                <w:lang w:eastAsia="fr-FR"/>
              </w:rPr>
              <w:t>MINES-CARRIES SA</w:t>
            </w:r>
          </w:p>
        </w:tc>
      </w:tr>
      <w:tr w:rsidR="00AB0A2B" w:rsidRPr="00AB0A2B" w14:paraId="5988543A"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FC9FE39"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75</w:t>
            </w:r>
          </w:p>
        </w:tc>
        <w:tc>
          <w:tcPr>
            <w:tcW w:w="1480" w:type="dxa"/>
            <w:tcBorders>
              <w:top w:val="nil"/>
              <w:left w:val="nil"/>
              <w:bottom w:val="single" w:sz="4" w:space="0" w:color="auto"/>
              <w:right w:val="single" w:sz="4" w:space="0" w:color="auto"/>
            </w:tcBorders>
            <w:shd w:val="clear" w:color="auto" w:fill="auto"/>
            <w:vAlign w:val="bottom"/>
            <w:hideMark/>
          </w:tcPr>
          <w:p w14:paraId="632ABCC0"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086139384J</w:t>
            </w:r>
          </w:p>
        </w:tc>
        <w:tc>
          <w:tcPr>
            <w:tcW w:w="6789" w:type="dxa"/>
            <w:tcBorders>
              <w:top w:val="nil"/>
              <w:left w:val="nil"/>
              <w:bottom w:val="single" w:sz="4" w:space="0" w:color="auto"/>
              <w:right w:val="single" w:sz="4" w:space="0" w:color="auto"/>
            </w:tcBorders>
            <w:shd w:val="clear" w:color="auto" w:fill="auto"/>
            <w:vAlign w:val="bottom"/>
            <w:hideMark/>
          </w:tcPr>
          <w:p w14:paraId="79980F1A" w14:textId="071D439F" w:rsidR="00AB0A2B" w:rsidRPr="00AB0A2B" w:rsidRDefault="00AB0A2B" w:rsidP="00AB0A2B">
            <w:pPr>
              <w:rPr>
                <w:rFonts w:ascii="Tw Cen MT" w:hAnsi="Tw Cen MT" w:cs="Calibri"/>
                <w:lang w:eastAsia="fr-FR"/>
              </w:rPr>
            </w:pPr>
            <w:r w:rsidRPr="00AB0A2B">
              <w:rPr>
                <w:rFonts w:ascii="Tw Cen MT" w:hAnsi="Tw Cen MT" w:cs="Calibri"/>
                <w:lang w:eastAsia="fr-FR"/>
              </w:rPr>
              <w:t>SOCIÉTÉ MINIÈRE TRAORE ET FILS SARL</w:t>
            </w:r>
          </w:p>
        </w:tc>
      </w:tr>
      <w:tr w:rsidR="00AB0A2B" w:rsidRPr="00AB0A2B" w14:paraId="04FDD574"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E14119B"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76</w:t>
            </w:r>
          </w:p>
        </w:tc>
        <w:tc>
          <w:tcPr>
            <w:tcW w:w="1480" w:type="dxa"/>
            <w:tcBorders>
              <w:top w:val="nil"/>
              <w:left w:val="nil"/>
              <w:bottom w:val="single" w:sz="4" w:space="0" w:color="auto"/>
              <w:right w:val="single" w:sz="4" w:space="0" w:color="auto"/>
            </w:tcBorders>
            <w:shd w:val="clear" w:color="auto" w:fill="auto"/>
            <w:vAlign w:val="bottom"/>
            <w:hideMark/>
          </w:tcPr>
          <w:p w14:paraId="42F44DA9"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082221307L</w:t>
            </w:r>
          </w:p>
        </w:tc>
        <w:tc>
          <w:tcPr>
            <w:tcW w:w="6789" w:type="dxa"/>
            <w:tcBorders>
              <w:top w:val="nil"/>
              <w:left w:val="nil"/>
              <w:bottom w:val="single" w:sz="4" w:space="0" w:color="auto"/>
              <w:right w:val="single" w:sz="4" w:space="0" w:color="auto"/>
            </w:tcBorders>
            <w:shd w:val="clear" w:color="auto" w:fill="auto"/>
            <w:vAlign w:val="bottom"/>
            <w:hideMark/>
          </w:tcPr>
          <w:p w14:paraId="31542AE1" w14:textId="74C29662" w:rsidR="00AB0A2B" w:rsidRPr="00AB0A2B" w:rsidRDefault="00AB0A2B" w:rsidP="00AB0A2B">
            <w:pPr>
              <w:rPr>
                <w:rFonts w:ascii="Tw Cen MT" w:hAnsi="Tw Cen MT" w:cs="Calibri"/>
                <w:lang w:eastAsia="fr-FR"/>
              </w:rPr>
            </w:pPr>
            <w:r w:rsidRPr="00AB0A2B">
              <w:rPr>
                <w:rFonts w:ascii="Tw Cen MT" w:hAnsi="Tw Cen MT" w:cs="Calibri"/>
                <w:lang w:eastAsia="fr-FR"/>
              </w:rPr>
              <w:t>MULTINATIONALE POUR LE COMMERCE,L'INDUSTRIE ET LES MINES AU MALI (MUNCIM-HASBOUNA)SARL</w:t>
            </w:r>
          </w:p>
        </w:tc>
      </w:tr>
      <w:tr w:rsidR="00AB0A2B" w:rsidRPr="00AB0A2B" w14:paraId="15E39EC1"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18F28335"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77</w:t>
            </w:r>
          </w:p>
        </w:tc>
        <w:tc>
          <w:tcPr>
            <w:tcW w:w="1480" w:type="dxa"/>
            <w:tcBorders>
              <w:top w:val="nil"/>
              <w:left w:val="nil"/>
              <w:bottom w:val="single" w:sz="4" w:space="0" w:color="auto"/>
              <w:right w:val="single" w:sz="4" w:space="0" w:color="auto"/>
            </w:tcBorders>
            <w:shd w:val="clear" w:color="auto" w:fill="auto"/>
            <w:vAlign w:val="bottom"/>
            <w:hideMark/>
          </w:tcPr>
          <w:p w14:paraId="2AA04758"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086139476F</w:t>
            </w:r>
          </w:p>
        </w:tc>
        <w:tc>
          <w:tcPr>
            <w:tcW w:w="6789" w:type="dxa"/>
            <w:tcBorders>
              <w:top w:val="nil"/>
              <w:left w:val="nil"/>
              <w:bottom w:val="single" w:sz="4" w:space="0" w:color="auto"/>
              <w:right w:val="single" w:sz="4" w:space="0" w:color="auto"/>
            </w:tcBorders>
            <w:shd w:val="clear" w:color="auto" w:fill="auto"/>
            <w:vAlign w:val="bottom"/>
            <w:hideMark/>
          </w:tcPr>
          <w:p w14:paraId="61DDD28F" w14:textId="4F21B083" w:rsidR="00AB0A2B" w:rsidRPr="00AB0A2B" w:rsidRDefault="00AB0A2B" w:rsidP="00AB0A2B">
            <w:pPr>
              <w:rPr>
                <w:rFonts w:ascii="Tw Cen MT" w:hAnsi="Tw Cen MT" w:cs="Calibri"/>
                <w:lang w:eastAsia="fr-FR"/>
              </w:rPr>
            </w:pPr>
            <w:r w:rsidRPr="00AB0A2B">
              <w:rPr>
                <w:rFonts w:ascii="Tw Cen MT" w:hAnsi="Tw Cen MT" w:cs="Calibri"/>
                <w:lang w:eastAsia="fr-FR"/>
              </w:rPr>
              <w:t>OKLO RESOURCES MALI SARL</w:t>
            </w:r>
          </w:p>
        </w:tc>
      </w:tr>
      <w:tr w:rsidR="00AB0A2B" w:rsidRPr="00AB0A2B" w14:paraId="17B82573"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84E0DAE"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78</w:t>
            </w:r>
          </w:p>
        </w:tc>
        <w:tc>
          <w:tcPr>
            <w:tcW w:w="1480" w:type="dxa"/>
            <w:tcBorders>
              <w:top w:val="nil"/>
              <w:left w:val="nil"/>
              <w:bottom w:val="single" w:sz="4" w:space="0" w:color="auto"/>
              <w:right w:val="single" w:sz="4" w:space="0" w:color="auto"/>
            </w:tcBorders>
            <w:shd w:val="clear" w:color="auto" w:fill="auto"/>
            <w:vAlign w:val="bottom"/>
            <w:hideMark/>
          </w:tcPr>
          <w:p w14:paraId="456FB58F"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086143266V</w:t>
            </w:r>
          </w:p>
        </w:tc>
        <w:tc>
          <w:tcPr>
            <w:tcW w:w="6789" w:type="dxa"/>
            <w:tcBorders>
              <w:top w:val="nil"/>
              <w:left w:val="nil"/>
              <w:bottom w:val="single" w:sz="4" w:space="0" w:color="auto"/>
              <w:right w:val="single" w:sz="4" w:space="0" w:color="auto"/>
            </w:tcBorders>
            <w:shd w:val="clear" w:color="auto" w:fill="auto"/>
            <w:vAlign w:val="bottom"/>
            <w:hideMark/>
          </w:tcPr>
          <w:p w14:paraId="6995179F" w14:textId="18D149A9" w:rsidR="00AB0A2B" w:rsidRPr="00AB0A2B" w:rsidRDefault="00AB0A2B" w:rsidP="00AB0A2B">
            <w:pPr>
              <w:rPr>
                <w:rFonts w:ascii="Tw Cen MT" w:hAnsi="Tw Cen MT" w:cs="Calibri"/>
                <w:lang w:eastAsia="fr-FR"/>
              </w:rPr>
            </w:pPr>
            <w:r w:rsidRPr="00AB0A2B">
              <w:rPr>
                <w:rFonts w:ascii="Tw Cen MT" w:hAnsi="Tw Cen MT" w:cs="Calibri"/>
                <w:lang w:eastAsia="fr-FR"/>
              </w:rPr>
              <w:t>POINT COMMERCIAL "SARLU"</w:t>
            </w:r>
          </w:p>
        </w:tc>
      </w:tr>
      <w:tr w:rsidR="00AB0A2B" w:rsidRPr="00AB0A2B" w14:paraId="512D2F7D"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0E817BD4"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79</w:t>
            </w:r>
          </w:p>
        </w:tc>
        <w:tc>
          <w:tcPr>
            <w:tcW w:w="1480" w:type="dxa"/>
            <w:tcBorders>
              <w:top w:val="nil"/>
              <w:left w:val="nil"/>
              <w:bottom w:val="single" w:sz="4" w:space="0" w:color="auto"/>
              <w:right w:val="single" w:sz="4" w:space="0" w:color="auto"/>
            </w:tcBorders>
            <w:shd w:val="clear" w:color="auto" w:fill="auto"/>
            <w:vAlign w:val="bottom"/>
            <w:hideMark/>
          </w:tcPr>
          <w:p w14:paraId="18783FB2"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087800180A</w:t>
            </w:r>
          </w:p>
        </w:tc>
        <w:tc>
          <w:tcPr>
            <w:tcW w:w="6789" w:type="dxa"/>
            <w:tcBorders>
              <w:top w:val="nil"/>
              <w:left w:val="nil"/>
              <w:bottom w:val="single" w:sz="4" w:space="0" w:color="auto"/>
              <w:right w:val="single" w:sz="4" w:space="0" w:color="auto"/>
            </w:tcBorders>
            <w:shd w:val="clear" w:color="auto" w:fill="auto"/>
            <w:vAlign w:val="bottom"/>
            <w:hideMark/>
          </w:tcPr>
          <w:p w14:paraId="583054AC" w14:textId="1613796A" w:rsidR="00AB0A2B" w:rsidRPr="00AB0A2B" w:rsidRDefault="00AB0A2B" w:rsidP="00AB0A2B">
            <w:pPr>
              <w:rPr>
                <w:rFonts w:ascii="Tw Cen MT" w:hAnsi="Tw Cen MT" w:cs="Calibri"/>
                <w:lang w:eastAsia="fr-FR"/>
              </w:rPr>
            </w:pPr>
            <w:r w:rsidRPr="00AB0A2B">
              <w:rPr>
                <w:rFonts w:ascii="Tw Cen MT" w:hAnsi="Tw Cen MT" w:cs="Calibri"/>
                <w:lang w:eastAsia="fr-FR"/>
              </w:rPr>
              <w:t>RANDGOLD RESOURCES MALI SARL</w:t>
            </w:r>
          </w:p>
        </w:tc>
      </w:tr>
      <w:tr w:rsidR="00AB0A2B" w:rsidRPr="00AB0A2B" w14:paraId="6749B570"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4D83A28E"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80</w:t>
            </w:r>
          </w:p>
        </w:tc>
        <w:tc>
          <w:tcPr>
            <w:tcW w:w="1480" w:type="dxa"/>
            <w:tcBorders>
              <w:top w:val="nil"/>
              <w:left w:val="nil"/>
              <w:bottom w:val="single" w:sz="4" w:space="0" w:color="auto"/>
              <w:right w:val="single" w:sz="4" w:space="0" w:color="auto"/>
            </w:tcBorders>
            <w:shd w:val="clear" w:color="auto" w:fill="auto"/>
            <w:vAlign w:val="bottom"/>
            <w:hideMark/>
          </w:tcPr>
          <w:p w14:paraId="4DFFFAC0"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087800875G</w:t>
            </w:r>
          </w:p>
        </w:tc>
        <w:tc>
          <w:tcPr>
            <w:tcW w:w="6789" w:type="dxa"/>
            <w:tcBorders>
              <w:top w:val="nil"/>
              <w:left w:val="nil"/>
              <w:bottom w:val="single" w:sz="4" w:space="0" w:color="auto"/>
              <w:right w:val="single" w:sz="4" w:space="0" w:color="auto"/>
            </w:tcBorders>
            <w:shd w:val="clear" w:color="auto" w:fill="auto"/>
            <w:vAlign w:val="bottom"/>
            <w:hideMark/>
          </w:tcPr>
          <w:p w14:paraId="7043776E" w14:textId="325134B1" w:rsidR="00AB0A2B" w:rsidRPr="00AB0A2B" w:rsidRDefault="00AB0A2B" w:rsidP="00AB0A2B">
            <w:pPr>
              <w:rPr>
                <w:rFonts w:ascii="Tw Cen MT" w:hAnsi="Tw Cen MT" w:cs="Calibri"/>
                <w:lang w:eastAsia="fr-FR"/>
              </w:rPr>
            </w:pPr>
            <w:r w:rsidRPr="00AB0A2B">
              <w:rPr>
                <w:rFonts w:ascii="Tw Cen MT" w:hAnsi="Tw Cen MT" w:cs="Calibri"/>
                <w:lang w:eastAsia="fr-FR"/>
              </w:rPr>
              <w:t>SACKO HOLDING S.A.</w:t>
            </w:r>
          </w:p>
        </w:tc>
      </w:tr>
      <w:tr w:rsidR="00AB0A2B" w:rsidRPr="00AB0A2B" w14:paraId="6E016493"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11C27AE8"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81</w:t>
            </w:r>
          </w:p>
        </w:tc>
        <w:tc>
          <w:tcPr>
            <w:tcW w:w="1480" w:type="dxa"/>
            <w:tcBorders>
              <w:top w:val="nil"/>
              <w:left w:val="nil"/>
              <w:bottom w:val="single" w:sz="4" w:space="0" w:color="auto"/>
              <w:right w:val="single" w:sz="4" w:space="0" w:color="auto"/>
            </w:tcBorders>
            <w:shd w:val="clear" w:color="auto" w:fill="auto"/>
            <w:vAlign w:val="bottom"/>
            <w:hideMark/>
          </w:tcPr>
          <w:p w14:paraId="6CF1DB5D"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082242335N</w:t>
            </w:r>
          </w:p>
        </w:tc>
        <w:tc>
          <w:tcPr>
            <w:tcW w:w="6789" w:type="dxa"/>
            <w:tcBorders>
              <w:top w:val="nil"/>
              <w:left w:val="nil"/>
              <w:bottom w:val="single" w:sz="4" w:space="0" w:color="auto"/>
              <w:right w:val="single" w:sz="4" w:space="0" w:color="auto"/>
            </w:tcBorders>
            <w:shd w:val="clear" w:color="auto" w:fill="auto"/>
            <w:vAlign w:val="bottom"/>
            <w:hideMark/>
          </w:tcPr>
          <w:p w14:paraId="15796AC2" w14:textId="3C215831" w:rsidR="00AB0A2B" w:rsidRPr="00AB0A2B" w:rsidRDefault="00AB0A2B" w:rsidP="00AB0A2B">
            <w:pPr>
              <w:rPr>
                <w:rFonts w:ascii="Tw Cen MT" w:hAnsi="Tw Cen MT" w:cs="Calibri"/>
                <w:lang w:eastAsia="fr-FR"/>
              </w:rPr>
            </w:pPr>
            <w:r w:rsidRPr="00AB0A2B">
              <w:rPr>
                <w:rFonts w:ascii="Tw Cen MT" w:hAnsi="Tw Cen MT" w:cs="Calibri"/>
                <w:lang w:eastAsia="fr-FR"/>
              </w:rPr>
              <w:t>SANOU STAR RESOURCES "2SR-SARL"</w:t>
            </w:r>
          </w:p>
        </w:tc>
      </w:tr>
      <w:tr w:rsidR="00AB0A2B" w:rsidRPr="00AB0A2B" w14:paraId="2FD497DC"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467C3BE9"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82</w:t>
            </w:r>
          </w:p>
        </w:tc>
        <w:tc>
          <w:tcPr>
            <w:tcW w:w="1480" w:type="dxa"/>
            <w:tcBorders>
              <w:top w:val="nil"/>
              <w:left w:val="nil"/>
              <w:bottom w:val="single" w:sz="4" w:space="0" w:color="auto"/>
              <w:right w:val="single" w:sz="4" w:space="0" w:color="auto"/>
            </w:tcBorders>
            <w:shd w:val="clear" w:color="auto" w:fill="auto"/>
            <w:vAlign w:val="bottom"/>
            <w:hideMark/>
          </w:tcPr>
          <w:p w14:paraId="271331B0"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084120040R</w:t>
            </w:r>
          </w:p>
        </w:tc>
        <w:tc>
          <w:tcPr>
            <w:tcW w:w="6789" w:type="dxa"/>
            <w:tcBorders>
              <w:top w:val="nil"/>
              <w:left w:val="nil"/>
              <w:bottom w:val="single" w:sz="4" w:space="0" w:color="auto"/>
              <w:right w:val="single" w:sz="4" w:space="0" w:color="auto"/>
            </w:tcBorders>
            <w:shd w:val="clear" w:color="auto" w:fill="auto"/>
            <w:vAlign w:val="bottom"/>
            <w:hideMark/>
          </w:tcPr>
          <w:p w14:paraId="2665F0D3" w14:textId="6D8E02BF" w:rsidR="00AB0A2B" w:rsidRPr="00AB0A2B" w:rsidRDefault="00AB0A2B" w:rsidP="00AB0A2B">
            <w:pPr>
              <w:rPr>
                <w:rFonts w:ascii="Tw Cen MT" w:hAnsi="Tw Cen MT" w:cs="Calibri"/>
                <w:lang w:eastAsia="fr-FR"/>
              </w:rPr>
            </w:pPr>
            <w:r w:rsidRPr="00AB0A2B">
              <w:rPr>
                <w:rFonts w:ascii="Tw Cen MT" w:hAnsi="Tw Cen MT" w:cs="Calibri"/>
                <w:lang w:eastAsia="fr-FR"/>
              </w:rPr>
              <w:t>SIDIBE MINING SA "SI-MINING" SA</w:t>
            </w:r>
          </w:p>
        </w:tc>
      </w:tr>
      <w:tr w:rsidR="00AB0A2B" w:rsidRPr="00AB0A2B" w14:paraId="1C01CBCD"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09D29829"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83</w:t>
            </w:r>
          </w:p>
        </w:tc>
        <w:tc>
          <w:tcPr>
            <w:tcW w:w="1480" w:type="dxa"/>
            <w:tcBorders>
              <w:top w:val="nil"/>
              <w:left w:val="nil"/>
              <w:bottom w:val="single" w:sz="4" w:space="0" w:color="auto"/>
              <w:right w:val="single" w:sz="4" w:space="0" w:color="auto"/>
            </w:tcBorders>
            <w:shd w:val="clear" w:color="auto" w:fill="auto"/>
            <w:vAlign w:val="bottom"/>
            <w:hideMark/>
          </w:tcPr>
          <w:p w14:paraId="6F240A1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082200518F</w:t>
            </w:r>
          </w:p>
        </w:tc>
        <w:tc>
          <w:tcPr>
            <w:tcW w:w="6789" w:type="dxa"/>
            <w:tcBorders>
              <w:top w:val="nil"/>
              <w:left w:val="nil"/>
              <w:bottom w:val="single" w:sz="4" w:space="0" w:color="auto"/>
              <w:right w:val="single" w:sz="4" w:space="0" w:color="auto"/>
            </w:tcBorders>
            <w:shd w:val="clear" w:color="auto" w:fill="auto"/>
            <w:vAlign w:val="bottom"/>
            <w:hideMark/>
          </w:tcPr>
          <w:p w14:paraId="54A3690C" w14:textId="7F7157A3" w:rsidR="00AB0A2B" w:rsidRPr="00AB0A2B" w:rsidRDefault="00AB0A2B" w:rsidP="00AB0A2B">
            <w:pPr>
              <w:rPr>
                <w:rFonts w:ascii="Tw Cen MT" w:hAnsi="Tw Cen MT" w:cs="Calibri"/>
                <w:lang w:eastAsia="fr-FR"/>
              </w:rPr>
            </w:pPr>
            <w:r w:rsidRPr="00AB0A2B">
              <w:rPr>
                <w:rFonts w:ascii="Tw Cen MT" w:hAnsi="Tw Cen MT" w:cs="Calibri"/>
                <w:lang w:eastAsia="fr-FR"/>
              </w:rPr>
              <w:t>TICHITT SA</w:t>
            </w:r>
          </w:p>
        </w:tc>
      </w:tr>
      <w:tr w:rsidR="00AB0A2B" w:rsidRPr="00AB0A2B" w14:paraId="3373734A"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0BF4342B"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84</w:t>
            </w:r>
          </w:p>
        </w:tc>
        <w:tc>
          <w:tcPr>
            <w:tcW w:w="1480" w:type="dxa"/>
            <w:tcBorders>
              <w:top w:val="nil"/>
              <w:left w:val="nil"/>
              <w:bottom w:val="single" w:sz="4" w:space="0" w:color="auto"/>
              <w:right w:val="single" w:sz="4" w:space="0" w:color="auto"/>
            </w:tcBorders>
            <w:shd w:val="clear" w:color="auto" w:fill="auto"/>
            <w:vAlign w:val="bottom"/>
            <w:hideMark/>
          </w:tcPr>
          <w:p w14:paraId="32820E0B"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085128866M</w:t>
            </w:r>
          </w:p>
        </w:tc>
        <w:tc>
          <w:tcPr>
            <w:tcW w:w="6789" w:type="dxa"/>
            <w:tcBorders>
              <w:top w:val="nil"/>
              <w:left w:val="nil"/>
              <w:bottom w:val="single" w:sz="4" w:space="0" w:color="auto"/>
              <w:right w:val="single" w:sz="4" w:space="0" w:color="auto"/>
            </w:tcBorders>
            <w:shd w:val="clear" w:color="auto" w:fill="auto"/>
            <w:vAlign w:val="bottom"/>
            <w:hideMark/>
          </w:tcPr>
          <w:p w14:paraId="42618D38" w14:textId="2930643F" w:rsidR="00AB0A2B" w:rsidRPr="00AB0A2B" w:rsidRDefault="00AB0A2B" w:rsidP="00AB0A2B">
            <w:pPr>
              <w:rPr>
                <w:rFonts w:ascii="Tw Cen MT" w:hAnsi="Tw Cen MT" w:cs="Calibri"/>
                <w:lang w:eastAsia="fr-FR"/>
              </w:rPr>
            </w:pPr>
            <w:r w:rsidRPr="00AB0A2B">
              <w:rPr>
                <w:rFonts w:ascii="Tw Cen MT" w:hAnsi="Tw Cen MT" w:cs="Calibri"/>
                <w:lang w:eastAsia="fr-FR"/>
              </w:rPr>
              <w:t>UNIVERSAL MINES ET ENERGIES SARLU</w:t>
            </w:r>
          </w:p>
        </w:tc>
      </w:tr>
      <w:tr w:rsidR="00AB0A2B" w:rsidRPr="00AB0A2B" w14:paraId="2343A5D4"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6F1A9E78"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85</w:t>
            </w:r>
          </w:p>
        </w:tc>
        <w:tc>
          <w:tcPr>
            <w:tcW w:w="1480" w:type="dxa"/>
            <w:tcBorders>
              <w:top w:val="nil"/>
              <w:left w:val="nil"/>
              <w:bottom w:val="single" w:sz="4" w:space="0" w:color="auto"/>
              <w:right w:val="single" w:sz="4" w:space="0" w:color="auto"/>
            </w:tcBorders>
            <w:shd w:val="clear" w:color="auto" w:fill="auto"/>
            <w:vAlign w:val="bottom"/>
            <w:hideMark/>
          </w:tcPr>
          <w:p w14:paraId="6B3E5176"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084129849F</w:t>
            </w:r>
          </w:p>
        </w:tc>
        <w:tc>
          <w:tcPr>
            <w:tcW w:w="6789" w:type="dxa"/>
            <w:tcBorders>
              <w:top w:val="nil"/>
              <w:left w:val="nil"/>
              <w:bottom w:val="single" w:sz="4" w:space="0" w:color="auto"/>
              <w:right w:val="single" w:sz="4" w:space="0" w:color="auto"/>
            </w:tcBorders>
            <w:shd w:val="clear" w:color="auto" w:fill="auto"/>
            <w:vAlign w:val="bottom"/>
            <w:hideMark/>
          </w:tcPr>
          <w:p w14:paraId="50C7FD0C" w14:textId="68E2F2DC" w:rsidR="00AB0A2B" w:rsidRPr="00AB0A2B" w:rsidRDefault="00AB0A2B" w:rsidP="00AB0A2B">
            <w:pPr>
              <w:rPr>
                <w:rFonts w:ascii="Tw Cen MT" w:hAnsi="Tw Cen MT" w:cs="Calibri"/>
                <w:lang w:eastAsia="fr-FR"/>
              </w:rPr>
            </w:pPr>
            <w:r w:rsidRPr="00AB0A2B">
              <w:rPr>
                <w:rFonts w:ascii="Tw Cen MT" w:hAnsi="Tw Cen MT" w:cs="Calibri"/>
                <w:lang w:eastAsia="fr-FR"/>
              </w:rPr>
              <w:t>WAFI -MINING SARL</w:t>
            </w:r>
          </w:p>
        </w:tc>
      </w:tr>
      <w:tr w:rsidR="00AB0A2B" w:rsidRPr="00AB0A2B" w14:paraId="32BAADA5"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753D8224"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86</w:t>
            </w:r>
          </w:p>
        </w:tc>
        <w:tc>
          <w:tcPr>
            <w:tcW w:w="1480" w:type="dxa"/>
            <w:tcBorders>
              <w:top w:val="nil"/>
              <w:left w:val="nil"/>
              <w:bottom w:val="single" w:sz="4" w:space="0" w:color="auto"/>
              <w:right w:val="single" w:sz="4" w:space="0" w:color="auto"/>
            </w:tcBorders>
            <w:shd w:val="clear" w:color="auto" w:fill="auto"/>
            <w:vAlign w:val="bottom"/>
            <w:hideMark/>
          </w:tcPr>
          <w:p w14:paraId="53B68DE5"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082235986V</w:t>
            </w:r>
          </w:p>
        </w:tc>
        <w:tc>
          <w:tcPr>
            <w:tcW w:w="6789" w:type="dxa"/>
            <w:tcBorders>
              <w:top w:val="nil"/>
              <w:left w:val="nil"/>
              <w:bottom w:val="single" w:sz="4" w:space="0" w:color="auto"/>
              <w:right w:val="single" w:sz="4" w:space="0" w:color="auto"/>
            </w:tcBorders>
            <w:shd w:val="clear" w:color="auto" w:fill="auto"/>
            <w:vAlign w:val="bottom"/>
            <w:hideMark/>
          </w:tcPr>
          <w:p w14:paraId="1D6E7CE9" w14:textId="3F9D37C2" w:rsidR="00AB0A2B" w:rsidRPr="00AB0A2B" w:rsidRDefault="00AB0A2B" w:rsidP="00AB0A2B">
            <w:pPr>
              <w:rPr>
                <w:rFonts w:ascii="Tw Cen MT" w:hAnsi="Tw Cen MT" w:cs="Calibri"/>
                <w:lang w:eastAsia="fr-FR"/>
              </w:rPr>
            </w:pPr>
            <w:r w:rsidRPr="00AB0A2B">
              <w:rPr>
                <w:rFonts w:ascii="Tw Cen MT" w:hAnsi="Tw Cen MT" w:cs="Calibri"/>
                <w:lang w:eastAsia="fr-FR"/>
              </w:rPr>
              <w:t>ZHENG DA YI YUAN MINES MALI SARL</w:t>
            </w:r>
          </w:p>
        </w:tc>
      </w:tr>
      <w:tr w:rsidR="00AB0A2B" w:rsidRPr="00AB0A2B" w14:paraId="1813355A"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3EA452DB"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lastRenderedPageBreak/>
              <w:t>87</w:t>
            </w:r>
          </w:p>
        </w:tc>
        <w:tc>
          <w:tcPr>
            <w:tcW w:w="1480" w:type="dxa"/>
            <w:tcBorders>
              <w:top w:val="nil"/>
              <w:left w:val="nil"/>
              <w:bottom w:val="single" w:sz="4" w:space="0" w:color="auto"/>
              <w:right w:val="single" w:sz="4" w:space="0" w:color="auto"/>
            </w:tcBorders>
            <w:shd w:val="clear" w:color="auto" w:fill="auto"/>
            <w:vAlign w:val="bottom"/>
            <w:hideMark/>
          </w:tcPr>
          <w:p w14:paraId="410B731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084118976X</w:t>
            </w:r>
          </w:p>
        </w:tc>
        <w:tc>
          <w:tcPr>
            <w:tcW w:w="6789" w:type="dxa"/>
            <w:tcBorders>
              <w:top w:val="nil"/>
              <w:left w:val="nil"/>
              <w:bottom w:val="single" w:sz="4" w:space="0" w:color="auto"/>
              <w:right w:val="single" w:sz="4" w:space="0" w:color="auto"/>
            </w:tcBorders>
            <w:shd w:val="clear" w:color="auto" w:fill="auto"/>
            <w:vAlign w:val="bottom"/>
            <w:hideMark/>
          </w:tcPr>
          <w:p w14:paraId="6F4A7FBC" w14:textId="6F68331C" w:rsidR="00AB0A2B" w:rsidRPr="00AB0A2B" w:rsidRDefault="00AB0A2B" w:rsidP="00AB0A2B">
            <w:pPr>
              <w:rPr>
                <w:rFonts w:ascii="Tw Cen MT" w:hAnsi="Tw Cen MT" w:cs="Calibri"/>
                <w:lang w:eastAsia="fr-FR"/>
              </w:rPr>
            </w:pPr>
            <w:r w:rsidRPr="00AB0A2B">
              <w:rPr>
                <w:rFonts w:ascii="Tw Cen MT" w:hAnsi="Tw Cen MT" w:cs="Calibri"/>
                <w:lang w:eastAsia="fr-FR"/>
              </w:rPr>
              <w:t>Z. GOLD MINING SA</w:t>
            </w:r>
          </w:p>
        </w:tc>
      </w:tr>
      <w:tr w:rsidR="00AB0A2B" w:rsidRPr="00AB0A2B" w14:paraId="3A67BAE6"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33F28075"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88</w:t>
            </w:r>
          </w:p>
        </w:tc>
        <w:tc>
          <w:tcPr>
            <w:tcW w:w="1480" w:type="dxa"/>
            <w:tcBorders>
              <w:top w:val="nil"/>
              <w:left w:val="nil"/>
              <w:bottom w:val="single" w:sz="4" w:space="0" w:color="auto"/>
              <w:right w:val="single" w:sz="4" w:space="0" w:color="auto"/>
            </w:tcBorders>
            <w:shd w:val="clear" w:color="auto" w:fill="auto"/>
            <w:vAlign w:val="bottom"/>
            <w:hideMark/>
          </w:tcPr>
          <w:p w14:paraId="7936DC45"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087000171K</w:t>
            </w:r>
          </w:p>
        </w:tc>
        <w:tc>
          <w:tcPr>
            <w:tcW w:w="6789" w:type="dxa"/>
            <w:tcBorders>
              <w:top w:val="nil"/>
              <w:left w:val="nil"/>
              <w:bottom w:val="single" w:sz="4" w:space="0" w:color="auto"/>
              <w:right w:val="single" w:sz="4" w:space="0" w:color="auto"/>
            </w:tcBorders>
            <w:shd w:val="clear" w:color="auto" w:fill="auto"/>
            <w:vAlign w:val="bottom"/>
            <w:hideMark/>
          </w:tcPr>
          <w:p w14:paraId="48AD461E" w14:textId="70D30E7B" w:rsidR="00AB0A2B" w:rsidRPr="00AB0A2B" w:rsidRDefault="00AB0A2B" w:rsidP="00AB0A2B">
            <w:pPr>
              <w:rPr>
                <w:rFonts w:ascii="Tw Cen MT" w:hAnsi="Tw Cen MT" w:cs="Calibri"/>
                <w:lang w:eastAsia="fr-FR"/>
              </w:rPr>
            </w:pPr>
            <w:r w:rsidRPr="00AB0A2B">
              <w:rPr>
                <w:rFonts w:ascii="Tw Cen MT" w:hAnsi="Tw Cen MT" w:cs="Calibri"/>
                <w:lang w:eastAsia="fr-FR"/>
              </w:rPr>
              <w:t>SUD MINING SARL</w:t>
            </w:r>
          </w:p>
        </w:tc>
      </w:tr>
      <w:tr w:rsidR="00AB0A2B" w:rsidRPr="00AB0A2B" w14:paraId="66DEADB2"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3879E6C4"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89</w:t>
            </w:r>
          </w:p>
        </w:tc>
        <w:tc>
          <w:tcPr>
            <w:tcW w:w="1480" w:type="dxa"/>
            <w:tcBorders>
              <w:top w:val="nil"/>
              <w:left w:val="nil"/>
              <w:bottom w:val="single" w:sz="4" w:space="0" w:color="auto"/>
              <w:right w:val="single" w:sz="4" w:space="0" w:color="auto"/>
            </w:tcBorders>
            <w:shd w:val="clear" w:color="auto" w:fill="auto"/>
            <w:vAlign w:val="bottom"/>
            <w:hideMark/>
          </w:tcPr>
          <w:p w14:paraId="3796C58B"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082237880H</w:t>
            </w:r>
          </w:p>
        </w:tc>
        <w:tc>
          <w:tcPr>
            <w:tcW w:w="6789" w:type="dxa"/>
            <w:tcBorders>
              <w:top w:val="nil"/>
              <w:left w:val="nil"/>
              <w:bottom w:val="single" w:sz="4" w:space="0" w:color="auto"/>
              <w:right w:val="single" w:sz="4" w:space="0" w:color="auto"/>
            </w:tcBorders>
            <w:shd w:val="clear" w:color="auto" w:fill="auto"/>
            <w:vAlign w:val="bottom"/>
            <w:hideMark/>
          </w:tcPr>
          <w:p w14:paraId="2E254542" w14:textId="751A16E7" w:rsidR="00AB0A2B" w:rsidRPr="00AB0A2B" w:rsidRDefault="00AB0A2B" w:rsidP="00AB0A2B">
            <w:pPr>
              <w:rPr>
                <w:rFonts w:ascii="Tw Cen MT" w:hAnsi="Tw Cen MT" w:cs="Calibri"/>
                <w:lang w:eastAsia="fr-FR"/>
              </w:rPr>
            </w:pPr>
            <w:r w:rsidRPr="00AB0A2B">
              <w:rPr>
                <w:rFonts w:ascii="Tw Cen MT" w:hAnsi="Tw Cen MT" w:cs="Calibri"/>
                <w:lang w:eastAsia="fr-FR"/>
              </w:rPr>
              <w:t>TEYSSIR MINING -SARL</w:t>
            </w:r>
          </w:p>
        </w:tc>
      </w:tr>
      <w:tr w:rsidR="00AB0A2B" w:rsidRPr="00AB0A2B" w14:paraId="2A5D653B"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07BA72C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90</w:t>
            </w:r>
          </w:p>
        </w:tc>
        <w:tc>
          <w:tcPr>
            <w:tcW w:w="1480" w:type="dxa"/>
            <w:tcBorders>
              <w:top w:val="nil"/>
              <w:left w:val="nil"/>
              <w:bottom w:val="single" w:sz="4" w:space="0" w:color="auto"/>
              <w:right w:val="single" w:sz="4" w:space="0" w:color="auto"/>
            </w:tcBorders>
            <w:shd w:val="clear" w:color="auto" w:fill="auto"/>
            <w:vAlign w:val="bottom"/>
            <w:hideMark/>
          </w:tcPr>
          <w:p w14:paraId="16D1684D"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084123652A</w:t>
            </w:r>
          </w:p>
        </w:tc>
        <w:tc>
          <w:tcPr>
            <w:tcW w:w="6789" w:type="dxa"/>
            <w:tcBorders>
              <w:top w:val="nil"/>
              <w:left w:val="nil"/>
              <w:bottom w:val="single" w:sz="4" w:space="0" w:color="auto"/>
              <w:right w:val="single" w:sz="4" w:space="0" w:color="auto"/>
            </w:tcBorders>
            <w:shd w:val="clear" w:color="auto" w:fill="auto"/>
            <w:vAlign w:val="bottom"/>
            <w:hideMark/>
          </w:tcPr>
          <w:p w14:paraId="7A9B140E" w14:textId="272CC9CF" w:rsidR="00AB0A2B" w:rsidRPr="00AB0A2B" w:rsidRDefault="00AB0A2B" w:rsidP="00AB0A2B">
            <w:pPr>
              <w:rPr>
                <w:rFonts w:ascii="Tw Cen MT" w:hAnsi="Tw Cen MT" w:cs="Calibri"/>
                <w:lang w:eastAsia="fr-FR"/>
              </w:rPr>
            </w:pPr>
            <w:r w:rsidRPr="00AB0A2B">
              <w:rPr>
                <w:rFonts w:ascii="Tw Cen MT" w:hAnsi="Tw Cen MT" w:cs="Calibri"/>
                <w:lang w:eastAsia="fr-FR"/>
              </w:rPr>
              <w:t>TOP MINING &amp; CONSULTING LTD</w:t>
            </w:r>
          </w:p>
        </w:tc>
      </w:tr>
      <w:tr w:rsidR="00AB0A2B" w:rsidRPr="00AB0A2B" w14:paraId="473BBB6E"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C0163EB"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91</w:t>
            </w:r>
          </w:p>
        </w:tc>
        <w:tc>
          <w:tcPr>
            <w:tcW w:w="1480" w:type="dxa"/>
            <w:tcBorders>
              <w:top w:val="nil"/>
              <w:left w:val="nil"/>
              <w:bottom w:val="single" w:sz="4" w:space="0" w:color="auto"/>
              <w:right w:val="single" w:sz="4" w:space="0" w:color="auto"/>
            </w:tcBorders>
            <w:shd w:val="clear" w:color="auto" w:fill="auto"/>
            <w:vAlign w:val="bottom"/>
            <w:hideMark/>
          </w:tcPr>
          <w:p w14:paraId="3C632642"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083327405C</w:t>
            </w:r>
          </w:p>
        </w:tc>
        <w:tc>
          <w:tcPr>
            <w:tcW w:w="6789" w:type="dxa"/>
            <w:tcBorders>
              <w:top w:val="nil"/>
              <w:left w:val="nil"/>
              <w:bottom w:val="single" w:sz="4" w:space="0" w:color="auto"/>
              <w:right w:val="single" w:sz="4" w:space="0" w:color="auto"/>
            </w:tcBorders>
            <w:shd w:val="clear" w:color="auto" w:fill="auto"/>
            <w:vAlign w:val="bottom"/>
            <w:hideMark/>
          </w:tcPr>
          <w:p w14:paraId="42BF7D6E" w14:textId="432EED44" w:rsidR="00AB0A2B" w:rsidRPr="00AB0A2B" w:rsidRDefault="00AB0A2B" w:rsidP="00AB0A2B">
            <w:pPr>
              <w:rPr>
                <w:rFonts w:ascii="Tw Cen MT" w:hAnsi="Tw Cen MT" w:cs="Calibri"/>
                <w:lang w:eastAsia="fr-FR"/>
              </w:rPr>
            </w:pPr>
            <w:r w:rsidRPr="00AB0A2B">
              <w:rPr>
                <w:rFonts w:ascii="Tw Cen MT" w:hAnsi="Tw Cen MT" w:cs="Calibri"/>
                <w:lang w:eastAsia="fr-FR"/>
              </w:rPr>
              <w:t>SAN OR SARL</w:t>
            </w:r>
          </w:p>
        </w:tc>
      </w:tr>
      <w:tr w:rsidR="00AB0A2B" w:rsidRPr="00AB0A2B" w14:paraId="1FB9B375"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99235F7"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92</w:t>
            </w:r>
          </w:p>
        </w:tc>
        <w:tc>
          <w:tcPr>
            <w:tcW w:w="1480" w:type="dxa"/>
            <w:tcBorders>
              <w:top w:val="nil"/>
              <w:left w:val="nil"/>
              <w:bottom w:val="single" w:sz="4" w:space="0" w:color="auto"/>
              <w:right w:val="single" w:sz="4" w:space="0" w:color="auto"/>
            </w:tcBorders>
            <w:shd w:val="clear" w:color="auto" w:fill="auto"/>
            <w:vAlign w:val="bottom"/>
            <w:hideMark/>
          </w:tcPr>
          <w:p w14:paraId="592D17C0"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081134070E</w:t>
            </w:r>
          </w:p>
        </w:tc>
        <w:tc>
          <w:tcPr>
            <w:tcW w:w="6789" w:type="dxa"/>
            <w:tcBorders>
              <w:top w:val="nil"/>
              <w:left w:val="nil"/>
              <w:bottom w:val="single" w:sz="4" w:space="0" w:color="auto"/>
              <w:right w:val="single" w:sz="4" w:space="0" w:color="auto"/>
            </w:tcBorders>
            <w:shd w:val="clear" w:color="auto" w:fill="auto"/>
            <w:vAlign w:val="bottom"/>
            <w:hideMark/>
          </w:tcPr>
          <w:p w14:paraId="31F5047B" w14:textId="16DB9104" w:rsidR="00AB0A2B" w:rsidRPr="00AB0A2B" w:rsidRDefault="00AB0A2B" w:rsidP="00AB0A2B">
            <w:pPr>
              <w:rPr>
                <w:rFonts w:ascii="Tw Cen MT" w:hAnsi="Tw Cen MT" w:cs="Calibri"/>
                <w:lang w:eastAsia="fr-FR"/>
              </w:rPr>
            </w:pPr>
            <w:r w:rsidRPr="00AB0A2B">
              <w:rPr>
                <w:rFonts w:ascii="Tw Cen MT" w:hAnsi="Tw Cen MT" w:cs="Calibri"/>
                <w:lang w:eastAsia="fr-FR"/>
              </w:rPr>
              <w:t>CHEMAZEN MINES MALI SARL</w:t>
            </w:r>
          </w:p>
        </w:tc>
      </w:tr>
      <w:tr w:rsidR="00AB0A2B" w:rsidRPr="00A32D70" w14:paraId="038B5674"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32266200"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93</w:t>
            </w:r>
          </w:p>
        </w:tc>
        <w:tc>
          <w:tcPr>
            <w:tcW w:w="1480" w:type="dxa"/>
            <w:tcBorders>
              <w:top w:val="nil"/>
              <w:left w:val="nil"/>
              <w:bottom w:val="single" w:sz="4" w:space="0" w:color="auto"/>
              <w:right w:val="single" w:sz="4" w:space="0" w:color="auto"/>
            </w:tcBorders>
            <w:shd w:val="clear" w:color="auto" w:fill="auto"/>
            <w:vAlign w:val="bottom"/>
            <w:hideMark/>
          </w:tcPr>
          <w:p w14:paraId="058A7352"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086144804T</w:t>
            </w:r>
          </w:p>
        </w:tc>
        <w:tc>
          <w:tcPr>
            <w:tcW w:w="6789" w:type="dxa"/>
            <w:tcBorders>
              <w:top w:val="nil"/>
              <w:left w:val="nil"/>
              <w:bottom w:val="single" w:sz="4" w:space="0" w:color="auto"/>
              <w:right w:val="single" w:sz="4" w:space="0" w:color="auto"/>
            </w:tcBorders>
            <w:shd w:val="clear" w:color="auto" w:fill="auto"/>
            <w:vAlign w:val="bottom"/>
            <w:hideMark/>
          </w:tcPr>
          <w:p w14:paraId="2B76B1AF" w14:textId="399A9048" w:rsidR="00AB0A2B" w:rsidRPr="00AB0A2B" w:rsidRDefault="00AB0A2B" w:rsidP="00AB0A2B">
            <w:pPr>
              <w:rPr>
                <w:rFonts w:ascii="Tw Cen MT" w:hAnsi="Tw Cen MT" w:cs="Calibri"/>
                <w:lang w:val="en-US" w:eastAsia="fr-FR"/>
              </w:rPr>
            </w:pPr>
            <w:r w:rsidRPr="00AB0A2B">
              <w:rPr>
                <w:rFonts w:ascii="Tw Cen MT" w:hAnsi="Tw Cen MT" w:cs="Calibri"/>
                <w:lang w:val="en-US" w:eastAsia="fr-FR"/>
              </w:rPr>
              <w:t>FATIMATA &amp; NAFISSATOU  MINING "FANAM MINING SARL</w:t>
            </w:r>
          </w:p>
        </w:tc>
      </w:tr>
      <w:tr w:rsidR="00AB0A2B" w:rsidRPr="00AB0A2B" w14:paraId="5998C729"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13804562"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94</w:t>
            </w:r>
          </w:p>
        </w:tc>
        <w:tc>
          <w:tcPr>
            <w:tcW w:w="1480" w:type="dxa"/>
            <w:tcBorders>
              <w:top w:val="nil"/>
              <w:left w:val="nil"/>
              <w:bottom w:val="single" w:sz="4" w:space="0" w:color="auto"/>
              <w:right w:val="single" w:sz="4" w:space="0" w:color="auto"/>
            </w:tcBorders>
            <w:shd w:val="clear" w:color="auto" w:fill="auto"/>
            <w:vAlign w:val="bottom"/>
            <w:hideMark/>
          </w:tcPr>
          <w:p w14:paraId="3AF27EA5"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086129214A</w:t>
            </w:r>
          </w:p>
        </w:tc>
        <w:tc>
          <w:tcPr>
            <w:tcW w:w="6789" w:type="dxa"/>
            <w:tcBorders>
              <w:top w:val="nil"/>
              <w:left w:val="nil"/>
              <w:bottom w:val="single" w:sz="4" w:space="0" w:color="auto"/>
              <w:right w:val="single" w:sz="4" w:space="0" w:color="auto"/>
            </w:tcBorders>
            <w:shd w:val="clear" w:color="auto" w:fill="auto"/>
            <w:vAlign w:val="bottom"/>
            <w:hideMark/>
          </w:tcPr>
          <w:p w14:paraId="03F142B5" w14:textId="39A0E697" w:rsidR="00AB0A2B" w:rsidRPr="00AB0A2B" w:rsidRDefault="00AB0A2B" w:rsidP="00AB0A2B">
            <w:pPr>
              <w:rPr>
                <w:rFonts w:ascii="Tw Cen MT" w:hAnsi="Tw Cen MT" w:cs="Calibri"/>
                <w:lang w:eastAsia="fr-FR"/>
              </w:rPr>
            </w:pPr>
            <w:r w:rsidRPr="00AB0A2B">
              <w:rPr>
                <w:rFonts w:ascii="Tw Cen MT" w:hAnsi="Tw Cen MT" w:cs="Calibri"/>
                <w:lang w:eastAsia="fr-FR"/>
              </w:rPr>
              <w:t>BOFONDE MINING SARL</w:t>
            </w:r>
          </w:p>
        </w:tc>
      </w:tr>
      <w:tr w:rsidR="00AB0A2B" w:rsidRPr="00AB0A2B" w14:paraId="74A273F9"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51D4C94"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95</w:t>
            </w:r>
          </w:p>
        </w:tc>
        <w:tc>
          <w:tcPr>
            <w:tcW w:w="1480" w:type="dxa"/>
            <w:tcBorders>
              <w:top w:val="nil"/>
              <w:left w:val="nil"/>
              <w:bottom w:val="single" w:sz="4" w:space="0" w:color="auto"/>
              <w:right w:val="single" w:sz="4" w:space="0" w:color="auto"/>
            </w:tcBorders>
            <w:shd w:val="clear" w:color="auto" w:fill="auto"/>
            <w:vAlign w:val="bottom"/>
            <w:hideMark/>
          </w:tcPr>
          <w:p w14:paraId="600FBE0D"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025019453P</w:t>
            </w:r>
          </w:p>
        </w:tc>
        <w:tc>
          <w:tcPr>
            <w:tcW w:w="6789" w:type="dxa"/>
            <w:tcBorders>
              <w:top w:val="nil"/>
              <w:left w:val="nil"/>
              <w:bottom w:val="single" w:sz="4" w:space="0" w:color="auto"/>
              <w:right w:val="single" w:sz="4" w:space="0" w:color="auto"/>
            </w:tcBorders>
            <w:shd w:val="clear" w:color="auto" w:fill="auto"/>
            <w:vAlign w:val="bottom"/>
            <w:hideMark/>
          </w:tcPr>
          <w:p w14:paraId="56FAF554" w14:textId="5A6C92D3" w:rsidR="00AB0A2B" w:rsidRPr="00AB0A2B" w:rsidRDefault="00AB0A2B" w:rsidP="00AB0A2B">
            <w:pPr>
              <w:rPr>
                <w:rFonts w:ascii="Tw Cen MT" w:hAnsi="Tw Cen MT" w:cs="Calibri"/>
                <w:lang w:eastAsia="fr-FR"/>
              </w:rPr>
            </w:pPr>
            <w:r w:rsidRPr="00AB0A2B">
              <w:rPr>
                <w:rFonts w:ascii="Tw Cen MT" w:hAnsi="Tw Cen MT" w:cs="Calibri"/>
                <w:lang w:eastAsia="fr-FR"/>
              </w:rPr>
              <w:t>SYMPA MINING SARL</w:t>
            </w:r>
          </w:p>
        </w:tc>
      </w:tr>
      <w:tr w:rsidR="00AB0A2B" w:rsidRPr="00AB0A2B" w14:paraId="6BB252CB"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17481D35"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96</w:t>
            </w:r>
          </w:p>
        </w:tc>
        <w:tc>
          <w:tcPr>
            <w:tcW w:w="1480" w:type="dxa"/>
            <w:tcBorders>
              <w:top w:val="nil"/>
              <w:left w:val="nil"/>
              <w:bottom w:val="single" w:sz="4" w:space="0" w:color="auto"/>
              <w:right w:val="single" w:sz="4" w:space="0" w:color="auto"/>
            </w:tcBorders>
            <w:shd w:val="clear" w:color="auto" w:fill="auto"/>
            <w:vAlign w:val="bottom"/>
            <w:hideMark/>
          </w:tcPr>
          <w:p w14:paraId="44953692"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086128841P</w:t>
            </w:r>
          </w:p>
        </w:tc>
        <w:tc>
          <w:tcPr>
            <w:tcW w:w="6789" w:type="dxa"/>
            <w:tcBorders>
              <w:top w:val="nil"/>
              <w:left w:val="nil"/>
              <w:bottom w:val="single" w:sz="4" w:space="0" w:color="auto"/>
              <w:right w:val="single" w:sz="4" w:space="0" w:color="auto"/>
            </w:tcBorders>
            <w:shd w:val="clear" w:color="auto" w:fill="auto"/>
            <w:noWrap/>
            <w:vAlign w:val="bottom"/>
            <w:hideMark/>
          </w:tcPr>
          <w:p w14:paraId="2B5B6159" w14:textId="28CF7111" w:rsidR="00AB0A2B" w:rsidRPr="00AB0A2B" w:rsidRDefault="00AB0A2B" w:rsidP="00AB0A2B">
            <w:pPr>
              <w:rPr>
                <w:rFonts w:ascii="Tw Cen MT" w:hAnsi="Tw Cen MT" w:cs="Calibri"/>
                <w:lang w:eastAsia="fr-FR"/>
              </w:rPr>
            </w:pPr>
            <w:r w:rsidRPr="00AB0A2B">
              <w:rPr>
                <w:rFonts w:ascii="Tw Cen MT" w:hAnsi="Tw Cen MT" w:cs="Calibri"/>
                <w:lang w:eastAsia="fr-FR"/>
              </w:rPr>
              <w:t>STÉ ETUDE GÉOLOGIQUE ENVIRONNEMENTALE</w:t>
            </w:r>
          </w:p>
        </w:tc>
      </w:tr>
      <w:tr w:rsidR="00AB0A2B" w:rsidRPr="00AB0A2B" w14:paraId="71D0D583"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331F302E"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97</w:t>
            </w:r>
          </w:p>
        </w:tc>
        <w:tc>
          <w:tcPr>
            <w:tcW w:w="1480" w:type="dxa"/>
            <w:tcBorders>
              <w:top w:val="nil"/>
              <w:left w:val="nil"/>
              <w:bottom w:val="single" w:sz="4" w:space="0" w:color="auto"/>
              <w:right w:val="single" w:sz="4" w:space="0" w:color="auto"/>
            </w:tcBorders>
            <w:shd w:val="clear" w:color="auto" w:fill="auto"/>
            <w:vAlign w:val="bottom"/>
            <w:hideMark/>
          </w:tcPr>
          <w:p w14:paraId="4E88270E"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Pas de NIF</w:t>
            </w:r>
          </w:p>
        </w:tc>
        <w:tc>
          <w:tcPr>
            <w:tcW w:w="6789" w:type="dxa"/>
            <w:tcBorders>
              <w:top w:val="nil"/>
              <w:left w:val="nil"/>
              <w:bottom w:val="single" w:sz="4" w:space="0" w:color="auto"/>
              <w:right w:val="single" w:sz="4" w:space="0" w:color="auto"/>
            </w:tcBorders>
            <w:shd w:val="clear" w:color="auto" w:fill="auto"/>
            <w:vAlign w:val="bottom"/>
            <w:hideMark/>
          </w:tcPr>
          <w:p w14:paraId="584F35D3" w14:textId="39107262" w:rsidR="00AB0A2B" w:rsidRPr="00AB0A2B" w:rsidRDefault="00AB0A2B" w:rsidP="00AB0A2B">
            <w:pPr>
              <w:rPr>
                <w:rFonts w:ascii="Tw Cen MT" w:hAnsi="Tw Cen MT" w:cs="Calibri"/>
                <w:lang w:eastAsia="fr-FR"/>
              </w:rPr>
            </w:pPr>
            <w:r w:rsidRPr="00AB0A2B">
              <w:rPr>
                <w:rFonts w:ascii="Tw Cen MT" w:hAnsi="Tw Cen MT" w:cs="Calibri"/>
                <w:lang w:eastAsia="fr-FR"/>
              </w:rPr>
              <w:t>SOCIÉTÉ ANSONGO MINERALS SARL</w:t>
            </w:r>
          </w:p>
        </w:tc>
      </w:tr>
      <w:tr w:rsidR="00AB0A2B" w:rsidRPr="00AB0A2B" w14:paraId="741AF470"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739BF81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98</w:t>
            </w:r>
          </w:p>
        </w:tc>
        <w:tc>
          <w:tcPr>
            <w:tcW w:w="1480" w:type="dxa"/>
            <w:tcBorders>
              <w:top w:val="nil"/>
              <w:left w:val="nil"/>
              <w:bottom w:val="single" w:sz="4" w:space="0" w:color="auto"/>
              <w:right w:val="single" w:sz="4" w:space="0" w:color="auto"/>
            </w:tcBorders>
            <w:shd w:val="clear" w:color="auto" w:fill="auto"/>
            <w:vAlign w:val="bottom"/>
            <w:hideMark/>
          </w:tcPr>
          <w:p w14:paraId="4188E9E9"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084113960G</w:t>
            </w:r>
          </w:p>
        </w:tc>
        <w:tc>
          <w:tcPr>
            <w:tcW w:w="6789" w:type="dxa"/>
            <w:tcBorders>
              <w:top w:val="nil"/>
              <w:left w:val="nil"/>
              <w:bottom w:val="single" w:sz="4" w:space="0" w:color="auto"/>
              <w:right w:val="single" w:sz="4" w:space="0" w:color="auto"/>
            </w:tcBorders>
            <w:shd w:val="clear" w:color="auto" w:fill="auto"/>
            <w:vAlign w:val="bottom"/>
            <w:hideMark/>
          </w:tcPr>
          <w:p w14:paraId="3C8276F9" w14:textId="0BB2FA47" w:rsidR="00AB0A2B" w:rsidRPr="00AB0A2B" w:rsidRDefault="00AB0A2B" w:rsidP="00AB0A2B">
            <w:pPr>
              <w:rPr>
                <w:rFonts w:ascii="Tw Cen MT" w:hAnsi="Tw Cen MT" w:cs="Calibri"/>
                <w:lang w:eastAsia="fr-FR"/>
              </w:rPr>
            </w:pPr>
            <w:r w:rsidRPr="00AB0A2B">
              <w:rPr>
                <w:rFonts w:ascii="Tw Cen MT" w:hAnsi="Tw Cen MT" w:cs="Calibri"/>
                <w:lang w:eastAsia="fr-FR"/>
              </w:rPr>
              <w:t>DS CONSULTING SARL</w:t>
            </w:r>
          </w:p>
        </w:tc>
      </w:tr>
      <w:tr w:rsidR="00AB0A2B" w:rsidRPr="00A32D70" w14:paraId="2C0421DA"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49205F8D"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99</w:t>
            </w:r>
          </w:p>
        </w:tc>
        <w:tc>
          <w:tcPr>
            <w:tcW w:w="1480" w:type="dxa"/>
            <w:tcBorders>
              <w:top w:val="nil"/>
              <w:left w:val="nil"/>
              <w:bottom w:val="single" w:sz="4" w:space="0" w:color="auto"/>
              <w:right w:val="single" w:sz="4" w:space="0" w:color="auto"/>
            </w:tcBorders>
            <w:shd w:val="clear" w:color="auto" w:fill="auto"/>
            <w:vAlign w:val="bottom"/>
            <w:hideMark/>
          </w:tcPr>
          <w:p w14:paraId="79FE8F97"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084121704P</w:t>
            </w:r>
          </w:p>
        </w:tc>
        <w:tc>
          <w:tcPr>
            <w:tcW w:w="6789" w:type="dxa"/>
            <w:tcBorders>
              <w:top w:val="nil"/>
              <w:left w:val="nil"/>
              <w:bottom w:val="single" w:sz="4" w:space="0" w:color="auto"/>
              <w:right w:val="single" w:sz="4" w:space="0" w:color="auto"/>
            </w:tcBorders>
            <w:shd w:val="clear" w:color="auto" w:fill="auto"/>
            <w:vAlign w:val="bottom"/>
            <w:hideMark/>
          </w:tcPr>
          <w:p w14:paraId="35D79F39" w14:textId="5D5D7EE3" w:rsidR="00AB0A2B" w:rsidRPr="00AB0A2B" w:rsidRDefault="00AB0A2B" w:rsidP="00AB0A2B">
            <w:pPr>
              <w:rPr>
                <w:rFonts w:ascii="Tw Cen MT" w:hAnsi="Tw Cen MT" w:cs="Calibri"/>
                <w:lang w:val="en-US" w:eastAsia="fr-FR"/>
              </w:rPr>
            </w:pPr>
            <w:r w:rsidRPr="00AB0A2B">
              <w:rPr>
                <w:rFonts w:ascii="Tw Cen MT" w:hAnsi="Tw Cen MT" w:cs="Calibri"/>
                <w:lang w:val="en-US" w:eastAsia="fr-FR"/>
              </w:rPr>
              <w:t>METALLI EXPLORATION AND MINING SARL</w:t>
            </w:r>
          </w:p>
        </w:tc>
      </w:tr>
      <w:tr w:rsidR="00AB0A2B" w:rsidRPr="00AB0A2B" w14:paraId="1B61FBF4"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3593815C"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100</w:t>
            </w:r>
          </w:p>
        </w:tc>
        <w:tc>
          <w:tcPr>
            <w:tcW w:w="1480" w:type="dxa"/>
            <w:tcBorders>
              <w:top w:val="nil"/>
              <w:left w:val="nil"/>
              <w:bottom w:val="single" w:sz="4" w:space="0" w:color="auto"/>
              <w:right w:val="single" w:sz="4" w:space="0" w:color="auto"/>
            </w:tcBorders>
            <w:shd w:val="clear" w:color="auto" w:fill="auto"/>
            <w:vAlign w:val="bottom"/>
            <w:hideMark/>
          </w:tcPr>
          <w:p w14:paraId="76D6861A"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085128682W</w:t>
            </w:r>
          </w:p>
        </w:tc>
        <w:tc>
          <w:tcPr>
            <w:tcW w:w="6789" w:type="dxa"/>
            <w:tcBorders>
              <w:top w:val="nil"/>
              <w:left w:val="nil"/>
              <w:bottom w:val="single" w:sz="4" w:space="0" w:color="auto"/>
              <w:right w:val="single" w:sz="4" w:space="0" w:color="auto"/>
            </w:tcBorders>
            <w:shd w:val="clear" w:color="auto" w:fill="auto"/>
            <w:vAlign w:val="bottom"/>
            <w:hideMark/>
          </w:tcPr>
          <w:p w14:paraId="1EE391ED" w14:textId="480244AE" w:rsidR="00AB0A2B" w:rsidRPr="00AB0A2B" w:rsidRDefault="00AB0A2B" w:rsidP="00AB0A2B">
            <w:pPr>
              <w:rPr>
                <w:rFonts w:ascii="Tw Cen MT" w:hAnsi="Tw Cen MT" w:cs="Calibri"/>
                <w:lang w:eastAsia="fr-FR"/>
              </w:rPr>
            </w:pPr>
            <w:r w:rsidRPr="00AB0A2B">
              <w:rPr>
                <w:rFonts w:ascii="Tw Cen MT" w:hAnsi="Tw Cen MT" w:cs="Calibri"/>
                <w:lang w:eastAsia="fr-FR"/>
              </w:rPr>
              <w:t>GUÉPARD'OR 2 SARL</w:t>
            </w:r>
          </w:p>
        </w:tc>
      </w:tr>
      <w:tr w:rsidR="00AB0A2B" w:rsidRPr="00AB0A2B" w14:paraId="161D8AD7"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190B84BA"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101</w:t>
            </w:r>
          </w:p>
        </w:tc>
        <w:tc>
          <w:tcPr>
            <w:tcW w:w="1480" w:type="dxa"/>
            <w:tcBorders>
              <w:top w:val="nil"/>
              <w:left w:val="nil"/>
              <w:bottom w:val="single" w:sz="4" w:space="0" w:color="auto"/>
              <w:right w:val="single" w:sz="4" w:space="0" w:color="auto"/>
            </w:tcBorders>
            <w:shd w:val="clear" w:color="auto" w:fill="auto"/>
            <w:vAlign w:val="bottom"/>
            <w:hideMark/>
          </w:tcPr>
          <w:p w14:paraId="69EF992D"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084127162W</w:t>
            </w:r>
          </w:p>
        </w:tc>
        <w:tc>
          <w:tcPr>
            <w:tcW w:w="6789" w:type="dxa"/>
            <w:tcBorders>
              <w:top w:val="nil"/>
              <w:left w:val="nil"/>
              <w:bottom w:val="single" w:sz="4" w:space="0" w:color="auto"/>
              <w:right w:val="single" w:sz="4" w:space="0" w:color="auto"/>
            </w:tcBorders>
            <w:shd w:val="clear" w:color="auto" w:fill="auto"/>
            <w:vAlign w:val="bottom"/>
            <w:hideMark/>
          </w:tcPr>
          <w:p w14:paraId="27D449BC" w14:textId="2F065C4C" w:rsidR="00AB0A2B" w:rsidRPr="00AB0A2B" w:rsidRDefault="00AB0A2B" w:rsidP="00AB0A2B">
            <w:pPr>
              <w:rPr>
                <w:rFonts w:ascii="Tw Cen MT" w:hAnsi="Tw Cen MT" w:cs="Calibri"/>
                <w:lang w:eastAsia="fr-FR"/>
              </w:rPr>
            </w:pPr>
            <w:r w:rsidRPr="00AB0A2B">
              <w:rPr>
                <w:rFonts w:ascii="Tw Cen MT" w:hAnsi="Tw Cen MT" w:cs="Calibri"/>
                <w:lang w:eastAsia="fr-FR"/>
              </w:rPr>
              <w:t>XANTUS MALI SARL</w:t>
            </w:r>
          </w:p>
        </w:tc>
      </w:tr>
      <w:tr w:rsidR="00AB0A2B" w:rsidRPr="00AB0A2B" w14:paraId="34CA9DCC"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06640FE8"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102</w:t>
            </w:r>
          </w:p>
        </w:tc>
        <w:tc>
          <w:tcPr>
            <w:tcW w:w="1480" w:type="dxa"/>
            <w:tcBorders>
              <w:top w:val="nil"/>
              <w:left w:val="nil"/>
              <w:bottom w:val="single" w:sz="4" w:space="0" w:color="auto"/>
              <w:right w:val="single" w:sz="4" w:space="0" w:color="auto"/>
            </w:tcBorders>
            <w:shd w:val="clear" w:color="auto" w:fill="auto"/>
            <w:vAlign w:val="bottom"/>
            <w:hideMark/>
          </w:tcPr>
          <w:p w14:paraId="47C2FACB"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085122382A</w:t>
            </w:r>
          </w:p>
        </w:tc>
        <w:tc>
          <w:tcPr>
            <w:tcW w:w="6789" w:type="dxa"/>
            <w:tcBorders>
              <w:top w:val="nil"/>
              <w:left w:val="nil"/>
              <w:bottom w:val="single" w:sz="4" w:space="0" w:color="auto"/>
              <w:right w:val="single" w:sz="4" w:space="0" w:color="auto"/>
            </w:tcBorders>
            <w:shd w:val="clear" w:color="auto" w:fill="auto"/>
            <w:vAlign w:val="bottom"/>
            <w:hideMark/>
          </w:tcPr>
          <w:p w14:paraId="1E1C0A7A" w14:textId="4A0D5EAE" w:rsidR="00AB0A2B" w:rsidRPr="00AB0A2B" w:rsidRDefault="00AB0A2B" w:rsidP="00AB0A2B">
            <w:pPr>
              <w:rPr>
                <w:rFonts w:ascii="Tw Cen MT" w:hAnsi="Tw Cen MT" w:cs="Calibri"/>
                <w:lang w:eastAsia="fr-FR"/>
              </w:rPr>
            </w:pPr>
            <w:r w:rsidRPr="00AB0A2B">
              <w:rPr>
                <w:rFonts w:ascii="Tw Cen MT" w:hAnsi="Tw Cen MT" w:cs="Calibri"/>
                <w:lang w:eastAsia="fr-FR"/>
              </w:rPr>
              <w:t>ALLIANCE POUR UNE SOCIÉTÉ MINIÈRE AU MALI "ASMA" SARL</w:t>
            </w:r>
          </w:p>
        </w:tc>
      </w:tr>
      <w:tr w:rsidR="00AB0A2B" w:rsidRPr="00AB0A2B" w14:paraId="7EBC363E"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C146CC8"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103</w:t>
            </w:r>
          </w:p>
        </w:tc>
        <w:tc>
          <w:tcPr>
            <w:tcW w:w="1480" w:type="dxa"/>
            <w:tcBorders>
              <w:top w:val="nil"/>
              <w:left w:val="nil"/>
              <w:bottom w:val="single" w:sz="4" w:space="0" w:color="auto"/>
              <w:right w:val="single" w:sz="4" w:space="0" w:color="auto"/>
            </w:tcBorders>
            <w:shd w:val="clear" w:color="auto" w:fill="auto"/>
            <w:vAlign w:val="bottom"/>
            <w:hideMark/>
          </w:tcPr>
          <w:p w14:paraId="169E0E0C"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086113760X</w:t>
            </w:r>
          </w:p>
        </w:tc>
        <w:tc>
          <w:tcPr>
            <w:tcW w:w="6789" w:type="dxa"/>
            <w:tcBorders>
              <w:top w:val="nil"/>
              <w:left w:val="nil"/>
              <w:bottom w:val="single" w:sz="4" w:space="0" w:color="auto"/>
              <w:right w:val="single" w:sz="4" w:space="0" w:color="auto"/>
            </w:tcBorders>
            <w:shd w:val="clear" w:color="auto" w:fill="auto"/>
            <w:vAlign w:val="bottom"/>
            <w:hideMark/>
          </w:tcPr>
          <w:p w14:paraId="488DB096" w14:textId="62B33D80" w:rsidR="00AB0A2B" w:rsidRPr="00AB0A2B" w:rsidRDefault="00AB0A2B" w:rsidP="00AB0A2B">
            <w:pPr>
              <w:rPr>
                <w:rFonts w:ascii="Tw Cen MT" w:hAnsi="Tw Cen MT" w:cs="Calibri"/>
                <w:lang w:eastAsia="fr-FR"/>
              </w:rPr>
            </w:pPr>
            <w:r w:rsidRPr="00AB0A2B">
              <w:rPr>
                <w:rFonts w:ascii="Tw Cen MT" w:hAnsi="Tw Cen MT" w:cs="Calibri"/>
                <w:lang w:eastAsia="fr-FR"/>
              </w:rPr>
              <w:t>KOREGA SARL</w:t>
            </w:r>
          </w:p>
        </w:tc>
      </w:tr>
      <w:tr w:rsidR="00AB0A2B" w:rsidRPr="00AB0A2B" w14:paraId="0314F5A8"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1579DADE"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104</w:t>
            </w:r>
          </w:p>
        </w:tc>
        <w:tc>
          <w:tcPr>
            <w:tcW w:w="1480" w:type="dxa"/>
            <w:tcBorders>
              <w:top w:val="nil"/>
              <w:left w:val="nil"/>
              <w:bottom w:val="single" w:sz="4" w:space="0" w:color="auto"/>
              <w:right w:val="single" w:sz="4" w:space="0" w:color="auto"/>
            </w:tcBorders>
            <w:shd w:val="clear" w:color="auto" w:fill="auto"/>
            <w:vAlign w:val="bottom"/>
            <w:hideMark/>
          </w:tcPr>
          <w:p w14:paraId="7ECE3150"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084127654C</w:t>
            </w:r>
          </w:p>
        </w:tc>
        <w:tc>
          <w:tcPr>
            <w:tcW w:w="6789" w:type="dxa"/>
            <w:tcBorders>
              <w:top w:val="nil"/>
              <w:left w:val="nil"/>
              <w:bottom w:val="single" w:sz="4" w:space="0" w:color="auto"/>
              <w:right w:val="single" w:sz="4" w:space="0" w:color="auto"/>
            </w:tcBorders>
            <w:shd w:val="clear" w:color="auto" w:fill="auto"/>
            <w:vAlign w:val="bottom"/>
            <w:hideMark/>
          </w:tcPr>
          <w:p w14:paraId="4746D2E2" w14:textId="0CDEA636" w:rsidR="00AB0A2B" w:rsidRPr="00AB0A2B" w:rsidRDefault="00AB0A2B" w:rsidP="00AB0A2B">
            <w:pPr>
              <w:rPr>
                <w:rFonts w:ascii="Tw Cen MT" w:hAnsi="Tw Cen MT" w:cs="Calibri"/>
                <w:lang w:eastAsia="fr-FR"/>
              </w:rPr>
            </w:pPr>
            <w:r w:rsidRPr="00AB0A2B">
              <w:rPr>
                <w:rFonts w:ascii="Tw Cen MT" w:hAnsi="Tw Cen MT" w:cs="Calibri"/>
                <w:lang w:eastAsia="fr-FR"/>
              </w:rPr>
              <w:t>AFRIMINE SOLUTIONS SARL</w:t>
            </w:r>
          </w:p>
        </w:tc>
      </w:tr>
      <w:tr w:rsidR="00AB0A2B" w:rsidRPr="00AB0A2B" w14:paraId="2B4B5B3C"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620E16E"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105</w:t>
            </w:r>
          </w:p>
        </w:tc>
        <w:tc>
          <w:tcPr>
            <w:tcW w:w="1480" w:type="dxa"/>
            <w:tcBorders>
              <w:top w:val="nil"/>
              <w:left w:val="nil"/>
              <w:bottom w:val="single" w:sz="4" w:space="0" w:color="auto"/>
              <w:right w:val="single" w:sz="4" w:space="0" w:color="auto"/>
            </w:tcBorders>
            <w:shd w:val="clear" w:color="auto" w:fill="auto"/>
            <w:vAlign w:val="bottom"/>
            <w:hideMark/>
          </w:tcPr>
          <w:p w14:paraId="46752A08"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082222068N</w:t>
            </w:r>
          </w:p>
        </w:tc>
        <w:tc>
          <w:tcPr>
            <w:tcW w:w="6789" w:type="dxa"/>
            <w:tcBorders>
              <w:top w:val="nil"/>
              <w:left w:val="nil"/>
              <w:bottom w:val="single" w:sz="4" w:space="0" w:color="auto"/>
              <w:right w:val="single" w:sz="4" w:space="0" w:color="auto"/>
            </w:tcBorders>
            <w:shd w:val="clear" w:color="auto" w:fill="auto"/>
            <w:vAlign w:val="bottom"/>
            <w:hideMark/>
          </w:tcPr>
          <w:p w14:paraId="17DA430F" w14:textId="5EAB2D8B" w:rsidR="00AB0A2B" w:rsidRPr="00AB0A2B" w:rsidRDefault="00AB0A2B" w:rsidP="00AB0A2B">
            <w:pPr>
              <w:rPr>
                <w:rFonts w:ascii="Tw Cen MT" w:hAnsi="Tw Cen MT" w:cs="Calibri"/>
                <w:lang w:eastAsia="fr-FR"/>
              </w:rPr>
            </w:pPr>
            <w:r w:rsidRPr="00AB0A2B">
              <w:rPr>
                <w:rFonts w:ascii="Tw Cen MT" w:hAnsi="Tw Cen MT" w:cs="Calibri"/>
                <w:lang w:eastAsia="fr-FR"/>
              </w:rPr>
              <w:t>HANNE GENERAL TRADING SARL UNIPERSONNELLE</w:t>
            </w:r>
          </w:p>
        </w:tc>
      </w:tr>
      <w:tr w:rsidR="00AB0A2B" w:rsidRPr="00AB0A2B" w14:paraId="2ACC5A6D"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04F7DCE6"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106</w:t>
            </w:r>
          </w:p>
        </w:tc>
        <w:tc>
          <w:tcPr>
            <w:tcW w:w="1480" w:type="dxa"/>
            <w:tcBorders>
              <w:top w:val="nil"/>
              <w:left w:val="nil"/>
              <w:bottom w:val="single" w:sz="4" w:space="0" w:color="auto"/>
              <w:right w:val="single" w:sz="4" w:space="0" w:color="auto"/>
            </w:tcBorders>
            <w:shd w:val="clear" w:color="auto" w:fill="auto"/>
            <w:vAlign w:val="bottom"/>
            <w:hideMark/>
          </w:tcPr>
          <w:p w14:paraId="33E21DB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082237082K</w:t>
            </w:r>
          </w:p>
        </w:tc>
        <w:tc>
          <w:tcPr>
            <w:tcW w:w="6789" w:type="dxa"/>
            <w:tcBorders>
              <w:top w:val="nil"/>
              <w:left w:val="nil"/>
              <w:bottom w:val="single" w:sz="4" w:space="0" w:color="auto"/>
              <w:right w:val="single" w:sz="4" w:space="0" w:color="auto"/>
            </w:tcBorders>
            <w:shd w:val="clear" w:color="auto" w:fill="auto"/>
            <w:vAlign w:val="bottom"/>
            <w:hideMark/>
          </w:tcPr>
          <w:p w14:paraId="049A3412" w14:textId="3EBAB50D" w:rsidR="00AB0A2B" w:rsidRPr="00AB0A2B" w:rsidRDefault="00AB0A2B" w:rsidP="00AB0A2B">
            <w:pPr>
              <w:rPr>
                <w:rFonts w:ascii="Tw Cen MT" w:hAnsi="Tw Cen MT" w:cs="Calibri"/>
                <w:lang w:eastAsia="fr-FR"/>
              </w:rPr>
            </w:pPr>
            <w:r w:rsidRPr="00AB0A2B">
              <w:rPr>
                <w:rFonts w:ascii="Tw Cen MT" w:hAnsi="Tw Cen MT" w:cs="Calibri"/>
                <w:lang w:eastAsia="fr-FR"/>
              </w:rPr>
              <w:t>SOCIÉTÉ RAHIMMING SARL</w:t>
            </w:r>
          </w:p>
        </w:tc>
      </w:tr>
      <w:tr w:rsidR="00AB0A2B" w:rsidRPr="00AB0A2B" w14:paraId="10FC95C7"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7CB5D0CD"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107</w:t>
            </w:r>
          </w:p>
        </w:tc>
        <w:tc>
          <w:tcPr>
            <w:tcW w:w="1480" w:type="dxa"/>
            <w:tcBorders>
              <w:top w:val="nil"/>
              <w:left w:val="nil"/>
              <w:bottom w:val="single" w:sz="4" w:space="0" w:color="auto"/>
              <w:right w:val="single" w:sz="4" w:space="0" w:color="auto"/>
            </w:tcBorders>
            <w:shd w:val="clear" w:color="auto" w:fill="auto"/>
            <w:vAlign w:val="bottom"/>
            <w:hideMark/>
          </w:tcPr>
          <w:p w14:paraId="66183411"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083203048T</w:t>
            </w:r>
          </w:p>
        </w:tc>
        <w:tc>
          <w:tcPr>
            <w:tcW w:w="6789" w:type="dxa"/>
            <w:tcBorders>
              <w:top w:val="nil"/>
              <w:left w:val="nil"/>
              <w:bottom w:val="single" w:sz="4" w:space="0" w:color="auto"/>
              <w:right w:val="single" w:sz="4" w:space="0" w:color="auto"/>
            </w:tcBorders>
            <w:shd w:val="clear" w:color="auto" w:fill="auto"/>
            <w:vAlign w:val="bottom"/>
            <w:hideMark/>
          </w:tcPr>
          <w:p w14:paraId="49926A15" w14:textId="44CFE150" w:rsidR="00AB0A2B" w:rsidRPr="00AB0A2B" w:rsidRDefault="00AB0A2B" w:rsidP="00AB0A2B">
            <w:pPr>
              <w:rPr>
                <w:rFonts w:ascii="Tw Cen MT" w:hAnsi="Tw Cen MT" w:cs="Calibri"/>
                <w:lang w:eastAsia="fr-FR"/>
              </w:rPr>
            </w:pPr>
            <w:r w:rsidRPr="00AB0A2B">
              <w:rPr>
                <w:rFonts w:ascii="Tw Cen MT" w:hAnsi="Tw Cen MT" w:cs="Calibri"/>
                <w:lang w:eastAsia="fr-FR"/>
              </w:rPr>
              <w:t>SOCIÉTÉ FOKOLORE MINING (S.F.M-SARL)</w:t>
            </w:r>
          </w:p>
        </w:tc>
      </w:tr>
      <w:tr w:rsidR="00AB0A2B" w:rsidRPr="00AB0A2B" w14:paraId="45D546AA"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450AA738"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108</w:t>
            </w:r>
          </w:p>
        </w:tc>
        <w:tc>
          <w:tcPr>
            <w:tcW w:w="1480" w:type="dxa"/>
            <w:tcBorders>
              <w:top w:val="nil"/>
              <w:left w:val="nil"/>
              <w:bottom w:val="single" w:sz="4" w:space="0" w:color="auto"/>
              <w:right w:val="single" w:sz="4" w:space="0" w:color="auto"/>
            </w:tcBorders>
            <w:shd w:val="clear" w:color="auto" w:fill="auto"/>
            <w:vAlign w:val="bottom"/>
            <w:hideMark/>
          </w:tcPr>
          <w:p w14:paraId="44BDE476"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Pas de NIF</w:t>
            </w:r>
          </w:p>
        </w:tc>
        <w:tc>
          <w:tcPr>
            <w:tcW w:w="6789" w:type="dxa"/>
            <w:tcBorders>
              <w:top w:val="nil"/>
              <w:left w:val="nil"/>
              <w:bottom w:val="single" w:sz="4" w:space="0" w:color="auto"/>
              <w:right w:val="single" w:sz="4" w:space="0" w:color="auto"/>
            </w:tcBorders>
            <w:shd w:val="clear" w:color="auto" w:fill="auto"/>
            <w:vAlign w:val="bottom"/>
            <w:hideMark/>
          </w:tcPr>
          <w:p w14:paraId="43F269E5" w14:textId="01DADBC4" w:rsidR="00AB0A2B" w:rsidRPr="00AB0A2B" w:rsidRDefault="00AB0A2B" w:rsidP="00AB0A2B">
            <w:pPr>
              <w:rPr>
                <w:rFonts w:ascii="Tw Cen MT" w:hAnsi="Tw Cen MT" w:cs="Calibri"/>
                <w:lang w:eastAsia="fr-FR"/>
              </w:rPr>
            </w:pPr>
            <w:r w:rsidRPr="00AB0A2B">
              <w:rPr>
                <w:rFonts w:ascii="Tw Cen MT" w:hAnsi="Tw Cen MT" w:cs="Calibri"/>
                <w:lang w:eastAsia="fr-FR"/>
              </w:rPr>
              <w:t>MEDOU MINING CORPORATION SARL</w:t>
            </w:r>
          </w:p>
        </w:tc>
      </w:tr>
      <w:tr w:rsidR="00AB0A2B" w:rsidRPr="00A32D70" w14:paraId="7F24B41A"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2204C4BF"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109</w:t>
            </w:r>
          </w:p>
        </w:tc>
        <w:tc>
          <w:tcPr>
            <w:tcW w:w="1480" w:type="dxa"/>
            <w:tcBorders>
              <w:top w:val="nil"/>
              <w:left w:val="nil"/>
              <w:bottom w:val="single" w:sz="4" w:space="0" w:color="auto"/>
              <w:right w:val="single" w:sz="4" w:space="0" w:color="auto"/>
            </w:tcBorders>
            <w:shd w:val="clear" w:color="auto" w:fill="auto"/>
            <w:vAlign w:val="bottom"/>
            <w:hideMark/>
          </w:tcPr>
          <w:p w14:paraId="2BFC96D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086106689B</w:t>
            </w:r>
          </w:p>
        </w:tc>
        <w:tc>
          <w:tcPr>
            <w:tcW w:w="6789" w:type="dxa"/>
            <w:tcBorders>
              <w:top w:val="nil"/>
              <w:left w:val="nil"/>
              <w:bottom w:val="single" w:sz="4" w:space="0" w:color="auto"/>
              <w:right w:val="single" w:sz="4" w:space="0" w:color="auto"/>
            </w:tcBorders>
            <w:shd w:val="clear" w:color="auto" w:fill="auto"/>
            <w:vAlign w:val="bottom"/>
            <w:hideMark/>
          </w:tcPr>
          <w:p w14:paraId="1432E26A" w14:textId="275C2A4F" w:rsidR="00AB0A2B" w:rsidRPr="00AB0A2B" w:rsidRDefault="00AB0A2B" w:rsidP="00AB0A2B">
            <w:pPr>
              <w:rPr>
                <w:rFonts w:ascii="Tw Cen MT" w:hAnsi="Tw Cen MT" w:cs="Calibri"/>
                <w:lang w:val="en-US" w:eastAsia="fr-FR"/>
              </w:rPr>
            </w:pPr>
            <w:r w:rsidRPr="00AB0A2B">
              <w:rPr>
                <w:rFonts w:ascii="Tw Cen MT" w:hAnsi="Tw Cen MT" w:cs="Calibri"/>
                <w:lang w:val="en-US" w:eastAsia="fr-FR"/>
              </w:rPr>
              <w:t>AMBOGO GUINDO MINERALS EXPLORATION (AGMEX SARL)</w:t>
            </w:r>
          </w:p>
        </w:tc>
      </w:tr>
      <w:tr w:rsidR="00AB0A2B" w:rsidRPr="00AB0A2B" w14:paraId="286B0E9F"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3E1E411B"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110</w:t>
            </w:r>
          </w:p>
        </w:tc>
        <w:tc>
          <w:tcPr>
            <w:tcW w:w="1480" w:type="dxa"/>
            <w:tcBorders>
              <w:top w:val="nil"/>
              <w:left w:val="nil"/>
              <w:bottom w:val="single" w:sz="4" w:space="0" w:color="auto"/>
              <w:right w:val="single" w:sz="4" w:space="0" w:color="auto"/>
            </w:tcBorders>
            <w:shd w:val="clear" w:color="auto" w:fill="auto"/>
            <w:vAlign w:val="bottom"/>
            <w:hideMark/>
          </w:tcPr>
          <w:p w14:paraId="29B485CC"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087800574V</w:t>
            </w:r>
          </w:p>
        </w:tc>
        <w:tc>
          <w:tcPr>
            <w:tcW w:w="6789" w:type="dxa"/>
            <w:tcBorders>
              <w:top w:val="nil"/>
              <w:left w:val="nil"/>
              <w:bottom w:val="single" w:sz="4" w:space="0" w:color="auto"/>
              <w:right w:val="single" w:sz="4" w:space="0" w:color="auto"/>
            </w:tcBorders>
            <w:shd w:val="clear" w:color="auto" w:fill="auto"/>
            <w:vAlign w:val="bottom"/>
            <w:hideMark/>
          </w:tcPr>
          <w:p w14:paraId="0D7DA68C" w14:textId="603D477E" w:rsidR="00AB0A2B" w:rsidRPr="00AB0A2B" w:rsidRDefault="00AB0A2B" w:rsidP="00AB0A2B">
            <w:pPr>
              <w:rPr>
                <w:rFonts w:ascii="Tw Cen MT" w:hAnsi="Tw Cen MT" w:cs="Calibri"/>
                <w:lang w:eastAsia="fr-FR"/>
              </w:rPr>
            </w:pPr>
            <w:r w:rsidRPr="00AB0A2B">
              <w:rPr>
                <w:rFonts w:ascii="Tw Cen MT" w:hAnsi="Tw Cen MT" w:cs="Calibri"/>
                <w:lang w:eastAsia="fr-FR"/>
              </w:rPr>
              <w:t>GOLDEN SPEAR MALI SARL</w:t>
            </w:r>
          </w:p>
        </w:tc>
      </w:tr>
      <w:tr w:rsidR="00AB0A2B" w:rsidRPr="00AB0A2B" w14:paraId="424030F2"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2E1CA15C"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111</w:t>
            </w:r>
          </w:p>
        </w:tc>
        <w:tc>
          <w:tcPr>
            <w:tcW w:w="1480" w:type="dxa"/>
            <w:tcBorders>
              <w:top w:val="nil"/>
              <w:left w:val="nil"/>
              <w:bottom w:val="single" w:sz="4" w:space="0" w:color="auto"/>
              <w:right w:val="single" w:sz="4" w:space="0" w:color="auto"/>
            </w:tcBorders>
            <w:shd w:val="clear" w:color="auto" w:fill="auto"/>
            <w:vAlign w:val="bottom"/>
            <w:hideMark/>
          </w:tcPr>
          <w:p w14:paraId="1B6717B9"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083322816W</w:t>
            </w:r>
          </w:p>
        </w:tc>
        <w:tc>
          <w:tcPr>
            <w:tcW w:w="6789" w:type="dxa"/>
            <w:tcBorders>
              <w:top w:val="nil"/>
              <w:left w:val="nil"/>
              <w:bottom w:val="single" w:sz="4" w:space="0" w:color="auto"/>
              <w:right w:val="single" w:sz="4" w:space="0" w:color="auto"/>
            </w:tcBorders>
            <w:shd w:val="clear" w:color="auto" w:fill="auto"/>
            <w:vAlign w:val="bottom"/>
            <w:hideMark/>
          </w:tcPr>
          <w:p w14:paraId="5D05CAC1" w14:textId="73455793" w:rsidR="00AB0A2B" w:rsidRPr="00AB0A2B" w:rsidRDefault="00AB0A2B" w:rsidP="00AB0A2B">
            <w:pPr>
              <w:rPr>
                <w:rFonts w:ascii="Tw Cen MT" w:hAnsi="Tw Cen MT" w:cs="Calibri"/>
                <w:lang w:eastAsia="fr-FR"/>
              </w:rPr>
            </w:pPr>
            <w:r w:rsidRPr="00AB0A2B">
              <w:rPr>
                <w:rFonts w:ascii="Tw Cen MT" w:hAnsi="Tw Cen MT" w:cs="Calibri"/>
                <w:lang w:eastAsia="fr-FR"/>
              </w:rPr>
              <w:t>MANDINGOLD MINING SARL</w:t>
            </w:r>
          </w:p>
        </w:tc>
      </w:tr>
      <w:tr w:rsidR="00AB0A2B" w:rsidRPr="00AB0A2B" w14:paraId="7AAD0D2D"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33A27DCB"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112</w:t>
            </w:r>
          </w:p>
        </w:tc>
        <w:tc>
          <w:tcPr>
            <w:tcW w:w="1480" w:type="dxa"/>
            <w:tcBorders>
              <w:top w:val="nil"/>
              <w:left w:val="nil"/>
              <w:bottom w:val="single" w:sz="4" w:space="0" w:color="auto"/>
              <w:right w:val="single" w:sz="4" w:space="0" w:color="auto"/>
            </w:tcBorders>
            <w:shd w:val="clear" w:color="auto" w:fill="auto"/>
            <w:vAlign w:val="bottom"/>
            <w:hideMark/>
          </w:tcPr>
          <w:p w14:paraId="7BC0B254"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082235217A</w:t>
            </w:r>
          </w:p>
        </w:tc>
        <w:tc>
          <w:tcPr>
            <w:tcW w:w="6789" w:type="dxa"/>
            <w:tcBorders>
              <w:top w:val="nil"/>
              <w:left w:val="nil"/>
              <w:bottom w:val="single" w:sz="4" w:space="0" w:color="auto"/>
              <w:right w:val="single" w:sz="4" w:space="0" w:color="auto"/>
            </w:tcBorders>
            <w:shd w:val="clear" w:color="auto" w:fill="auto"/>
            <w:vAlign w:val="bottom"/>
            <w:hideMark/>
          </w:tcPr>
          <w:p w14:paraId="2A863BB3" w14:textId="423E2C8A" w:rsidR="00AB0A2B" w:rsidRPr="00AB0A2B" w:rsidRDefault="00AB0A2B" w:rsidP="00AB0A2B">
            <w:pPr>
              <w:rPr>
                <w:rFonts w:ascii="Tw Cen MT" w:hAnsi="Tw Cen MT" w:cs="Calibri"/>
                <w:lang w:eastAsia="fr-FR"/>
              </w:rPr>
            </w:pPr>
            <w:r w:rsidRPr="00AB0A2B">
              <w:rPr>
                <w:rFonts w:ascii="Tw Cen MT" w:hAnsi="Tw Cen MT" w:cs="Calibri"/>
                <w:lang w:eastAsia="fr-FR"/>
              </w:rPr>
              <w:t>IAMGOLD MALI CORPORATION SARL</w:t>
            </w:r>
          </w:p>
        </w:tc>
      </w:tr>
      <w:tr w:rsidR="00AB0A2B" w:rsidRPr="00AB0A2B" w14:paraId="72065065"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BDF7EAB"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113</w:t>
            </w:r>
          </w:p>
        </w:tc>
        <w:tc>
          <w:tcPr>
            <w:tcW w:w="1480" w:type="dxa"/>
            <w:tcBorders>
              <w:top w:val="nil"/>
              <w:left w:val="nil"/>
              <w:bottom w:val="single" w:sz="4" w:space="0" w:color="auto"/>
              <w:right w:val="single" w:sz="4" w:space="0" w:color="auto"/>
            </w:tcBorders>
            <w:shd w:val="clear" w:color="auto" w:fill="auto"/>
            <w:vAlign w:val="bottom"/>
            <w:hideMark/>
          </w:tcPr>
          <w:p w14:paraId="280B41C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082242975Y</w:t>
            </w:r>
          </w:p>
        </w:tc>
        <w:tc>
          <w:tcPr>
            <w:tcW w:w="6789" w:type="dxa"/>
            <w:tcBorders>
              <w:top w:val="nil"/>
              <w:left w:val="nil"/>
              <w:bottom w:val="single" w:sz="4" w:space="0" w:color="auto"/>
              <w:right w:val="single" w:sz="4" w:space="0" w:color="auto"/>
            </w:tcBorders>
            <w:shd w:val="clear" w:color="auto" w:fill="auto"/>
            <w:vAlign w:val="bottom"/>
            <w:hideMark/>
          </w:tcPr>
          <w:p w14:paraId="52E68EEF" w14:textId="2F2F4830" w:rsidR="00AB0A2B" w:rsidRPr="00AB0A2B" w:rsidRDefault="00AB0A2B" w:rsidP="00AB0A2B">
            <w:pPr>
              <w:rPr>
                <w:rFonts w:ascii="Tw Cen MT" w:hAnsi="Tw Cen MT" w:cs="Calibri"/>
                <w:lang w:eastAsia="fr-FR"/>
              </w:rPr>
            </w:pPr>
            <w:r w:rsidRPr="00AB0A2B">
              <w:rPr>
                <w:rFonts w:ascii="Tw Cen MT" w:hAnsi="Tw Cen MT" w:cs="Calibri"/>
                <w:lang w:eastAsia="fr-FR"/>
              </w:rPr>
              <w:t>INTERMIN LITHIUM SARL</w:t>
            </w:r>
          </w:p>
        </w:tc>
      </w:tr>
      <w:tr w:rsidR="00AB0A2B" w:rsidRPr="00AB0A2B" w14:paraId="05A70ADA"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77473045"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114</w:t>
            </w:r>
          </w:p>
        </w:tc>
        <w:tc>
          <w:tcPr>
            <w:tcW w:w="1480" w:type="dxa"/>
            <w:tcBorders>
              <w:top w:val="nil"/>
              <w:left w:val="nil"/>
              <w:bottom w:val="single" w:sz="4" w:space="0" w:color="auto"/>
              <w:right w:val="single" w:sz="4" w:space="0" w:color="auto"/>
            </w:tcBorders>
            <w:shd w:val="clear" w:color="auto" w:fill="auto"/>
            <w:vAlign w:val="bottom"/>
            <w:hideMark/>
          </w:tcPr>
          <w:p w14:paraId="0113B165"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084128815Y</w:t>
            </w:r>
          </w:p>
        </w:tc>
        <w:tc>
          <w:tcPr>
            <w:tcW w:w="6789" w:type="dxa"/>
            <w:tcBorders>
              <w:top w:val="nil"/>
              <w:left w:val="nil"/>
              <w:bottom w:val="single" w:sz="4" w:space="0" w:color="auto"/>
              <w:right w:val="single" w:sz="4" w:space="0" w:color="auto"/>
            </w:tcBorders>
            <w:shd w:val="clear" w:color="auto" w:fill="auto"/>
            <w:vAlign w:val="bottom"/>
            <w:hideMark/>
          </w:tcPr>
          <w:p w14:paraId="6B891993" w14:textId="16CD6207" w:rsidR="00AB0A2B" w:rsidRPr="00AB0A2B" w:rsidRDefault="00AB0A2B" w:rsidP="00AB0A2B">
            <w:pPr>
              <w:rPr>
                <w:rFonts w:ascii="Tw Cen MT" w:hAnsi="Tw Cen MT" w:cs="Calibri"/>
                <w:lang w:eastAsia="fr-FR"/>
              </w:rPr>
            </w:pPr>
            <w:r w:rsidRPr="00AB0A2B">
              <w:rPr>
                <w:rFonts w:ascii="Tw Cen MT" w:hAnsi="Tw Cen MT" w:cs="Calibri"/>
                <w:lang w:eastAsia="fr-FR"/>
              </w:rPr>
              <w:t>NASHWAN LITHIUM SARL</w:t>
            </w:r>
          </w:p>
        </w:tc>
      </w:tr>
      <w:tr w:rsidR="00AB0A2B" w:rsidRPr="00AB0A2B" w14:paraId="3C2BA2D5"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7458022B"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115</w:t>
            </w:r>
          </w:p>
        </w:tc>
        <w:tc>
          <w:tcPr>
            <w:tcW w:w="1480" w:type="dxa"/>
            <w:tcBorders>
              <w:top w:val="nil"/>
              <w:left w:val="nil"/>
              <w:bottom w:val="single" w:sz="4" w:space="0" w:color="auto"/>
              <w:right w:val="single" w:sz="4" w:space="0" w:color="auto"/>
            </w:tcBorders>
            <w:shd w:val="clear" w:color="auto" w:fill="auto"/>
            <w:vAlign w:val="bottom"/>
            <w:hideMark/>
          </w:tcPr>
          <w:p w14:paraId="6F581591"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087800577D</w:t>
            </w:r>
          </w:p>
        </w:tc>
        <w:tc>
          <w:tcPr>
            <w:tcW w:w="6789" w:type="dxa"/>
            <w:tcBorders>
              <w:top w:val="nil"/>
              <w:left w:val="nil"/>
              <w:bottom w:val="single" w:sz="4" w:space="0" w:color="auto"/>
              <w:right w:val="single" w:sz="4" w:space="0" w:color="auto"/>
            </w:tcBorders>
            <w:shd w:val="clear" w:color="auto" w:fill="auto"/>
            <w:vAlign w:val="bottom"/>
            <w:hideMark/>
          </w:tcPr>
          <w:p w14:paraId="214055E3" w14:textId="23A63B45" w:rsidR="00AB0A2B" w:rsidRPr="00AB0A2B" w:rsidRDefault="00AB0A2B" w:rsidP="00AB0A2B">
            <w:pPr>
              <w:rPr>
                <w:rFonts w:ascii="Tw Cen MT" w:hAnsi="Tw Cen MT" w:cs="Calibri"/>
                <w:lang w:eastAsia="fr-FR"/>
              </w:rPr>
            </w:pPr>
            <w:r w:rsidRPr="00AB0A2B">
              <w:rPr>
                <w:rFonts w:ascii="Tw Cen MT" w:hAnsi="Tw Cen MT" w:cs="Calibri"/>
                <w:lang w:eastAsia="fr-FR"/>
              </w:rPr>
              <w:t>SANKARANI RESSOURCES SARL</w:t>
            </w:r>
          </w:p>
        </w:tc>
      </w:tr>
      <w:tr w:rsidR="00AB0A2B" w:rsidRPr="00AB0A2B" w14:paraId="64070F1A"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71129626"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116</w:t>
            </w:r>
          </w:p>
        </w:tc>
        <w:tc>
          <w:tcPr>
            <w:tcW w:w="1480" w:type="dxa"/>
            <w:tcBorders>
              <w:top w:val="nil"/>
              <w:left w:val="nil"/>
              <w:bottom w:val="single" w:sz="4" w:space="0" w:color="auto"/>
              <w:right w:val="single" w:sz="4" w:space="0" w:color="auto"/>
            </w:tcBorders>
            <w:shd w:val="clear" w:color="auto" w:fill="auto"/>
            <w:vAlign w:val="bottom"/>
            <w:hideMark/>
          </w:tcPr>
          <w:p w14:paraId="711728A9"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087800862M</w:t>
            </w:r>
          </w:p>
        </w:tc>
        <w:tc>
          <w:tcPr>
            <w:tcW w:w="6789" w:type="dxa"/>
            <w:tcBorders>
              <w:top w:val="nil"/>
              <w:left w:val="nil"/>
              <w:bottom w:val="single" w:sz="4" w:space="0" w:color="auto"/>
              <w:right w:val="single" w:sz="4" w:space="0" w:color="auto"/>
            </w:tcBorders>
            <w:shd w:val="clear" w:color="auto" w:fill="auto"/>
            <w:vAlign w:val="bottom"/>
            <w:hideMark/>
          </w:tcPr>
          <w:p w14:paraId="207FDB26" w14:textId="1D6554C3" w:rsidR="00AB0A2B" w:rsidRPr="00AB0A2B" w:rsidRDefault="00AB0A2B" w:rsidP="00AB0A2B">
            <w:pPr>
              <w:rPr>
                <w:rFonts w:ascii="Tw Cen MT" w:hAnsi="Tw Cen MT" w:cs="Calibri"/>
                <w:lang w:eastAsia="fr-FR"/>
              </w:rPr>
            </w:pPr>
            <w:r w:rsidRPr="00AB0A2B">
              <w:rPr>
                <w:rFonts w:ascii="Tw Cen MT" w:hAnsi="Tw Cen MT" w:cs="Calibri"/>
                <w:lang w:eastAsia="fr-FR"/>
              </w:rPr>
              <w:t>ENRROXS ENERGY &amp; MINING MALI SA "EEMM SA"</w:t>
            </w:r>
          </w:p>
        </w:tc>
      </w:tr>
      <w:tr w:rsidR="00AB0A2B" w:rsidRPr="00AB0A2B" w14:paraId="483AC373"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7DDB5187"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117</w:t>
            </w:r>
          </w:p>
        </w:tc>
        <w:tc>
          <w:tcPr>
            <w:tcW w:w="1480" w:type="dxa"/>
            <w:tcBorders>
              <w:top w:val="nil"/>
              <w:left w:val="nil"/>
              <w:bottom w:val="single" w:sz="4" w:space="0" w:color="auto"/>
              <w:right w:val="single" w:sz="4" w:space="0" w:color="auto"/>
            </w:tcBorders>
            <w:shd w:val="clear" w:color="auto" w:fill="auto"/>
            <w:vAlign w:val="bottom"/>
            <w:hideMark/>
          </w:tcPr>
          <w:p w14:paraId="61D3964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084123512B</w:t>
            </w:r>
          </w:p>
        </w:tc>
        <w:tc>
          <w:tcPr>
            <w:tcW w:w="6789" w:type="dxa"/>
            <w:tcBorders>
              <w:top w:val="nil"/>
              <w:left w:val="nil"/>
              <w:bottom w:val="single" w:sz="4" w:space="0" w:color="auto"/>
              <w:right w:val="single" w:sz="4" w:space="0" w:color="auto"/>
            </w:tcBorders>
            <w:shd w:val="clear" w:color="auto" w:fill="auto"/>
            <w:vAlign w:val="bottom"/>
            <w:hideMark/>
          </w:tcPr>
          <w:p w14:paraId="0D3869AD" w14:textId="426A3F89" w:rsidR="00AB0A2B" w:rsidRPr="00AB0A2B" w:rsidRDefault="00AB0A2B" w:rsidP="00AB0A2B">
            <w:pPr>
              <w:rPr>
                <w:rFonts w:ascii="Tw Cen MT" w:hAnsi="Tw Cen MT" w:cs="Calibri"/>
                <w:lang w:eastAsia="fr-FR"/>
              </w:rPr>
            </w:pPr>
            <w:r w:rsidRPr="00AB0A2B">
              <w:rPr>
                <w:rFonts w:ascii="Tw Cen MT" w:hAnsi="Tw Cen MT" w:cs="Calibri"/>
                <w:lang w:eastAsia="fr-FR"/>
              </w:rPr>
              <w:t>MALI GOLD RESOURCES (MGR) SA</w:t>
            </w:r>
          </w:p>
        </w:tc>
      </w:tr>
      <w:tr w:rsidR="00AB0A2B" w:rsidRPr="00AB0A2B" w14:paraId="33DEC43D"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1168F60F"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118</w:t>
            </w:r>
          </w:p>
        </w:tc>
        <w:tc>
          <w:tcPr>
            <w:tcW w:w="1480" w:type="dxa"/>
            <w:tcBorders>
              <w:top w:val="nil"/>
              <w:left w:val="nil"/>
              <w:bottom w:val="single" w:sz="4" w:space="0" w:color="auto"/>
              <w:right w:val="single" w:sz="4" w:space="0" w:color="auto"/>
            </w:tcBorders>
            <w:shd w:val="clear" w:color="auto" w:fill="auto"/>
            <w:vAlign w:val="bottom"/>
            <w:hideMark/>
          </w:tcPr>
          <w:p w14:paraId="02B46AC7"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084123503C</w:t>
            </w:r>
          </w:p>
        </w:tc>
        <w:tc>
          <w:tcPr>
            <w:tcW w:w="6789" w:type="dxa"/>
            <w:tcBorders>
              <w:top w:val="nil"/>
              <w:left w:val="nil"/>
              <w:bottom w:val="single" w:sz="4" w:space="0" w:color="auto"/>
              <w:right w:val="single" w:sz="4" w:space="0" w:color="auto"/>
            </w:tcBorders>
            <w:shd w:val="clear" w:color="auto" w:fill="auto"/>
            <w:vAlign w:val="bottom"/>
            <w:hideMark/>
          </w:tcPr>
          <w:p w14:paraId="5E711927" w14:textId="03B82DE8" w:rsidR="00AB0A2B" w:rsidRPr="00AB0A2B" w:rsidRDefault="00AB0A2B" w:rsidP="00AB0A2B">
            <w:pPr>
              <w:rPr>
                <w:rFonts w:ascii="Tw Cen MT" w:hAnsi="Tw Cen MT" w:cs="Calibri"/>
                <w:lang w:eastAsia="fr-FR"/>
              </w:rPr>
            </w:pPr>
            <w:r w:rsidRPr="00AB0A2B">
              <w:rPr>
                <w:rFonts w:ascii="Tw Cen MT" w:hAnsi="Tw Cen MT" w:cs="Calibri"/>
                <w:lang w:eastAsia="fr-FR"/>
              </w:rPr>
              <w:t>DRAGOLD SA</w:t>
            </w:r>
          </w:p>
        </w:tc>
      </w:tr>
      <w:tr w:rsidR="00AB0A2B" w:rsidRPr="00A32D70" w14:paraId="2BCBA2EE"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041B2531"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119</w:t>
            </w:r>
          </w:p>
        </w:tc>
        <w:tc>
          <w:tcPr>
            <w:tcW w:w="1480" w:type="dxa"/>
            <w:tcBorders>
              <w:top w:val="nil"/>
              <w:left w:val="nil"/>
              <w:bottom w:val="single" w:sz="4" w:space="0" w:color="auto"/>
              <w:right w:val="single" w:sz="4" w:space="0" w:color="auto"/>
            </w:tcBorders>
            <w:shd w:val="clear" w:color="auto" w:fill="auto"/>
            <w:vAlign w:val="bottom"/>
            <w:hideMark/>
          </w:tcPr>
          <w:p w14:paraId="206E71CA"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087800549W</w:t>
            </w:r>
          </w:p>
        </w:tc>
        <w:tc>
          <w:tcPr>
            <w:tcW w:w="6789" w:type="dxa"/>
            <w:tcBorders>
              <w:top w:val="nil"/>
              <w:left w:val="nil"/>
              <w:bottom w:val="single" w:sz="4" w:space="0" w:color="auto"/>
              <w:right w:val="single" w:sz="4" w:space="0" w:color="auto"/>
            </w:tcBorders>
            <w:shd w:val="clear" w:color="auto" w:fill="auto"/>
            <w:vAlign w:val="bottom"/>
            <w:hideMark/>
          </w:tcPr>
          <w:p w14:paraId="48101392" w14:textId="7D17B477" w:rsidR="00AB0A2B" w:rsidRPr="00AB0A2B" w:rsidRDefault="00AB0A2B" w:rsidP="00AB0A2B">
            <w:pPr>
              <w:rPr>
                <w:rFonts w:ascii="Tw Cen MT" w:hAnsi="Tw Cen MT" w:cs="Calibri"/>
                <w:lang w:val="en-US" w:eastAsia="fr-FR"/>
              </w:rPr>
            </w:pPr>
            <w:r w:rsidRPr="00AB0A2B">
              <w:rPr>
                <w:rFonts w:ascii="Tw Cen MT" w:hAnsi="Tw Cen MT" w:cs="Calibri"/>
                <w:lang w:val="en-US" w:eastAsia="fr-FR"/>
              </w:rPr>
              <w:t>AFRICAN GOLD GROUP MALI SARL</w:t>
            </w:r>
          </w:p>
        </w:tc>
      </w:tr>
      <w:tr w:rsidR="00AB0A2B" w:rsidRPr="00AB0A2B" w14:paraId="7120C58D"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3E36449A"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120</w:t>
            </w:r>
          </w:p>
        </w:tc>
        <w:tc>
          <w:tcPr>
            <w:tcW w:w="1480" w:type="dxa"/>
            <w:tcBorders>
              <w:top w:val="nil"/>
              <w:left w:val="nil"/>
              <w:bottom w:val="single" w:sz="4" w:space="0" w:color="auto"/>
              <w:right w:val="single" w:sz="4" w:space="0" w:color="auto"/>
            </w:tcBorders>
            <w:shd w:val="clear" w:color="auto" w:fill="auto"/>
            <w:vAlign w:val="bottom"/>
            <w:hideMark/>
          </w:tcPr>
          <w:p w14:paraId="42F28E01"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087800926A</w:t>
            </w:r>
          </w:p>
        </w:tc>
        <w:tc>
          <w:tcPr>
            <w:tcW w:w="6789" w:type="dxa"/>
            <w:tcBorders>
              <w:top w:val="nil"/>
              <w:left w:val="nil"/>
              <w:bottom w:val="single" w:sz="4" w:space="0" w:color="auto"/>
              <w:right w:val="single" w:sz="4" w:space="0" w:color="auto"/>
            </w:tcBorders>
            <w:shd w:val="clear" w:color="auto" w:fill="auto"/>
            <w:vAlign w:val="bottom"/>
            <w:hideMark/>
          </w:tcPr>
          <w:p w14:paraId="6E3E8FD5" w14:textId="095E6C75" w:rsidR="00AB0A2B" w:rsidRPr="00AB0A2B" w:rsidRDefault="00AB0A2B" w:rsidP="00AB0A2B">
            <w:pPr>
              <w:rPr>
                <w:rFonts w:ascii="Tw Cen MT" w:hAnsi="Tw Cen MT" w:cs="Calibri"/>
                <w:lang w:eastAsia="fr-FR"/>
              </w:rPr>
            </w:pPr>
            <w:r w:rsidRPr="00AB0A2B">
              <w:rPr>
                <w:rFonts w:ascii="Tw Cen MT" w:hAnsi="Tw Cen MT" w:cs="Calibri"/>
                <w:lang w:eastAsia="fr-FR"/>
              </w:rPr>
              <w:t>FANTA MINING SARL</w:t>
            </w:r>
          </w:p>
        </w:tc>
      </w:tr>
      <w:tr w:rsidR="00AB0A2B" w:rsidRPr="00AB0A2B" w14:paraId="1691B632"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1147B71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121</w:t>
            </w:r>
          </w:p>
        </w:tc>
        <w:tc>
          <w:tcPr>
            <w:tcW w:w="1480" w:type="dxa"/>
            <w:tcBorders>
              <w:top w:val="nil"/>
              <w:left w:val="nil"/>
              <w:bottom w:val="single" w:sz="4" w:space="0" w:color="auto"/>
              <w:right w:val="single" w:sz="4" w:space="0" w:color="auto"/>
            </w:tcBorders>
            <w:shd w:val="clear" w:color="auto" w:fill="auto"/>
            <w:vAlign w:val="bottom"/>
            <w:hideMark/>
          </w:tcPr>
          <w:p w14:paraId="07470954"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087800767K</w:t>
            </w:r>
          </w:p>
        </w:tc>
        <w:tc>
          <w:tcPr>
            <w:tcW w:w="6789" w:type="dxa"/>
            <w:tcBorders>
              <w:top w:val="nil"/>
              <w:left w:val="nil"/>
              <w:bottom w:val="single" w:sz="4" w:space="0" w:color="auto"/>
              <w:right w:val="single" w:sz="4" w:space="0" w:color="auto"/>
            </w:tcBorders>
            <w:shd w:val="clear" w:color="auto" w:fill="auto"/>
            <w:vAlign w:val="bottom"/>
            <w:hideMark/>
          </w:tcPr>
          <w:p w14:paraId="4B3DA28C" w14:textId="14F45F32" w:rsidR="00AB0A2B" w:rsidRPr="00AB0A2B" w:rsidRDefault="00AB0A2B" w:rsidP="00AB0A2B">
            <w:pPr>
              <w:rPr>
                <w:rFonts w:ascii="Tw Cen MT" w:hAnsi="Tw Cen MT" w:cs="Calibri"/>
                <w:lang w:eastAsia="fr-FR"/>
              </w:rPr>
            </w:pPr>
            <w:r w:rsidRPr="00AB0A2B">
              <w:rPr>
                <w:rFonts w:ascii="Tw Cen MT" w:hAnsi="Tw Cen MT" w:cs="Calibri"/>
                <w:lang w:eastAsia="fr-FR"/>
              </w:rPr>
              <w:t>SOCIÉTÉ D'EXPLORATION DE SIRIBAYA SARL</w:t>
            </w:r>
          </w:p>
        </w:tc>
      </w:tr>
      <w:tr w:rsidR="00AB0A2B" w:rsidRPr="00AB0A2B" w14:paraId="3944F49B"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6F074DC4"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122</w:t>
            </w:r>
          </w:p>
        </w:tc>
        <w:tc>
          <w:tcPr>
            <w:tcW w:w="1480" w:type="dxa"/>
            <w:tcBorders>
              <w:top w:val="nil"/>
              <w:left w:val="nil"/>
              <w:bottom w:val="single" w:sz="4" w:space="0" w:color="auto"/>
              <w:right w:val="single" w:sz="4" w:space="0" w:color="auto"/>
            </w:tcBorders>
            <w:shd w:val="clear" w:color="auto" w:fill="auto"/>
            <w:vAlign w:val="bottom"/>
            <w:hideMark/>
          </w:tcPr>
          <w:p w14:paraId="063F3B7D"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087800792J</w:t>
            </w:r>
          </w:p>
        </w:tc>
        <w:tc>
          <w:tcPr>
            <w:tcW w:w="6789" w:type="dxa"/>
            <w:tcBorders>
              <w:top w:val="nil"/>
              <w:left w:val="nil"/>
              <w:bottom w:val="single" w:sz="4" w:space="0" w:color="auto"/>
              <w:right w:val="single" w:sz="4" w:space="0" w:color="auto"/>
            </w:tcBorders>
            <w:shd w:val="clear" w:color="auto" w:fill="auto"/>
            <w:vAlign w:val="bottom"/>
            <w:hideMark/>
          </w:tcPr>
          <w:p w14:paraId="42D9D173" w14:textId="33DBFA0C" w:rsidR="00AB0A2B" w:rsidRPr="00AB0A2B" w:rsidRDefault="00AB0A2B" w:rsidP="00AB0A2B">
            <w:pPr>
              <w:rPr>
                <w:rFonts w:ascii="Tw Cen MT" w:hAnsi="Tw Cen MT" w:cs="Calibri"/>
                <w:lang w:eastAsia="fr-FR"/>
              </w:rPr>
            </w:pPr>
            <w:r w:rsidRPr="00AB0A2B">
              <w:rPr>
                <w:rFonts w:ascii="Tw Cen MT" w:hAnsi="Tw Cen MT" w:cs="Calibri"/>
                <w:lang w:eastAsia="fr-FR"/>
              </w:rPr>
              <w:t>AVION MALI EXPLORATION SA</w:t>
            </w:r>
          </w:p>
        </w:tc>
      </w:tr>
      <w:tr w:rsidR="00AB0A2B" w:rsidRPr="00A32D70" w14:paraId="40FBB1B0"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2568B142"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123</w:t>
            </w:r>
          </w:p>
        </w:tc>
        <w:tc>
          <w:tcPr>
            <w:tcW w:w="1480" w:type="dxa"/>
            <w:tcBorders>
              <w:top w:val="nil"/>
              <w:left w:val="nil"/>
              <w:bottom w:val="single" w:sz="4" w:space="0" w:color="auto"/>
              <w:right w:val="single" w:sz="4" w:space="0" w:color="auto"/>
            </w:tcBorders>
            <w:shd w:val="clear" w:color="auto" w:fill="auto"/>
            <w:vAlign w:val="bottom"/>
            <w:hideMark/>
          </w:tcPr>
          <w:p w14:paraId="3C64E760"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084123506k</w:t>
            </w:r>
          </w:p>
        </w:tc>
        <w:tc>
          <w:tcPr>
            <w:tcW w:w="6789" w:type="dxa"/>
            <w:tcBorders>
              <w:top w:val="nil"/>
              <w:left w:val="nil"/>
              <w:bottom w:val="single" w:sz="4" w:space="0" w:color="auto"/>
              <w:right w:val="single" w:sz="4" w:space="0" w:color="auto"/>
            </w:tcBorders>
            <w:shd w:val="clear" w:color="auto" w:fill="auto"/>
            <w:vAlign w:val="bottom"/>
            <w:hideMark/>
          </w:tcPr>
          <w:p w14:paraId="060D22C6" w14:textId="40121CAF" w:rsidR="00AB0A2B" w:rsidRPr="00AB0A2B" w:rsidRDefault="00AB0A2B" w:rsidP="00AB0A2B">
            <w:pPr>
              <w:rPr>
                <w:rFonts w:ascii="Tw Cen MT" w:hAnsi="Tw Cen MT" w:cs="Calibri"/>
                <w:lang w:val="en-US" w:eastAsia="fr-FR"/>
              </w:rPr>
            </w:pPr>
            <w:r w:rsidRPr="00AB0A2B">
              <w:rPr>
                <w:rFonts w:ascii="Tw Cen MT" w:hAnsi="Tw Cen MT" w:cs="Calibri"/>
                <w:lang w:val="en-US" w:eastAsia="fr-FR"/>
              </w:rPr>
              <w:t>GREENECO MINING MALI (GMM) SA</w:t>
            </w:r>
          </w:p>
        </w:tc>
      </w:tr>
      <w:tr w:rsidR="00AB0A2B" w:rsidRPr="00A32D70" w14:paraId="6BB8DD98"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12DC89C7"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124</w:t>
            </w:r>
          </w:p>
        </w:tc>
        <w:tc>
          <w:tcPr>
            <w:tcW w:w="1480" w:type="dxa"/>
            <w:tcBorders>
              <w:top w:val="nil"/>
              <w:left w:val="nil"/>
              <w:bottom w:val="single" w:sz="4" w:space="0" w:color="auto"/>
              <w:right w:val="single" w:sz="4" w:space="0" w:color="auto"/>
            </w:tcBorders>
            <w:shd w:val="clear" w:color="auto" w:fill="auto"/>
            <w:vAlign w:val="bottom"/>
            <w:hideMark/>
          </w:tcPr>
          <w:p w14:paraId="319E4CCB"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082234708L</w:t>
            </w:r>
          </w:p>
        </w:tc>
        <w:tc>
          <w:tcPr>
            <w:tcW w:w="6789" w:type="dxa"/>
            <w:tcBorders>
              <w:top w:val="nil"/>
              <w:left w:val="nil"/>
              <w:bottom w:val="single" w:sz="4" w:space="0" w:color="auto"/>
              <w:right w:val="single" w:sz="4" w:space="0" w:color="auto"/>
            </w:tcBorders>
            <w:shd w:val="clear" w:color="auto" w:fill="auto"/>
            <w:vAlign w:val="bottom"/>
            <w:hideMark/>
          </w:tcPr>
          <w:p w14:paraId="20F4D5C0" w14:textId="562155E3" w:rsidR="00AB0A2B" w:rsidRPr="00AB0A2B" w:rsidRDefault="00AB0A2B" w:rsidP="00AB0A2B">
            <w:pPr>
              <w:rPr>
                <w:rFonts w:ascii="Tw Cen MT" w:hAnsi="Tw Cen MT" w:cs="Calibri"/>
                <w:lang w:val="en-US" w:eastAsia="fr-FR"/>
              </w:rPr>
            </w:pPr>
            <w:r w:rsidRPr="00AB0A2B">
              <w:rPr>
                <w:rFonts w:ascii="Tw Cen MT" w:hAnsi="Tw Cen MT" w:cs="Calibri"/>
                <w:lang w:val="en-US" w:eastAsia="fr-FR"/>
              </w:rPr>
              <w:t>JINLONG-S.A.R.L</w:t>
            </w:r>
          </w:p>
        </w:tc>
      </w:tr>
      <w:tr w:rsidR="00AB0A2B" w:rsidRPr="00AB0A2B" w14:paraId="5ED8138B"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2E1A0EED"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125</w:t>
            </w:r>
          </w:p>
        </w:tc>
        <w:tc>
          <w:tcPr>
            <w:tcW w:w="1480" w:type="dxa"/>
            <w:tcBorders>
              <w:top w:val="nil"/>
              <w:left w:val="nil"/>
              <w:bottom w:val="single" w:sz="4" w:space="0" w:color="auto"/>
              <w:right w:val="single" w:sz="4" w:space="0" w:color="auto"/>
            </w:tcBorders>
            <w:shd w:val="clear" w:color="auto" w:fill="auto"/>
            <w:vAlign w:val="bottom"/>
            <w:hideMark/>
          </w:tcPr>
          <w:p w14:paraId="38BB5392"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087800799M</w:t>
            </w:r>
          </w:p>
        </w:tc>
        <w:tc>
          <w:tcPr>
            <w:tcW w:w="6789" w:type="dxa"/>
            <w:tcBorders>
              <w:top w:val="nil"/>
              <w:left w:val="nil"/>
              <w:bottom w:val="single" w:sz="4" w:space="0" w:color="auto"/>
              <w:right w:val="single" w:sz="4" w:space="0" w:color="auto"/>
            </w:tcBorders>
            <w:shd w:val="clear" w:color="auto" w:fill="auto"/>
            <w:vAlign w:val="bottom"/>
            <w:hideMark/>
          </w:tcPr>
          <w:p w14:paraId="0581C7BB" w14:textId="16816AB3" w:rsidR="00AB0A2B" w:rsidRPr="00AB0A2B" w:rsidRDefault="00AB0A2B" w:rsidP="00AB0A2B">
            <w:pPr>
              <w:rPr>
                <w:rFonts w:ascii="Tw Cen MT" w:hAnsi="Tw Cen MT" w:cs="Calibri"/>
                <w:lang w:eastAsia="fr-FR"/>
              </w:rPr>
            </w:pPr>
            <w:r w:rsidRPr="00AB0A2B">
              <w:rPr>
                <w:rFonts w:ascii="Tw Cen MT" w:hAnsi="Tw Cen MT" w:cs="Calibri"/>
                <w:lang w:eastAsia="fr-FR"/>
              </w:rPr>
              <w:t>LEGEND GOLD MALI SARL</w:t>
            </w:r>
          </w:p>
        </w:tc>
      </w:tr>
      <w:tr w:rsidR="00AB0A2B" w:rsidRPr="00AB0A2B" w14:paraId="4D0017F5"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2272A7B2"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126</w:t>
            </w:r>
          </w:p>
        </w:tc>
        <w:tc>
          <w:tcPr>
            <w:tcW w:w="1480" w:type="dxa"/>
            <w:tcBorders>
              <w:top w:val="nil"/>
              <w:left w:val="nil"/>
              <w:bottom w:val="single" w:sz="4" w:space="0" w:color="auto"/>
              <w:right w:val="single" w:sz="4" w:space="0" w:color="auto"/>
            </w:tcBorders>
            <w:shd w:val="clear" w:color="auto" w:fill="auto"/>
            <w:vAlign w:val="bottom"/>
            <w:hideMark/>
          </w:tcPr>
          <w:p w14:paraId="2398163B"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082216837R</w:t>
            </w:r>
          </w:p>
        </w:tc>
        <w:tc>
          <w:tcPr>
            <w:tcW w:w="6789" w:type="dxa"/>
            <w:tcBorders>
              <w:top w:val="nil"/>
              <w:left w:val="nil"/>
              <w:bottom w:val="single" w:sz="4" w:space="0" w:color="auto"/>
              <w:right w:val="single" w:sz="4" w:space="0" w:color="auto"/>
            </w:tcBorders>
            <w:shd w:val="clear" w:color="auto" w:fill="auto"/>
            <w:vAlign w:val="bottom"/>
            <w:hideMark/>
          </w:tcPr>
          <w:p w14:paraId="1C99A29D" w14:textId="275A1F34" w:rsidR="00AB0A2B" w:rsidRPr="00AB0A2B" w:rsidRDefault="00AB0A2B" w:rsidP="00AB0A2B">
            <w:pPr>
              <w:rPr>
                <w:rFonts w:ascii="Tw Cen MT" w:hAnsi="Tw Cen MT" w:cs="Calibri"/>
                <w:lang w:eastAsia="fr-FR"/>
              </w:rPr>
            </w:pPr>
            <w:r w:rsidRPr="00AB0A2B">
              <w:rPr>
                <w:rFonts w:ascii="Tw Cen MT" w:hAnsi="Tw Cen MT" w:cs="Calibri"/>
                <w:lang w:eastAsia="fr-FR"/>
              </w:rPr>
              <w:t>DELTA EXPLORATION MALI SARL</w:t>
            </w:r>
          </w:p>
        </w:tc>
      </w:tr>
      <w:tr w:rsidR="00AB0A2B" w:rsidRPr="00AB0A2B" w14:paraId="506C759F"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17A3F151"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127</w:t>
            </w:r>
          </w:p>
        </w:tc>
        <w:tc>
          <w:tcPr>
            <w:tcW w:w="1480" w:type="dxa"/>
            <w:tcBorders>
              <w:top w:val="nil"/>
              <w:left w:val="nil"/>
              <w:bottom w:val="single" w:sz="4" w:space="0" w:color="auto"/>
              <w:right w:val="single" w:sz="4" w:space="0" w:color="auto"/>
            </w:tcBorders>
            <w:shd w:val="clear" w:color="auto" w:fill="auto"/>
            <w:vAlign w:val="bottom"/>
            <w:hideMark/>
          </w:tcPr>
          <w:p w14:paraId="076D65B4"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084123516W</w:t>
            </w:r>
          </w:p>
        </w:tc>
        <w:tc>
          <w:tcPr>
            <w:tcW w:w="6789" w:type="dxa"/>
            <w:tcBorders>
              <w:top w:val="nil"/>
              <w:left w:val="nil"/>
              <w:bottom w:val="single" w:sz="4" w:space="0" w:color="auto"/>
              <w:right w:val="single" w:sz="4" w:space="0" w:color="auto"/>
            </w:tcBorders>
            <w:shd w:val="clear" w:color="auto" w:fill="auto"/>
            <w:vAlign w:val="bottom"/>
            <w:hideMark/>
          </w:tcPr>
          <w:p w14:paraId="0AE3637D" w14:textId="0FC2D856" w:rsidR="00AB0A2B" w:rsidRPr="00AB0A2B" w:rsidRDefault="00AB0A2B" w:rsidP="00AB0A2B">
            <w:pPr>
              <w:rPr>
                <w:rFonts w:ascii="Tw Cen MT" w:hAnsi="Tw Cen MT" w:cs="Calibri"/>
                <w:lang w:eastAsia="fr-FR"/>
              </w:rPr>
            </w:pPr>
            <w:r w:rsidRPr="00AB0A2B">
              <w:rPr>
                <w:rFonts w:ascii="Tw Cen MT" w:hAnsi="Tw Cen MT" w:cs="Calibri"/>
                <w:lang w:eastAsia="fr-FR"/>
              </w:rPr>
              <w:t>SUN &amp; SEA GOLDINVEST SUARL</w:t>
            </w:r>
          </w:p>
        </w:tc>
      </w:tr>
      <w:tr w:rsidR="00AB0A2B" w:rsidRPr="00AB0A2B" w14:paraId="4BA55D75"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6BE92BFA"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128</w:t>
            </w:r>
          </w:p>
        </w:tc>
        <w:tc>
          <w:tcPr>
            <w:tcW w:w="1480" w:type="dxa"/>
            <w:tcBorders>
              <w:top w:val="nil"/>
              <w:left w:val="nil"/>
              <w:bottom w:val="single" w:sz="4" w:space="0" w:color="auto"/>
              <w:right w:val="single" w:sz="4" w:space="0" w:color="auto"/>
            </w:tcBorders>
            <w:shd w:val="clear" w:color="auto" w:fill="auto"/>
            <w:vAlign w:val="bottom"/>
            <w:hideMark/>
          </w:tcPr>
          <w:p w14:paraId="6B490024"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086119803A</w:t>
            </w:r>
          </w:p>
        </w:tc>
        <w:tc>
          <w:tcPr>
            <w:tcW w:w="6789" w:type="dxa"/>
            <w:tcBorders>
              <w:top w:val="nil"/>
              <w:left w:val="nil"/>
              <w:bottom w:val="single" w:sz="4" w:space="0" w:color="auto"/>
              <w:right w:val="single" w:sz="4" w:space="0" w:color="auto"/>
            </w:tcBorders>
            <w:shd w:val="clear" w:color="auto" w:fill="auto"/>
            <w:vAlign w:val="bottom"/>
            <w:hideMark/>
          </w:tcPr>
          <w:p w14:paraId="6A975BB0" w14:textId="215F3831" w:rsidR="00AB0A2B" w:rsidRPr="00AB0A2B" w:rsidRDefault="00AB0A2B" w:rsidP="00AB0A2B">
            <w:pPr>
              <w:rPr>
                <w:rFonts w:ascii="Tw Cen MT" w:hAnsi="Tw Cen MT" w:cs="Calibri"/>
                <w:lang w:eastAsia="fr-FR"/>
              </w:rPr>
            </w:pPr>
            <w:r w:rsidRPr="00AB0A2B">
              <w:rPr>
                <w:rFonts w:ascii="Tw Cen MT" w:hAnsi="Tw Cen MT" w:cs="Calibri"/>
                <w:lang w:eastAsia="fr-FR"/>
              </w:rPr>
              <w:t>TROPICAL GOLD DU MALI "T.G.M" SARL</w:t>
            </w:r>
          </w:p>
        </w:tc>
      </w:tr>
      <w:tr w:rsidR="00AB0A2B" w:rsidRPr="00AB0A2B" w14:paraId="2C54FC02"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21FF2846"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129</w:t>
            </w:r>
          </w:p>
        </w:tc>
        <w:tc>
          <w:tcPr>
            <w:tcW w:w="1480" w:type="dxa"/>
            <w:tcBorders>
              <w:top w:val="nil"/>
              <w:left w:val="nil"/>
              <w:bottom w:val="single" w:sz="4" w:space="0" w:color="auto"/>
              <w:right w:val="single" w:sz="4" w:space="0" w:color="auto"/>
            </w:tcBorders>
            <w:shd w:val="clear" w:color="auto" w:fill="auto"/>
            <w:vAlign w:val="bottom"/>
            <w:hideMark/>
          </w:tcPr>
          <w:p w14:paraId="54B8C5F1"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081120075R</w:t>
            </w:r>
          </w:p>
        </w:tc>
        <w:tc>
          <w:tcPr>
            <w:tcW w:w="6789" w:type="dxa"/>
            <w:tcBorders>
              <w:top w:val="nil"/>
              <w:left w:val="nil"/>
              <w:bottom w:val="single" w:sz="4" w:space="0" w:color="auto"/>
              <w:right w:val="single" w:sz="4" w:space="0" w:color="auto"/>
            </w:tcBorders>
            <w:shd w:val="clear" w:color="auto" w:fill="auto"/>
            <w:vAlign w:val="bottom"/>
            <w:hideMark/>
          </w:tcPr>
          <w:p w14:paraId="4F8E9773" w14:textId="336CE8D8" w:rsidR="00AB0A2B" w:rsidRPr="00AB0A2B" w:rsidRDefault="00AB0A2B" w:rsidP="00AB0A2B">
            <w:pPr>
              <w:rPr>
                <w:rFonts w:ascii="Tw Cen MT" w:hAnsi="Tw Cen MT" w:cs="Calibri"/>
                <w:lang w:eastAsia="fr-FR"/>
              </w:rPr>
            </w:pPr>
            <w:r w:rsidRPr="00AB0A2B">
              <w:rPr>
                <w:rFonts w:ascii="Tw Cen MT" w:hAnsi="Tw Cen MT" w:cs="Calibri"/>
                <w:lang w:eastAsia="fr-FR"/>
              </w:rPr>
              <w:t>MERREX GOLD MALI SARL</w:t>
            </w:r>
          </w:p>
        </w:tc>
      </w:tr>
      <w:tr w:rsidR="00AB0A2B" w:rsidRPr="00AB0A2B" w14:paraId="20BC31C8"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3549B69"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130</w:t>
            </w:r>
          </w:p>
        </w:tc>
        <w:tc>
          <w:tcPr>
            <w:tcW w:w="1480" w:type="dxa"/>
            <w:tcBorders>
              <w:top w:val="nil"/>
              <w:left w:val="nil"/>
              <w:bottom w:val="single" w:sz="4" w:space="0" w:color="auto"/>
              <w:right w:val="single" w:sz="4" w:space="0" w:color="auto"/>
            </w:tcBorders>
            <w:shd w:val="clear" w:color="auto" w:fill="auto"/>
            <w:vAlign w:val="bottom"/>
            <w:hideMark/>
          </w:tcPr>
          <w:p w14:paraId="6FDAFE4F"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084123504M</w:t>
            </w:r>
          </w:p>
        </w:tc>
        <w:tc>
          <w:tcPr>
            <w:tcW w:w="6789" w:type="dxa"/>
            <w:tcBorders>
              <w:top w:val="nil"/>
              <w:left w:val="nil"/>
              <w:bottom w:val="single" w:sz="4" w:space="0" w:color="auto"/>
              <w:right w:val="single" w:sz="4" w:space="0" w:color="auto"/>
            </w:tcBorders>
            <w:shd w:val="clear" w:color="auto" w:fill="auto"/>
            <w:vAlign w:val="bottom"/>
            <w:hideMark/>
          </w:tcPr>
          <w:p w14:paraId="3F5AFD82" w14:textId="108369AB" w:rsidR="00AB0A2B" w:rsidRPr="00AB0A2B" w:rsidRDefault="00AB0A2B" w:rsidP="00AB0A2B">
            <w:pPr>
              <w:rPr>
                <w:rFonts w:ascii="Tw Cen MT" w:hAnsi="Tw Cen MT" w:cs="Calibri"/>
                <w:lang w:eastAsia="fr-FR"/>
              </w:rPr>
            </w:pPr>
            <w:r w:rsidRPr="00AB0A2B">
              <w:rPr>
                <w:rFonts w:ascii="Tw Cen MT" w:hAnsi="Tw Cen MT" w:cs="Calibri"/>
                <w:lang w:eastAsia="fr-FR"/>
              </w:rPr>
              <w:t>GOLDROXS MALI SA</w:t>
            </w:r>
          </w:p>
        </w:tc>
      </w:tr>
      <w:tr w:rsidR="00AB0A2B" w:rsidRPr="00AB0A2B" w14:paraId="3A94B8EF"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6ECE790E"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lastRenderedPageBreak/>
              <w:t>131</w:t>
            </w:r>
          </w:p>
        </w:tc>
        <w:tc>
          <w:tcPr>
            <w:tcW w:w="1480" w:type="dxa"/>
            <w:tcBorders>
              <w:top w:val="nil"/>
              <w:left w:val="nil"/>
              <w:bottom w:val="single" w:sz="4" w:space="0" w:color="auto"/>
              <w:right w:val="single" w:sz="4" w:space="0" w:color="auto"/>
            </w:tcBorders>
            <w:shd w:val="clear" w:color="auto" w:fill="auto"/>
            <w:vAlign w:val="bottom"/>
            <w:hideMark/>
          </w:tcPr>
          <w:p w14:paraId="0206FF28"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082230521F</w:t>
            </w:r>
          </w:p>
        </w:tc>
        <w:tc>
          <w:tcPr>
            <w:tcW w:w="6789" w:type="dxa"/>
            <w:tcBorders>
              <w:top w:val="nil"/>
              <w:left w:val="nil"/>
              <w:bottom w:val="single" w:sz="4" w:space="0" w:color="auto"/>
              <w:right w:val="single" w:sz="4" w:space="0" w:color="auto"/>
            </w:tcBorders>
            <w:shd w:val="clear" w:color="auto" w:fill="auto"/>
            <w:vAlign w:val="bottom"/>
            <w:hideMark/>
          </w:tcPr>
          <w:p w14:paraId="617758C0" w14:textId="7B70531D" w:rsidR="00AB0A2B" w:rsidRPr="00AB0A2B" w:rsidRDefault="00AB0A2B" w:rsidP="00AB0A2B">
            <w:pPr>
              <w:rPr>
                <w:rFonts w:ascii="Tw Cen MT" w:hAnsi="Tw Cen MT" w:cs="Calibri"/>
                <w:lang w:eastAsia="fr-FR"/>
              </w:rPr>
            </w:pPr>
            <w:r w:rsidRPr="00AB0A2B">
              <w:rPr>
                <w:rFonts w:ascii="Tw Cen MT" w:hAnsi="Tw Cen MT" w:cs="Calibri"/>
                <w:lang w:eastAsia="fr-FR"/>
              </w:rPr>
              <w:t>CORA GOLD MALI SARL</w:t>
            </w:r>
          </w:p>
        </w:tc>
      </w:tr>
      <w:tr w:rsidR="00AB0A2B" w:rsidRPr="00A32D70" w14:paraId="1D1F3F4D"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76878AFA"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132</w:t>
            </w:r>
          </w:p>
        </w:tc>
        <w:tc>
          <w:tcPr>
            <w:tcW w:w="1480" w:type="dxa"/>
            <w:tcBorders>
              <w:top w:val="nil"/>
              <w:left w:val="nil"/>
              <w:bottom w:val="single" w:sz="4" w:space="0" w:color="auto"/>
              <w:right w:val="single" w:sz="4" w:space="0" w:color="auto"/>
            </w:tcBorders>
            <w:shd w:val="clear" w:color="auto" w:fill="auto"/>
            <w:vAlign w:val="bottom"/>
            <w:hideMark/>
          </w:tcPr>
          <w:p w14:paraId="48EB971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084123508H</w:t>
            </w:r>
          </w:p>
        </w:tc>
        <w:tc>
          <w:tcPr>
            <w:tcW w:w="6789" w:type="dxa"/>
            <w:tcBorders>
              <w:top w:val="nil"/>
              <w:left w:val="nil"/>
              <w:bottom w:val="single" w:sz="4" w:space="0" w:color="auto"/>
              <w:right w:val="single" w:sz="4" w:space="0" w:color="auto"/>
            </w:tcBorders>
            <w:shd w:val="clear" w:color="auto" w:fill="auto"/>
            <w:vAlign w:val="bottom"/>
            <w:hideMark/>
          </w:tcPr>
          <w:p w14:paraId="110F904B" w14:textId="46692527" w:rsidR="00AB0A2B" w:rsidRPr="00AB0A2B" w:rsidRDefault="00AB0A2B" w:rsidP="00AB0A2B">
            <w:pPr>
              <w:rPr>
                <w:rFonts w:ascii="Tw Cen MT" w:hAnsi="Tw Cen MT" w:cs="Calibri"/>
                <w:lang w:val="en-US" w:eastAsia="fr-FR"/>
              </w:rPr>
            </w:pPr>
            <w:r w:rsidRPr="00AB0A2B">
              <w:rPr>
                <w:rFonts w:ascii="Tw Cen MT" w:hAnsi="Tw Cen MT" w:cs="Calibri"/>
                <w:lang w:val="en-US" w:eastAsia="fr-FR"/>
              </w:rPr>
              <w:t>KOH-I-NOOR MALI (KINM) SA</w:t>
            </w:r>
          </w:p>
        </w:tc>
      </w:tr>
      <w:tr w:rsidR="00AB0A2B" w:rsidRPr="00AB0A2B" w14:paraId="479298CC"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2CC2D56"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133</w:t>
            </w:r>
          </w:p>
        </w:tc>
        <w:tc>
          <w:tcPr>
            <w:tcW w:w="1480" w:type="dxa"/>
            <w:tcBorders>
              <w:top w:val="nil"/>
              <w:left w:val="nil"/>
              <w:bottom w:val="single" w:sz="4" w:space="0" w:color="auto"/>
              <w:right w:val="single" w:sz="4" w:space="0" w:color="auto"/>
            </w:tcBorders>
            <w:shd w:val="clear" w:color="auto" w:fill="auto"/>
            <w:vAlign w:val="bottom"/>
            <w:hideMark/>
          </w:tcPr>
          <w:p w14:paraId="7DF41734"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087800792J</w:t>
            </w:r>
          </w:p>
        </w:tc>
        <w:tc>
          <w:tcPr>
            <w:tcW w:w="6789" w:type="dxa"/>
            <w:tcBorders>
              <w:top w:val="nil"/>
              <w:left w:val="nil"/>
              <w:bottom w:val="single" w:sz="4" w:space="0" w:color="auto"/>
              <w:right w:val="single" w:sz="4" w:space="0" w:color="auto"/>
            </w:tcBorders>
            <w:shd w:val="clear" w:color="auto" w:fill="auto"/>
            <w:vAlign w:val="bottom"/>
            <w:hideMark/>
          </w:tcPr>
          <w:p w14:paraId="182B135D" w14:textId="3A6DBD8C" w:rsidR="00AB0A2B" w:rsidRPr="00AB0A2B" w:rsidRDefault="00AB0A2B" w:rsidP="00AB0A2B">
            <w:pPr>
              <w:rPr>
                <w:rFonts w:ascii="Tw Cen MT" w:hAnsi="Tw Cen MT" w:cs="Calibri"/>
                <w:lang w:eastAsia="fr-FR"/>
              </w:rPr>
            </w:pPr>
            <w:r w:rsidRPr="00AB0A2B">
              <w:rPr>
                <w:rFonts w:ascii="Tw Cen MT" w:hAnsi="Tw Cen MT" w:cs="Calibri"/>
                <w:lang w:eastAsia="fr-FR"/>
              </w:rPr>
              <w:t>AVION MALI WEST EXPLORATION</w:t>
            </w:r>
          </w:p>
        </w:tc>
      </w:tr>
      <w:tr w:rsidR="00AB0A2B" w:rsidRPr="00A32D70" w14:paraId="3C5B59FC"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DFCA4EC"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134</w:t>
            </w:r>
          </w:p>
        </w:tc>
        <w:tc>
          <w:tcPr>
            <w:tcW w:w="1480" w:type="dxa"/>
            <w:tcBorders>
              <w:top w:val="nil"/>
              <w:left w:val="nil"/>
              <w:bottom w:val="single" w:sz="4" w:space="0" w:color="auto"/>
              <w:right w:val="single" w:sz="4" w:space="0" w:color="auto"/>
            </w:tcBorders>
            <w:shd w:val="clear" w:color="auto" w:fill="auto"/>
            <w:vAlign w:val="bottom"/>
            <w:hideMark/>
          </w:tcPr>
          <w:p w14:paraId="404FD145"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083325535B</w:t>
            </w:r>
          </w:p>
        </w:tc>
        <w:tc>
          <w:tcPr>
            <w:tcW w:w="6789" w:type="dxa"/>
            <w:tcBorders>
              <w:top w:val="nil"/>
              <w:left w:val="nil"/>
              <w:bottom w:val="single" w:sz="4" w:space="0" w:color="auto"/>
              <w:right w:val="single" w:sz="4" w:space="0" w:color="auto"/>
            </w:tcBorders>
            <w:shd w:val="clear" w:color="auto" w:fill="auto"/>
            <w:vAlign w:val="bottom"/>
            <w:hideMark/>
          </w:tcPr>
          <w:p w14:paraId="511C0E3F" w14:textId="6234BDDD" w:rsidR="00AB0A2B" w:rsidRPr="00AB0A2B" w:rsidRDefault="00AB0A2B" w:rsidP="00AB0A2B">
            <w:pPr>
              <w:rPr>
                <w:rFonts w:ascii="Tw Cen MT" w:hAnsi="Tw Cen MT" w:cs="Calibri"/>
                <w:lang w:val="en-US" w:eastAsia="fr-FR"/>
              </w:rPr>
            </w:pPr>
            <w:r w:rsidRPr="00AB0A2B">
              <w:rPr>
                <w:rFonts w:ascii="Tw Cen MT" w:hAnsi="Tw Cen MT" w:cs="Calibri"/>
                <w:lang w:val="en-US" w:eastAsia="fr-FR"/>
              </w:rPr>
              <w:t>INTERNATIONAL DRILLING COMPANY MALI "I.D.C. MALI" SARL</w:t>
            </w:r>
          </w:p>
        </w:tc>
      </w:tr>
      <w:tr w:rsidR="00AB0A2B" w:rsidRPr="00AB0A2B" w14:paraId="3A8D6557"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1797DCE2"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135</w:t>
            </w:r>
          </w:p>
        </w:tc>
        <w:tc>
          <w:tcPr>
            <w:tcW w:w="1480" w:type="dxa"/>
            <w:tcBorders>
              <w:top w:val="nil"/>
              <w:left w:val="nil"/>
              <w:bottom w:val="single" w:sz="4" w:space="0" w:color="auto"/>
              <w:right w:val="single" w:sz="4" w:space="0" w:color="auto"/>
            </w:tcBorders>
            <w:shd w:val="clear" w:color="auto" w:fill="auto"/>
            <w:vAlign w:val="bottom"/>
            <w:hideMark/>
          </w:tcPr>
          <w:p w14:paraId="380196C1"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082242472E</w:t>
            </w:r>
          </w:p>
        </w:tc>
        <w:tc>
          <w:tcPr>
            <w:tcW w:w="6789" w:type="dxa"/>
            <w:tcBorders>
              <w:top w:val="nil"/>
              <w:left w:val="nil"/>
              <w:bottom w:val="single" w:sz="4" w:space="0" w:color="auto"/>
              <w:right w:val="single" w:sz="4" w:space="0" w:color="auto"/>
            </w:tcBorders>
            <w:shd w:val="clear" w:color="auto" w:fill="auto"/>
            <w:vAlign w:val="bottom"/>
            <w:hideMark/>
          </w:tcPr>
          <w:p w14:paraId="30013CFC" w14:textId="5DEA5EC0" w:rsidR="00AB0A2B" w:rsidRPr="00AB0A2B" w:rsidRDefault="00AB0A2B" w:rsidP="00AB0A2B">
            <w:pPr>
              <w:rPr>
                <w:rFonts w:ascii="Tw Cen MT" w:hAnsi="Tw Cen MT" w:cs="Calibri"/>
                <w:lang w:eastAsia="fr-FR"/>
              </w:rPr>
            </w:pPr>
            <w:r w:rsidRPr="00AB0A2B">
              <w:rPr>
                <w:rFonts w:ascii="Tw Cen MT" w:hAnsi="Tw Cen MT" w:cs="Calibri"/>
                <w:lang w:eastAsia="fr-FR"/>
              </w:rPr>
              <w:t>CATALYST RESSOURCES SARL</w:t>
            </w:r>
          </w:p>
        </w:tc>
      </w:tr>
      <w:tr w:rsidR="00AB0A2B" w:rsidRPr="00AB0A2B" w14:paraId="1320BF9A"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D75939E"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136</w:t>
            </w:r>
          </w:p>
        </w:tc>
        <w:tc>
          <w:tcPr>
            <w:tcW w:w="1480" w:type="dxa"/>
            <w:tcBorders>
              <w:top w:val="nil"/>
              <w:left w:val="nil"/>
              <w:bottom w:val="single" w:sz="4" w:space="0" w:color="auto"/>
              <w:right w:val="single" w:sz="4" w:space="0" w:color="auto"/>
            </w:tcBorders>
            <w:shd w:val="clear" w:color="auto" w:fill="auto"/>
            <w:vAlign w:val="bottom"/>
            <w:hideMark/>
          </w:tcPr>
          <w:p w14:paraId="02AD0C8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082237151D</w:t>
            </w:r>
          </w:p>
        </w:tc>
        <w:tc>
          <w:tcPr>
            <w:tcW w:w="6789" w:type="dxa"/>
            <w:tcBorders>
              <w:top w:val="nil"/>
              <w:left w:val="nil"/>
              <w:bottom w:val="single" w:sz="4" w:space="0" w:color="auto"/>
              <w:right w:val="single" w:sz="4" w:space="0" w:color="auto"/>
            </w:tcBorders>
            <w:shd w:val="clear" w:color="auto" w:fill="auto"/>
            <w:vAlign w:val="bottom"/>
            <w:hideMark/>
          </w:tcPr>
          <w:p w14:paraId="43C5B796" w14:textId="0DE41C6B" w:rsidR="00AB0A2B" w:rsidRPr="00AB0A2B" w:rsidRDefault="00AB0A2B" w:rsidP="00AB0A2B">
            <w:pPr>
              <w:rPr>
                <w:rFonts w:ascii="Tw Cen MT" w:hAnsi="Tw Cen MT" w:cs="Calibri"/>
                <w:lang w:eastAsia="fr-FR"/>
              </w:rPr>
            </w:pPr>
            <w:r w:rsidRPr="00AB0A2B">
              <w:rPr>
                <w:rFonts w:ascii="Tw Cen MT" w:hAnsi="Tw Cen MT" w:cs="Calibri"/>
                <w:lang w:eastAsia="fr-FR"/>
              </w:rPr>
              <w:t>MENANKOTO SARL</w:t>
            </w:r>
          </w:p>
        </w:tc>
      </w:tr>
      <w:tr w:rsidR="00AB0A2B" w:rsidRPr="00AB0A2B" w14:paraId="033C48EE"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6A6333B6"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137</w:t>
            </w:r>
          </w:p>
        </w:tc>
        <w:tc>
          <w:tcPr>
            <w:tcW w:w="1480" w:type="dxa"/>
            <w:tcBorders>
              <w:top w:val="nil"/>
              <w:left w:val="nil"/>
              <w:bottom w:val="single" w:sz="4" w:space="0" w:color="auto"/>
              <w:right w:val="single" w:sz="4" w:space="0" w:color="auto"/>
            </w:tcBorders>
            <w:shd w:val="clear" w:color="auto" w:fill="auto"/>
            <w:vAlign w:val="bottom"/>
            <w:hideMark/>
          </w:tcPr>
          <w:p w14:paraId="7AC3B2DE"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083312666X</w:t>
            </w:r>
          </w:p>
        </w:tc>
        <w:tc>
          <w:tcPr>
            <w:tcW w:w="6789" w:type="dxa"/>
            <w:tcBorders>
              <w:top w:val="nil"/>
              <w:left w:val="nil"/>
              <w:bottom w:val="single" w:sz="4" w:space="0" w:color="auto"/>
              <w:right w:val="single" w:sz="4" w:space="0" w:color="auto"/>
            </w:tcBorders>
            <w:shd w:val="clear" w:color="auto" w:fill="auto"/>
            <w:vAlign w:val="bottom"/>
            <w:hideMark/>
          </w:tcPr>
          <w:p w14:paraId="40B1E21D" w14:textId="1E663917" w:rsidR="00AB0A2B" w:rsidRPr="00AB0A2B" w:rsidRDefault="00AB0A2B" w:rsidP="00AB0A2B">
            <w:pPr>
              <w:rPr>
                <w:rFonts w:ascii="Tw Cen MT" w:hAnsi="Tw Cen MT" w:cs="Calibri"/>
                <w:lang w:eastAsia="fr-FR"/>
              </w:rPr>
            </w:pPr>
            <w:r w:rsidRPr="00AB0A2B">
              <w:rPr>
                <w:rFonts w:ascii="Tw Cen MT" w:hAnsi="Tw Cen MT" w:cs="Calibri"/>
                <w:lang w:eastAsia="fr-FR"/>
              </w:rPr>
              <w:t>GÉNÉRALE D'EQUIPEMENTS DE PRESTATIONS ET DE MANAGEMENT "G.E.P.M" SARL</w:t>
            </w:r>
          </w:p>
        </w:tc>
      </w:tr>
      <w:tr w:rsidR="00AB0A2B" w:rsidRPr="00AB0A2B" w14:paraId="15D50E79" w14:textId="77777777" w:rsidTr="00AB0A2B">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6967F"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138</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85D47"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031003870Y</w:t>
            </w:r>
          </w:p>
        </w:tc>
        <w:tc>
          <w:tcPr>
            <w:tcW w:w="6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F6726" w14:textId="36806548" w:rsidR="00AB0A2B" w:rsidRPr="00AB0A2B" w:rsidRDefault="00AB0A2B" w:rsidP="00AB0A2B">
            <w:pPr>
              <w:rPr>
                <w:rFonts w:ascii="Tw Cen MT" w:hAnsi="Tw Cen MT" w:cs="Calibri"/>
                <w:lang w:eastAsia="fr-FR"/>
              </w:rPr>
            </w:pPr>
            <w:r w:rsidRPr="00AB0A2B">
              <w:rPr>
                <w:rFonts w:ascii="Tw Cen MT" w:hAnsi="Tw Cen MT" w:cs="Calibri"/>
                <w:lang w:eastAsia="fr-FR"/>
              </w:rPr>
              <w:t>TOURE KOUNDA</w:t>
            </w:r>
          </w:p>
        </w:tc>
      </w:tr>
      <w:tr w:rsidR="00AB0A2B" w:rsidRPr="00AB0A2B" w14:paraId="7D5995E4" w14:textId="77777777" w:rsidTr="00AB0A2B">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99007D"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139</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6DB48EA7"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087800767K</w:t>
            </w:r>
          </w:p>
        </w:tc>
        <w:tc>
          <w:tcPr>
            <w:tcW w:w="6789" w:type="dxa"/>
            <w:tcBorders>
              <w:top w:val="single" w:sz="4" w:space="0" w:color="auto"/>
              <w:left w:val="nil"/>
              <w:bottom w:val="single" w:sz="4" w:space="0" w:color="auto"/>
              <w:right w:val="single" w:sz="4" w:space="0" w:color="auto"/>
            </w:tcBorders>
            <w:shd w:val="clear" w:color="auto" w:fill="auto"/>
            <w:vAlign w:val="bottom"/>
            <w:hideMark/>
          </w:tcPr>
          <w:p w14:paraId="42D1954D" w14:textId="61481B41" w:rsidR="00AB0A2B" w:rsidRPr="00AB0A2B" w:rsidRDefault="00AB0A2B" w:rsidP="00AB0A2B">
            <w:pPr>
              <w:rPr>
                <w:rFonts w:ascii="Tw Cen MT" w:hAnsi="Tw Cen MT" w:cs="Calibri"/>
                <w:lang w:eastAsia="fr-FR"/>
              </w:rPr>
            </w:pPr>
            <w:r w:rsidRPr="00AB0A2B">
              <w:rPr>
                <w:rFonts w:ascii="Tw Cen MT" w:hAnsi="Tw Cen MT" w:cs="Calibri"/>
                <w:lang w:eastAsia="fr-FR"/>
              </w:rPr>
              <w:t>SOCIÉTÉ D'EXPLORATION DE SIRIBAYA SARL</w:t>
            </w:r>
          </w:p>
        </w:tc>
      </w:tr>
      <w:tr w:rsidR="00AB0A2B" w:rsidRPr="00AB0A2B" w14:paraId="40A8F04B"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70D853BF"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140</w:t>
            </w:r>
          </w:p>
        </w:tc>
        <w:tc>
          <w:tcPr>
            <w:tcW w:w="1480" w:type="dxa"/>
            <w:tcBorders>
              <w:top w:val="nil"/>
              <w:left w:val="nil"/>
              <w:bottom w:val="single" w:sz="4" w:space="0" w:color="auto"/>
              <w:right w:val="single" w:sz="4" w:space="0" w:color="auto"/>
            </w:tcBorders>
            <w:shd w:val="clear" w:color="auto" w:fill="auto"/>
            <w:vAlign w:val="bottom"/>
            <w:hideMark/>
          </w:tcPr>
          <w:p w14:paraId="3611B369"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084127988D</w:t>
            </w:r>
          </w:p>
        </w:tc>
        <w:tc>
          <w:tcPr>
            <w:tcW w:w="6789" w:type="dxa"/>
            <w:tcBorders>
              <w:top w:val="nil"/>
              <w:left w:val="nil"/>
              <w:bottom w:val="single" w:sz="4" w:space="0" w:color="auto"/>
              <w:right w:val="single" w:sz="4" w:space="0" w:color="auto"/>
            </w:tcBorders>
            <w:shd w:val="clear" w:color="auto" w:fill="auto"/>
            <w:vAlign w:val="bottom"/>
            <w:hideMark/>
          </w:tcPr>
          <w:p w14:paraId="601C81B5" w14:textId="0F3242DA" w:rsidR="00AB0A2B" w:rsidRPr="00AB0A2B" w:rsidRDefault="00AB0A2B" w:rsidP="00AB0A2B">
            <w:pPr>
              <w:rPr>
                <w:rFonts w:ascii="Tw Cen MT" w:hAnsi="Tw Cen MT" w:cs="Calibri"/>
                <w:lang w:eastAsia="fr-FR"/>
              </w:rPr>
            </w:pPr>
            <w:r w:rsidRPr="00AB0A2B">
              <w:rPr>
                <w:rFonts w:ascii="Tw Cen MT" w:hAnsi="Tw Cen MT" w:cs="Calibri"/>
                <w:lang w:eastAsia="fr-FR"/>
              </w:rPr>
              <w:t>BLUEBIRD MALI SARL</w:t>
            </w:r>
          </w:p>
        </w:tc>
      </w:tr>
      <w:tr w:rsidR="00AB0A2B" w:rsidRPr="00AB0A2B" w14:paraId="1903385C"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2C174A89"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141</w:t>
            </w:r>
          </w:p>
        </w:tc>
        <w:tc>
          <w:tcPr>
            <w:tcW w:w="1480" w:type="dxa"/>
            <w:tcBorders>
              <w:top w:val="nil"/>
              <w:left w:val="nil"/>
              <w:bottom w:val="single" w:sz="4" w:space="0" w:color="auto"/>
              <w:right w:val="single" w:sz="4" w:space="0" w:color="auto"/>
            </w:tcBorders>
            <w:shd w:val="clear" w:color="auto" w:fill="auto"/>
            <w:vAlign w:val="bottom"/>
            <w:hideMark/>
          </w:tcPr>
          <w:p w14:paraId="149322B8"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011007813X</w:t>
            </w:r>
          </w:p>
        </w:tc>
        <w:tc>
          <w:tcPr>
            <w:tcW w:w="6789" w:type="dxa"/>
            <w:tcBorders>
              <w:top w:val="nil"/>
              <w:left w:val="nil"/>
              <w:bottom w:val="single" w:sz="4" w:space="0" w:color="auto"/>
              <w:right w:val="single" w:sz="4" w:space="0" w:color="auto"/>
            </w:tcBorders>
            <w:shd w:val="clear" w:color="auto" w:fill="auto"/>
            <w:vAlign w:val="bottom"/>
            <w:hideMark/>
          </w:tcPr>
          <w:p w14:paraId="6BA7A21E" w14:textId="7CE55A3E" w:rsidR="00AB0A2B" w:rsidRPr="00AB0A2B" w:rsidRDefault="00AB0A2B" w:rsidP="00AB0A2B">
            <w:pPr>
              <w:rPr>
                <w:rFonts w:ascii="Tw Cen MT" w:hAnsi="Tw Cen MT" w:cs="Calibri"/>
                <w:lang w:eastAsia="fr-FR"/>
              </w:rPr>
            </w:pPr>
            <w:r w:rsidRPr="00AB0A2B">
              <w:rPr>
                <w:rFonts w:ascii="Tw Cen MT" w:hAnsi="Tw Cen MT" w:cs="Calibri"/>
                <w:lang w:eastAsia="fr-FR"/>
              </w:rPr>
              <w:t>MINE KALÉ FORAGES-SARL</w:t>
            </w:r>
          </w:p>
        </w:tc>
      </w:tr>
      <w:tr w:rsidR="00AB0A2B" w:rsidRPr="00AB0A2B" w14:paraId="3B327F14"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2B95E4C9"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142</w:t>
            </w:r>
          </w:p>
        </w:tc>
        <w:tc>
          <w:tcPr>
            <w:tcW w:w="1480" w:type="dxa"/>
            <w:tcBorders>
              <w:top w:val="nil"/>
              <w:left w:val="nil"/>
              <w:bottom w:val="single" w:sz="4" w:space="0" w:color="auto"/>
              <w:right w:val="single" w:sz="4" w:space="0" w:color="auto"/>
            </w:tcBorders>
            <w:shd w:val="clear" w:color="auto" w:fill="auto"/>
            <w:vAlign w:val="bottom"/>
            <w:hideMark/>
          </w:tcPr>
          <w:p w14:paraId="3076B1D0"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087800896M</w:t>
            </w:r>
          </w:p>
        </w:tc>
        <w:tc>
          <w:tcPr>
            <w:tcW w:w="6789" w:type="dxa"/>
            <w:tcBorders>
              <w:top w:val="nil"/>
              <w:left w:val="nil"/>
              <w:bottom w:val="single" w:sz="4" w:space="0" w:color="auto"/>
              <w:right w:val="single" w:sz="4" w:space="0" w:color="auto"/>
            </w:tcBorders>
            <w:shd w:val="clear" w:color="auto" w:fill="auto"/>
            <w:vAlign w:val="bottom"/>
            <w:hideMark/>
          </w:tcPr>
          <w:p w14:paraId="54903448" w14:textId="471FE738" w:rsidR="00AB0A2B" w:rsidRPr="00AB0A2B" w:rsidRDefault="00AB0A2B" w:rsidP="00AB0A2B">
            <w:pPr>
              <w:rPr>
                <w:rFonts w:ascii="Tw Cen MT" w:hAnsi="Tw Cen MT" w:cs="Calibri"/>
                <w:lang w:eastAsia="fr-FR"/>
              </w:rPr>
            </w:pPr>
            <w:r w:rsidRPr="00AB0A2B">
              <w:rPr>
                <w:rFonts w:ascii="Tw Cen MT" w:hAnsi="Tw Cen MT" w:cs="Calibri"/>
                <w:lang w:eastAsia="fr-FR"/>
              </w:rPr>
              <w:t>EUREKAGOLD SARL</w:t>
            </w:r>
          </w:p>
        </w:tc>
      </w:tr>
      <w:tr w:rsidR="00AB0A2B" w:rsidRPr="00AB0A2B" w14:paraId="1BE8D1F9"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1B4202B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143</w:t>
            </w:r>
          </w:p>
        </w:tc>
        <w:tc>
          <w:tcPr>
            <w:tcW w:w="1480" w:type="dxa"/>
            <w:tcBorders>
              <w:top w:val="nil"/>
              <w:left w:val="nil"/>
              <w:bottom w:val="single" w:sz="4" w:space="0" w:color="auto"/>
              <w:right w:val="single" w:sz="4" w:space="0" w:color="auto"/>
            </w:tcBorders>
            <w:shd w:val="clear" w:color="auto" w:fill="auto"/>
            <w:vAlign w:val="bottom"/>
            <w:hideMark/>
          </w:tcPr>
          <w:p w14:paraId="4E6E5E19"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087800846M</w:t>
            </w:r>
          </w:p>
        </w:tc>
        <w:tc>
          <w:tcPr>
            <w:tcW w:w="6789" w:type="dxa"/>
            <w:tcBorders>
              <w:top w:val="nil"/>
              <w:left w:val="nil"/>
              <w:bottom w:val="single" w:sz="4" w:space="0" w:color="auto"/>
              <w:right w:val="single" w:sz="4" w:space="0" w:color="auto"/>
            </w:tcBorders>
            <w:shd w:val="clear" w:color="auto" w:fill="auto"/>
            <w:vAlign w:val="bottom"/>
            <w:hideMark/>
          </w:tcPr>
          <w:p w14:paraId="7B1CD373" w14:textId="0705AEE3" w:rsidR="00AB0A2B" w:rsidRPr="00AB0A2B" w:rsidRDefault="00AB0A2B" w:rsidP="00AB0A2B">
            <w:pPr>
              <w:rPr>
                <w:rFonts w:ascii="Tw Cen MT" w:hAnsi="Tw Cen MT" w:cs="Calibri"/>
                <w:lang w:eastAsia="fr-FR"/>
              </w:rPr>
            </w:pPr>
            <w:r w:rsidRPr="00AB0A2B">
              <w:rPr>
                <w:rFonts w:ascii="Tw Cen MT" w:hAnsi="Tw Cen MT" w:cs="Calibri"/>
                <w:lang w:eastAsia="fr-FR"/>
              </w:rPr>
              <w:t>SOCIÉTÉ SAHELIENNE DES MINES SARL UNIPERSONNELLE</w:t>
            </w:r>
          </w:p>
        </w:tc>
      </w:tr>
      <w:tr w:rsidR="00AB0A2B" w:rsidRPr="00AB0A2B" w14:paraId="2109A1DB"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4DCC0636"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144</w:t>
            </w:r>
          </w:p>
        </w:tc>
        <w:tc>
          <w:tcPr>
            <w:tcW w:w="1480" w:type="dxa"/>
            <w:tcBorders>
              <w:top w:val="nil"/>
              <w:left w:val="nil"/>
              <w:bottom w:val="single" w:sz="4" w:space="0" w:color="auto"/>
              <w:right w:val="single" w:sz="4" w:space="0" w:color="auto"/>
            </w:tcBorders>
            <w:shd w:val="clear" w:color="auto" w:fill="auto"/>
            <w:vAlign w:val="bottom"/>
            <w:hideMark/>
          </w:tcPr>
          <w:p w14:paraId="27172DC5"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086139839J</w:t>
            </w:r>
          </w:p>
        </w:tc>
        <w:tc>
          <w:tcPr>
            <w:tcW w:w="6789" w:type="dxa"/>
            <w:tcBorders>
              <w:top w:val="nil"/>
              <w:left w:val="nil"/>
              <w:bottom w:val="single" w:sz="4" w:space="0" w:color="auto"/>
              <w:right w:val="single" w:sz="4" w:space="0" w:color="auto"/>
            </w:tcBorders>
            <w:shd w:val="clear" w:color="auto" w:fill="auto"/>
            <w:vAlign w:val="bottom"/>
            <w:hideMark/>
          </w:tcPr>
          <w:p w14:paraId="3F43A47A" w14:textId="703F33BB" w:rsidR="00AB0A2B" w:rsidRPr="00AB0A2B" w:rsidRDefault="00AB0A2B" w:rsidP="00AB0A2B">
            <w:pPr>
              <w:rPr>
                <w:rFonts w:ascii="Tw Cen MT" w:hAnsi="Tw Cen MT" w:cs="Calibri"/>
                <w:lang w:eastAsia="fr-FR"/>
              </w:rPr>
            </w:pPr>
            <w:r w:rsidRPr="00AB0A2B">
              <w:rPr>
                <w:rFonts w:ascii="Tw Cen MT" w:hAnsi="Tw Cen MT" w:cs="Calibri"/>
                <w:lang w:eastAsia="fr-FR"/>
              </w:rPr>
              <w:t>MALI GOLD SARL</w:t>
            </w:r>
          </w:p>
        </w:tc>
      </w:tr>
      <w:tr w:rsidR="00AB0A2B" w:rsidRPr="00AB0A2B" w14:paraId="2EE88840"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0993179E"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145</w:t>
            </w:r>
          </w:p>
        </w:tc>
        <w:tc>
          <w:tcPr>
            <w:tcW w:w="1480" w:type="dxa"/>
            <w:tcBorders>
              <w:top w:val="nil"/>
              <w:left w:val="nil"/>
              <w:bottom w:val="single" w:sz="4" w:space="0" w:color="auto"/>
              <w:right w:val="single" w:sz="4" w:space="0" w:color="auto"/>
            </w:tcBorders>
            <w:shd w:val="clear" w:color="auto" w:fill="auto"/>
            <w:vAlign w:val="bottom"/>
            <w:hideMark/>
          </w:tcPr>
          <w:p w14:paraId="6AFDBFB1"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087800767K</w:t>
            </w:r>
          </w:p>
        </w:tc>
        <w:tc>
          <w:tcPr>
            <w:tcW w:w="6789" w:type="dxa"/>
            <w:tcBorders>
              <w:top w:val="nil"/>
              <w:left w:val="nil"/>
              <w:bottom w:val="single" w:sz="4" w:space="0" w:color="auto"/>
              <w:right w:val="single" w:sz="4" w:space="0" w:color="auto"/>
            </w:tcBorders>
            <w:shd w:val="clear" w:color="auto" w:fill="auto"/>
            <w:vAlign w:val="bottom"/>
            <w:hideMark/>
          </w:tcPr>
          <w:p w14:paraId="23AFEB74" w14:textId="648B550C" w:rsidR="00AB0A2B" w:rsidRPr="00AB0A2B" w:rsidRDefault="00AB0A2B" w:rsidP="00AB0A2B">
            <w:pPr>
              <w:rPr>
                <w:rFonts w:ascii="Tw Cen MT" w:hAnsi="Tw Cen MT" w:cs="Calibri"/>
                <w:lang w:eastAsia="fr-FR"/>
              </w:rPr>
            </w:pPr>
            <w:r w:rsidRPr="00AB0A2B">
              <w:rPr>
                <w:rFonts w:ascii="Tw Cen MT" w:hAnsi="Tw Cen MT" w:cs="Calibri"/>
                <w:lang w:eastAsia="fr-FR"/>
              </w:rPr>
              <w:t>SOCIÉTÉ D'EXPLORATION DE SIRIBAYA SARL</w:t>
            </w:r>
          </w:p>
        </w:tc>
      </w:tr>
      <w:tr w:rsidR="00AB0A2B" w:rsidRPr="00AB0A2B" w14:paraId="6E63805D"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29BFC130"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146</w:t>
            </w:r>
          </w:p>
        </w:tc>
        <w:tc>
          <w:tcPr>
            <w:tcW w:w="1480" w:type="dxa"/>
            <w:tcBorders>
              <w:top w:val="nil"/>
              <w:left w:val="nil"/>
              <w:bottom w:val="single" w:sz="4" w:space="0" w:color="auto"/>
              <w:right w:val="single" w:sz="4" w:space="0" w:color="auto"/>
            </w:tcBorders>
            <w:shd w:val="clear" w:color="auto" w:fill="auto"/>
            <w:vAlign w:val="bottom"/>
            <w:hideMark/>
          </w:tcPr>
          <w:p w14:paraId="3C632248"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087800856Y</w:t>
            </w:r>
          </w:p>
        </w:tc>
        <w:tc>
          <w:tcPr>
            <w:tcW w:w="6789" w:type="dxa"/>
            <w:tcBorders>
              <w:top w:val="nil"/>
              <w:left w:val="nil"/>
              <w:bottom w:val="single" w:sz="4" w:space="0" w:color="auto"/>
              <w:right w:val="single" w:sz="4" w:space="0" w:color="auto"/>
            </w:tcBorders>
            <w:shd w:val="clear" w:color="auto" w:fill="auto"/>
            <w:vAlign w:val="bottom"/>
            <w:hideMark/>
          </w:tcPr>
          <w:p w14:paraId="422707D0" w14:textId="577C1253" w:rsidR="00AB0A2B" w:rsidRPr="00AB0A2B" w:rsidRDefault="00AB0A2B" w:rsidP="00AB0A2B">
            <w:pPr>
              <w:rPr>
                <w:rFonts w:ascii="Tw Cen MT" w:hAnsi="Tw Cen MT" w:cs="Calibri"/>
                <w:lang w:eastAsia="fr-FR"/>
              </w:rPr>
            </w:pPr>
            <w:r w:rsidRPr="00AB0A2B">
              <w:rPr>
                <w:rFonts w:ascii="Tw Cen MT" w:hAnsi="Tw Cen MT" w:cs="Calibri"/>
                <w:lang w:eastAsia="fr-FR"/>
              </w:rPr>
              <w:t>SOCIÉTÉ MALIENNE D'OR ET DE DIAMANT SARL</w:t>
            </w:r>
          </w:p>
        </w:tc>
      </w:tr>
      <w:tr w:rsidR="00AB0A2B" w:rsidRPr="00AB0A2B" w14:paraId="2CA57AB2"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7A406CC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147</w:t>
            </w:r>
          </w:p>
        </w:tc>
        <w:tc>
          <w:tcPr>
            <w:tcW w:w="1480" w:type="dxa"/>
            <w:tcBorders>
              <w:top w:val="nil"/>
              <w:left w:val="nil"/>
              <w:bottom w:val="single" w:sz="4" w:space="0" w:color="auto"/>
              <w:right w:val="single" w:sz="4" w:space="0" w:color="auto"/>
            </w:tcBorders>
            <w:shd w:val="clear" w:color="auto" w:fill="auto"/>
            <w:vAlign w:val="bottom"/>
            <w:hideMark/>
          </w:tcPr>
          <w:p w14:paraId="14997425"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011013558T</w:t>
            </w:r>
          </w:p>
        </w:tc>
        <w:tc>
          <w:tcPr>
            <w:tcW w:w="6789" w:type="dxa"/>
            <w:tcBorders>
              <w:top w:val="nil"/>
              <w:left w:val="nil"/>
              <w:bottom w:val="single" w:sz="4" w:space="0" w:color="auto"/>
              <w:right w:val="single" w:sz="4" w:space="0" w:color="auto"/>
            </w:tcBorders>
            <w:shd w:val="clear" w:color="auto" w:fill="auto"/>
            <w:noWrap/>
            <w:vAlign w:val="bottom"/>
            <w:hideMark/>
          </w:tcPr>
          <w:p w14:paraId="5E097A4B" w14:textId="6F92BEE9" w:rsidR="00AB0A2B" w:rsidRPr="00AB0A2B" w:rsidRDefault="00AB0A2B" w:rsidP="00AB0A2B">
            <w:pPr>
              <w:rPr>
                <w:rFonts w:ascii="Tw Cen MT" w:hAnsi="Tw Cen MT" w:cs="Calibri"/>
                <w:lang w:eastAsia="fr-FR"/>
              </w:rPr>
            </w:pPr>
            <w:r w:rsidRPr="00AB0A2B">
              <w:rPr>
                <w:rFonts w:ascii="Tw Cen MT" w:hAnsi="Tw Cen MT" w:cs="Calibri"/>
                <w:lang w:eastAsia="fr-FR"/>
              </w:rPr>
              <w:t>STÉ SANOUCO SARL</w:t>
            </w:r>
          </w:p>
        </w:tc>
      </w:tr>
      <w:tr w:rsidR="00AB0A2B" w:rsidRPr="00AB0A2B" w14:paraId="740CA75F"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6360C445"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148</w:t>
            </w:r>
          </w:p>
        </w:tc>
        <w:tc>
          <w:tcPr>
            <w:tcW w:w="1480" w:type="dxa"/>
            <w:tcBorders>
              <w:top w:val="nil"/>
              <w:left w:val="nil"/>
              <w:bottom w:val="single" w:sz="4" w:space="0" w:color="auto"/>
              <w:right w:val="single" w:sz="4" w:space="0" w:color="auto"/>
            </w:tcBorders>
            <w:shd w:val="clear" w:color="auto" w:fill="auto"/>
            <w:vAlign w:val="bottom"/>
            <w:hideMark/>
          </w:tcPr>
          <w:p w14:paraId="12568175"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087800948E</w:t>
            </w:r>
          </w:p>
        </w:tc>
        <w:tc>
          <w:tcPr>
            <w:tcW w:w="6789" w:type="dxa"/>
            <w:tcBorders>
              <w:top w:val="nil"/>
              <w:left w:val="nil"/>
              <w:bottom w:val="single" w:sz="4" w:space="0" w:color="auto"/>
              <w:right w:val="single" w:sz="4" w:space="0" w:color="auto"/>
            </w:tcBorders>
            <w:shd w:val="clear" w:color="auto" w:fill="auto"/>
            <w:vAlign w:val="bottom"/>
            <w:hideMark/>
          </w:tcPr>
          <w:p w14:paraId="1BB118AF" w14:textId="48E06366" w:rsidR="00AB0A2B" w:rsidRPr="00AB0A2B" w:rsidRDefault="00AB0A2B" w:rsidP="00AB0A2B">
            <w:pPr>
              <w:rPr>
                <w:rFonts w:ascii="Tw Cen MT" w:hAnsi="Tw Cen MT" w:cs="Calibri"/>
                <w:lang w:eastAsia="fr-FR"/>
              </w:rPr>
            </w:pPr>
            <w:r w:rsidRPr="00AB0A2B">
              <w:rPr>
                <w:rFonts w:ascii="Tw Cen MT" w:hAnsi="Tw Cen MT" w:cs="Calibri"/>
                <w:lang w:eastAsia="fr-FR"/>
              </w:rPr>
              <w:t>KENIEBA EXPLORATION SARL</w:t>
            </w:r>
          </w:p>
        </w:tc>
      </w:tr>
      <w:tr w:rsidR="00AB0A2B" w:rsidRPr="00AB0A2B" w14:paraId="10EFC7A5"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247DD16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149</w:t>
            </w:r>
          </w:p>
        </w:tc>
        <w:tc>
          <w:tcPr>
            <w:tcW w:w="1480" w:type="dxa"/>
            <w:tcBorders>
              <w:top w:val="nil"/>
              <w:left w:val="nil"/>
              <w:bottom w:val="single" w:sz="4" w:space="0" w:color="auto"/>
              <w:right w:val="single" w:sz="4" w:space="0" w:color="auto"/>
            </w:tcBorders>
            <w:shd w:val="clear" w:color="auto" w:fill="auto"/>
            <w:vAlign w:val="bottom"/>
            <w:hideMark/>
          </w:tcPr>
          <w:p w14:paraId="09D68FC5"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085133408J</w:t>
            </w:r>
          </w:p>
        </w:tc>
        <w:tc>
          <w:tcPr>
            <w:tcW w:w="6789" w:type="dxa"/>
            <w:tcBorders>
              <w:top w:val="nil"/>
              <w:left w:val="nil"/>
              <w:bottom w:val="single" w:sz="4" w:space="0" w:color="auto"/>
              <w:right w:val="single" w:sz="4" w:space="0" w:color="auto"/>
            </w:tcBorders>
            <w:shd w:val="clear" w:color="auto" w:fill="auto"/>
            <w:vAlign w:val="bottom"/>
            <w:hideMark/>
          </w:tcPr>
          <w:p w14:paraId="07563304" w14:textId="5F847A31" w:rsidR="00AB0A2B" w:rsidRPr="00AB0A2B" w:rsidRDefault="00AB0A2B" w:rsidP="00AB0A2B">
            <w:pPr>
              <w:rPr>
                <w:rFonts w:ascii="Tw Cen MT" w:hAnsi="Tw Cen MT" w:cs="Calibri"/>
                <w:lang w:eastAsia="fr-FR"/>
              </w:rPr>
            </w:pPr>
            <w:r w:rsidRPr="00AB0A2B">
              <w:rPr>
                <w:rFonts w:ascii="Tw Cen MT" w:hAnsi="Tw Cen MT" w:cs="Calibri"/>
                <w:lang w:eastAsia="fr-FR"/>
              </w:rPr>
              <w:t>BASHKAD GOLD SARL</w:t>
            </w:r>
          </w:p>
        </w:tc>
      </w:tr>
      <w:tr w:rsidR="00AB0A2B" w:rsidRPr="00AB0A2B" w14:paraId="781B1D7C"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9CAB857"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150</w:t>
            </w:r>
          </w:p>
        </w:tc>
        <w:tc>
          <w:tcPr>
            <w:tcW w:w="1480" w:type="dxa"/>
            <w:tcBorders>
              <w:top w:val="nil"/>
              <w:left w:val="nil"/>
              <w:bottom w:val="single" w:sz="4" w:space="0" w:color="auto"/>
              <w:right w:val="single" w:sz="4" w:space="0" w:color="auto"/>
            </w:tcBorders>
            <w:shd w:val="clear" w:color="auto" w:fill="auto"/>
            <w:vAlign w:val="bottom"/>
            <w:hideMark/>
          </w:tcPr>
          <w:p w14:paraId="510ED2AC"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082242335N</w:t>
            </w:r>
          </w:p>
        </w:tc>
        <w:tc>
          <w:tcPr>
            <w:tcW w:w="6789" w:type="dxa"/>
            <w:tcBorders>
              <w:top w:val="nil"/>
              <w:left w:val="nil"/>
              <w:bottom w:val="single" w:sz="4" w:space="0" w:color="auto"/>
              <w:right w:val="single" w:sz="4" w:space="0" w:color="auto"/>
            </w:tcBorders>
            <w:shd w:val="clear" w:color="auto" w:fill="auto"/>
            <w:vAlign w:val="bottom"/>
            <w:hideMark/>
          </w:tcPr>
          <w:p w14:paraId="40B4EDFF" w14:textId="4364016C" w:rsidR="00AB0A2B" w:rsidRPr="00AB0A2B" w:rsidRDefault="00AB0A2B" w:rsidP="00AB0A2B">
            <w:pPr>
              <w:rPr>
                <w:rFonts w:ascii="Tw Cen MT" w:hAnsi="Tw Cen MT" w:cs="Calibri"/>
                <w:lang w:eastAsia="fr-FR"/>
              </w:rPr>
            </w:pPr>
            <w:r w:rsidRPr="00AB0A2B">
              <w:rPr>
                <w:rFonts w:ascii="Tw Cen MT" w:hAnsi="Tw Cen MT" w:cs="Calibri"/>
                <w:lang w:eastAsia="fr-FR"/>
              </w:rPr>
              <w:t>SANOU STAR RESOURCES "2SR-SARL"</w:t>
            </w:r>
          </w:p>
        </w:tc>
      </w:tr>
      <w:tr w:rsidR="00AB0A2B" w:rsidRPr="00AB0A2B" w14:paraId="30777A0B"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434713AF"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151</w:t>
            </w:r>
          </w:p>
        </w:tc>
        <w:tc>
          <w:tcPr>
            <w:tcW w:w="1480" w:type="dxa"/>
            <w:tcBorders>
              <w:top w:val="nil"/>
              <w:left w:val="nil"/>
              <w:bottom w:val="single" w:sz="4" w:space="0" w:color="auto"/>
              <w:right w:val="single" w:sz="4" w:space="0" w:color="auto"/>
            </w:tcBorders>
            <w:shd w:val="clear" w:color="auto" w:fill="auto"/>
            <w:vAlign w:val="bottom"/>
            <w:hideMark/>
          </w:tcPr>
          <w:p w14:paraId="18CB014F"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087800799M</w:t>
            </w:r>
          </w:p>
        </w:tc>
        <w:tc>
          <w:tcPr>
            <w:tcW w:w="6789" w:type="dxa"/>
            <w:tcBorders>
              <w:top w:val="nil"/>
              <w:left w:val="nil"/>
              <w:bottom w:val="single" w:sz="4" w:space="0" w:color="auto"/>
              <w:right w:val="single" w:sz="4" w:space="0" w:color="auto"/>
            </w:tcBorders>
            <w:shd w:val="clear" w:color="auto" w:fill="auto"/>
            <w:vAlign w:val="bottom"/>
            <w:hideMark/>
          </w:tcPr>
          <w:p w14:paraId="3EFDFA48" w14:textId="42DD256F" w:rsidR="00AB0A2B" w:rsidRPr="00AB0A2B" w:rsidRDefault="00AB0A2B" w:rsidP="00AB0A2B">
            <w:pPr>
              <w:rPr>
                <w:rFonts w:ascii="Tw Cen MT" w:hAnsi="Tw Cen MT" w:cs="Calibri"/>
                <w:lang w:eastAsia="fr-FR"/>
              </w:rPr>
            </w:pPr>
            <w:r w:rsidRPr="00AB0A2B">
              <w:rPr>
                <w:rFonts w:ascii="Tw Cen MT" w:hAnsi="Tw Cen MT" w:cs="Calibri"/>
                <w:lang w:eastAsia="fr-FR"/>
              </w:rPr>
              <w:t>LEGEND GOLD MALI SARL</w:t>
            </w:r>
          </w:p>
        </w:tc>
      </w:tr>
      <w:tr w:rsidR="00AB0A2B" w:rsidRPr="00AB0A2B" w14:paraId="4FA58AAD"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7291C252"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152</w:t>
            </w:r>
          </w:p>
        </w:tc>
        <w:tc>
          <w:tcPr>
            <w:tcW w:w="1480" w:type="dxa"/>
            <w:tcBorders>
              <w:top w:val="nil"/>
              <w:left w:val="nil"/>
              <w:bottom w:val="single" w:sz="4" w:space="0" w:color="auto"/>
              <w:right w:val="single" w:sz="4" w:space="0" w:color="auto"/>
            </w:tcBorders>
            <w:shd w:val="clear" w:color="auto" w:fill="auto"/>
            <w:vAlign w:val="bottom"/>
            <w:hideMark/>
          </w:tcPr>
          <w:p w14:paraId="5CD8CB2F"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087800955C</w:t>
            </w:r>
          </w:p>
        </w:tc>
        <w:tc>
          <w:tcPr>
            <w:tcW w:w="6789" w:type="dxa"/>
            <w:tcBorders>
              <w:top w:val="nil"/>
              <w:left w:val="nil"/>
              <w:bottom w:val="single" w:sz="4" w:space="0" w:color="auto"/>
              <w:right w:val="single" w:sz="4" w:space="0" w:color="auto"/>
            </w:tcBorders>
            <w:shd w:val="clear" w:color="auto" w:fill="auto"/>
            <w:vAlign w:val="bottom"/>
            <w:hideMark/>
          </w:tcPr>
          <w:p w14:paraId="03F7AC9C" w14:textId="34AE2FB9" w:rsidR="00AB0A2B" w:rsidRPr="00AB0A2B" w:rsidRDefault="00AB0A2B" w:rsidP="00AB0A2B">
            <w:pPr>
              <w:rPr>
                <w:rFonts w:ascii="Tw Cen MT" w:hAnsi="Tw Cen MT" w:cs="Calibri"/>
                <w:lang w:eastAsia="fr-FR"/>
              </w:rPr>
            </w:pPr>
            <w:r w:rsidRPr="00AB0A2B">
              <w:rPr>
                <w:rFonts w:ascii="Tw Cen MT" w:hAnsi="Tw Cen MT" w:cs="Calibri"/>
                <w:lang w:eastAsia="fr-FR"/>
              </w:rPr>
              <w:t>SAHASRA GOLD MINING SARL</w:t>
            </w:r>
          </w:p>
        </w:tc>
      </w:tr>
      <w:tr w:rsidR="00AB0A2B" w:rsidRPr="00AB0A2B" w14:paraId="0760DDDD"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1CC5FCEB"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153</w:t>
            </w:r>
          </w:p>
        </w:tc>
        <w:tc>
          <w:tcPr>
            <w:tcW w:w="1480" w:type="dxa"/>
            <w:tcBorders>
              <w:top w:val="nil"/>
              <w:left w:val="nil"/>
              <w:bottom w:val="single" w:sz="4" w:space="0" w:color="auto"/>
              <w:right w:val="single" w:sz="4" w:space="0" w:color="auto"/>
            </w:tcBorders>
            <w:shd w:val="clear" w:color="auto" w:fill="auto"/>
            <w:vAlign w:val="bottom"/>
            <w:hideMark/>
          </w:tcPr>
          <w:p w14:paraId="728496B0"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083318969C</w:t>
            </w:r>
          </w:p>
        </w:tc>
        <w:tc>
          <w:tcPr>
            <w:tcW w:w="6789" w:type="dxa"/>
            <w:tcBorders>
              <w:top w:val="nil"/>
              <w:left w:val="nil"/>
              <w:bottom w:val="single" w:sz="4" w:space="0" w:color="auto"/>
              <w:right w:val="single" w:sz="4" w:space="0" w:color="auto"/>
            </w:tcBorders>
            <w:shd w:val="clear" w:color="auto" w:fill="auto"/>
            <w:vAlign w:val="bottom"/>
            <w:hideMark/>
          </w:tcPr>
          <w:p w14:paraId="6395DD8A" w14:textId="041CB728" w:rsidR="00AB0A2B" w:rsidRPr="00AB0A2B" w:rsidRDefault="00AB0A2B" w:rsidP="00AB0A2B">
            <w:pPr>
              <w:rPr>
                <w:rFonts w:ascii="Tw Cen MT" w:hAnsi="Tw Cen MT" w:cs="Calibri"/>
                <w:lang w:eastAsia="fr-FR"/>
              </w:rPr>
            </w:pPr>
            <w:r w:rsidRPr="00AB0A2B">
              <w:rPr>
                <w:rFonts w:ascii="Tw Cen MT" w:hAnsi="Tw Cen MT" w:cs="Calibri"/>
                <w:lang w:eastAsia="fr-FR"/>
              </w:rPr>
              <w:t>TENEMAKAN GOLD SARL</w:t>
            </w:r>
          </w:p>
        </w:tc>
      </w:tr>
      <w:tr w:rsidR="00AB0A2B" w:rsidRPr="00AB0A2B" w14:paraId="0223CC74" w14:textId="77777777" w:rsidTr="00AB0A2B">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2A2C1BE3"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154</w:t>
            </w:r>
          </w:p>
        </w:tc>
        <w:tc>
          <w:tcPr>
            <w:tcW w:w="1480" w:type="dxa"/>
            <w:tcBorders>
              <w:top w:val="nil"/>
              <w:left w:val="nil"/>
              <w:bottom w:val="single" w:sz="4" w:space="0" w:color="auto"/>
              <w:right w:val="single" w:sz="4" w:space="0" w:color="auto"/>
            </w:tcBorders>
            <w:shd w:val="clear" w:color="auto" w:fill="auto"/>
            <w:vAlign w:val="bottom"/>
            <w:hideMark/>
          </w:tcPr>
          <w:p w14:paraId="79369A92"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Non fournie</w:t>
            </w:r>
          </w:p>
        </w:tc>
        <w:tc>
          <w:tcPr>
            <w:tcW w:w="6789" w:type="dxa"/>
            <w:tcBorders>
              <w:top w:val="nil"/>
              <w:left w:val="nil"/>
              <w:bottom w:val="single" w:sz="4" w:space="0" w:color="auto"/>
              <w:right w:val="single" w:sz="4" w:space="0" w:color="auto"/>
            </w:tcBorders>
            <w:shd w:val="clear" w:color="auto" w:fill="auto"/>
            <w:noWrap/>
            <w:vAlign w:val="bottom"/>
            <w:hideMark/>
          </w:tcPr>
          <w:p w14:paraId="3ED4BB57" w14:textId="2F37E866" w:rsidR="00AB0A2B" w:rsidRPr="00AB0A2B" w:rsidRDefault="00AB0A2B" w:rsidP="00AB0A2B">
            <w:pPr>
              <w:rPr>
                <w:rFonts w:ascii="Tw Cen MT" w:hAnsi="Tw Cen MT" w:cs="Calibri"/>
                <w:lang w:eastAsia="fr-FR"/>
              </w:rPr>
            </w:pPr>
            <w:r w:rsidRPr="00AB0A2B">
              <w:rPr>
                <w:rFonts w:ascii="Tw Cen MT" w:hAnsi="Tw Cen MT" w:cs="Calibri"/>
                <w:lang w:eastAsia="fr-FR"/>
              </w:rPr>
              <w:t>SIPEX</w:t>
            </w:r>
          </w:p>
        </w:tc>
      </w:tr>
      <w:tr w:rsidR="00AB0A2B" w:rsidRPr="00AB0A2B" w14:paraId="71AE268B" w14:textId="77777777" w:rsidTr="003A75AF">
        <w:trPr>
          <w:trHeight w:val="323"/>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2673B6F"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155</w:t>
            </w:r>
          </w:p>
        </w:tc>
        <w:tc>
          <w:tcPr>
            <w:tcW w:w="1480" w:type="dxa"/>
            <w:tcBorders>
              <w:top w:val="nil"/>
              <w:left w:val="nil"/>
              <w:bottom w:val="single" w:sz="4" w:space="0" w:color="auto"/>
              <w:right w:val="single" w:sz="4" w:space="0" w:color="auto"/>
            </w:tcBorders>
            <w:shd w:val="clear" w:color="auto" w:fill="auto"/>
            <w:noWrap/>
            <w:vAlign w:val="bottom"/>
            <w:hideMark/>
          </w:tcPr>
          <w:p w14:paraId="3D5FDB22" w14:textId="77777777" w:rsidR="00AB0A2B" w:rsidRPr="00AB0A2B" w:rsidRDefault="00AB0A2B" w:rsidP="00AB0A2B">
            <w:pPr>
              <w:jc w:val="center"/>
              <w:rPr>
                <w:rFonts w:ascii="Tw Cen MT" w:hAnsi="Tw Cen MT" w:cs="Calibri"/>
                <w:lang w:eastAsia="fr-FR"/>
              </w:rPr>
            </w:pPr>
            <w:r w:rsidRPr="00AB0A2B">
              <w:rPr>
                <w:rFonts w:ascii="Tw Cen MT" w:hAnsi="Tw Cen MT" w:cs="Calibri"/>
                <w:lang w:eastAsia="fr-FR"/>
              </w:rPr>
              <w:t>087800586C</w:t>
            </w:r>
          </w:p>
        </w:tc>
        <w:tc>
          <w:tcPr>
            <w:tcW w:w="6789" w:type="dxa"/>
            <w:tcBorders>
              <w:top w:val="nil"/>
              <w:left w:val="nil"/>
              <w:bottom w:val="single" w:sz="4" w:space="0" w:color="auto"/>
              <w:right w:val="single" w:sz="4" w:space="0" w:color="auto"/>
            </w:tcBorders>
            <w:shd w:val="clear" w:color="auto" w:fill="auto"/>
            <w:vAlign w:val="bottom"/>
            <w:hideMark/>
          </w:tcPr>
          <w:p w14:paraId="21666E9C" w14:textId="279E5992" w:rsidR="00AB0A2B" w:rsidRPr="00AB0A2B" w:rsidRDefault="00AB0A2B" w:rsidP="00AB0A2B">
            <w:pPr>
              <w:rPr>
                <w:rFonts w:ascii="Tw Cen MT" w:hAnsi="Tw Cen MT" w:cs="Calibri"/>
                <w:lang w:eastAsia="fr-FR"/>
              </w:rPr>
            </w:pPr>
            <w:r w:rsidRPr="00AB0A2B">
              <w:rPr>
                <w:rFonts w:ascii="Tw Cen MT" w:hAnsi="Tw Cen MT" w:cs="Calibri"/>
                <w:lang w:eastAsia="fr-FR"/>
              </w:rPr>
              <w:t>"SONGHOI RESSOURCE" SARL</w:t>
            </w:r>
          </w:p>
        </w:tc>
      </w:tr>
    </w:tbl>
    <w:p w14:paraId="79E8378E" w14:textId="77777777" w:rsidR="00290187" w:rsidRDefault="00290187" w:rsidP="00290187">
      <w:pPr>
        <w:spacing w:before="120" w:after="120"/>
        <w:rPr>
          <w:rFonts w:ascii="Tw Cen MT" w:hAnsi="Tw Cen MT"/>
          <w:b/>
          <w:iCs/>
          <w:sz w:val="24"/>
          <w:szCs w:val="24"/>
        </w:rPr>
      </w:pPr>
    </w:p>
    <w:p w14:paraId="682D41B6" w14:textId="77777777" w:rsidR="00290187" w:rsidRDefault="00290187">
      <w:pPr>
        <w:spacing w:after="160" w:line="259" w:lineRule="auto"/>
        <w:rPr>
          <w:rFonts w:ascii="Tw Cen MT" w:hAnsi="Tw Cen MT"/>
          <w:b/>
          <w:iCs/>
          <w:sz w:val="24"/>
          <w:szCs w:val="24"/>
        </w:rPr>
      </w:pPr>
      <w:r>
        <w:rPr>
          <w:rFonts w:ascii="Tw Cen MT" w:hAnsi="Tw Cen MT"/>
          <w:b/>
          <w:iCs/>
          <w:sz w:val="24"/>
          <w:szCs w:val="24"/>
        </w:rPr>
        <w:br w:type="page"/>
      </w:r>
    </w:p>
    <w:p w14:paraId="64DFBFAD" w14:textId="5C1E9C4E" w:rsidR="00AB0A2B" w:rsidRDefault="00AB0A2B" w:rsidP="00AB0A2B">
      <w:pPr>
        <w:spacing w:before="120" w:after="120"/>
        <w:rPr>
          <w:rFonts w:ascii="Tw Cen MT" w:hAnsi="Tw Cen MT"/>
          <w:b/>
          <w:iCs/>
          <w:sz w:val="24"/>
          <w:szCs w:val="24"/>
        </w:rPr>
      </w:pPr>
      <w:r>
        <w:rPr>
          <w:rFonts w:ascii="Tw Cen MT" w:hAnsi="Tw Cen MT"/>
          <w:b/>
          <w:iCs/>
          <w:sz w:val="24"/>
          <w:szCs w:val="24"/>
        </w:rPr>
        <w:lastRenderedPageBreak/>
        <w:t>ANNEXE 3 : LISTE DES SOCIÉTÉS EXTRACTIVES NÉCESSITANT DES EXPLICATIONS DE LA DNGM</w:t>
      </w:r>
    </w:p>
    <w:tbl>
      <w:tblPr>
        <w:tblW w:w="8848" w:type="dxa"/>
        <w:tblCellMar>
          <w:left w:w="70" w:type="dxa"/>
          <w:right w:w="70" w:type="dxa"/>
        </w:tblCellMar>
        <w:tblLook w:val="04A0" w:firstRow="1" w:lastRow="0" w:firstColumn="1" w:lastColumn="0" w:noHBand="0" w:noVBand="1"/>
      </w:tblPr>
      <w:tblGrid>
        <w:gridCol w:w="1106"/>
        <w:gridCol w:w="1389"/>
        <w:gridCol w:w="6353"/>
      </w:tblGrid>
      <w:tr w:rsidR="00AB0A2B" w:rsidRPr="00AB0A2B" w14:paraId="40967A91" w14:textId="77777777" w:rsidTr="00AB0A2B">
        <w:trPr>
          <w:trHeight w:val="319"/>
        </w:trPr>
        <w:tc>
          <w:tcPr>
            <w:tcW w:w="1106"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26898D92" w14:textId="7D0BA1D3" w:rsidR="00AB0A2B" w:rsidRPr="00AB0A2B" w:rsidRDefault="006138CB" w:rsidP="00AB0A2B">
            <w:pPr>
              <w:jc w:val="center"/>
              <w:rPr>
                <w:rFonts w:ascii="Tw Cen MT" w:hAnsi="Tw Cen MT" w:cs="Calibri"/>
                <w:b/>
                <w:bCs/>
                <w:color w:val="FFFFFF"/>
                <w:lang w:eastAsia="fr-FR"/>
              </w:rPr>
            </w:pPr>
            <w:r w:rsidRPr="00AB0A2B">
              <w:rPr>
                <w:rFonts w:ascii="Tw Cen MT" w:hAnsi="Tw Cen MT" w:cs="Calibri"/>
                <w:b/>
                <w:bCs/>
                <w:color w:val="FFFFFF"/>
                <w:lang w:eastAsia="fr-FR"/>
              </w:rPr>
              <w:t>N° ORDRE</w:t>
            </w:r>
          </w:p>
        </w:tc>
        <w:tc>
          <w:tcPr>
            <w:tcW w:w="1389" w:type="dxa"/>
            <w:tcBorders>
              <w:top w:val="single" w:sz="4" w:space="0" w:color="auto"/>
              <w:left w:val="nil"/>
              <w:bottom w:val="single" w:sz="4" w:space="0" w:color="auto"/>
              <w:right w:val="single" w:sz="4" w:space="0" w:color="auto"/>
            </w:tcBorders>
            <w:shd w:val="clear" w:color="000000" w:fill="00B0F0"/>
            <w:vAlign w:val="bottom"/>
            <w:hideMark/>
          </w:tcPr>
          <w:p w14:paraId="0608D922" w14:textId="7E1D238F" w:rsidR="00AB0A2B" w:rsidRPr="00AB0A2B" w:rsidRDefault="006138CB" w:rsidP="00AB0A2B">
            <w:pPr>
              <w:jc w:val="center"/>
              <w:rPr>
                <w:rFonts w:ascii="Tw Cen MT" w:hAnsi="Tw Cen MT" w:cs="Calibri"/>
                <w:b/>
                <w:bCs/>
                <w:color w:val="FFFFFF"/>
                <w:lang w:eastAsia="fr-FR"/>
              </w:rPr>
            </w:pPr>
            <w:r w:rsidRPr="00AB0A2B">
              <w:rPr>
                <w:rFonts w:ascii="Tw Cen MT" w:hAnsi="Tw Cen MT" w:cs="Calibri"/>
                <w:b/>
                <w:bCs/>
                <w:color w:val="FFFFFF"/>
                <w:lang w:eastAsia="fr-FR"/>
              </w:rPr>
              <w:t>NIF</w:t>
            </w:r>
          </w:p>
        </w:tc>
        <w:tc>
          <w:tcPr>
            <w:tcW w:w="6353" w:type="dxa"/>
            <w:tcBorders>
              <w:top w:val="single" w:sz="4" w:space="0" w:color="auto"/>
              <w:left w:val="nil"/>
              <w:bottom w:val="single" w:sz="4" w:space="0" w:color="auto"/>
              <w:right w:val="single" w:sz="4" w:space="0" w:color="auto"/>
            </w:tcBorders>
            <w:shd w:val="clear" w:color="000000" w:fill="00B0F0"/>
            <w:vAlign w:val="bottom"/>
            <w:hideMark/>
          </w:tcPr>
          <w:p w14:paraId="1C7E9E95" w14:textId="372FFFE2" w:rsidR="00AB0A2B" w:rsidRPr="00AB0A2B" w:rsidRDefault="006138CB" w:rsidP="00AB0A2B">
            <w:pPr>
              <w:jc w:val="center"/>
              <w:rPr>
                <w:rFonts w:ascii="Tw Cen MT" w:hAnsi="Tw Cen MT" w:cs="Calibri"/>
                <w:b/>
                <w:bCs/>
                <w:color w:val="FFFFFF"/>
                <w:lang w:eastAsia="fr-FR"/>
              </w:rPr>
            </w:pPr>
            <w:r w:rsidRPr="00AB0A2B">
              <w:rPr>
                <w:rFonts w:ascii="Tw Cen MT" w:hAnsi="Tw Cen MT" w:cs="Calibri"/>
                <w:b/>
                <w:bCs/>
                <w:color w:val="FFFFFF"/>
                <w:lang w:eastAsia="fr-FR"/>
              </w:rPr>
              <w:t>DÉSIGNATIONS</w:t>
            </w:r>
          </w:p>
        </w:tc>
      </w:tr>
      <w:tr w:rsidR="00AB0A2B" w:rsidRPr="00AB0A2B" w14:paraId="64CEB226" w14:textId="77777777" w:rsidTr="00AB0A2B">
        <w:trPr>
          <w:trHeight w:val="319"/>
        </w:trPr>
        <w:tc>
          <w:tcPr>
            <w:tcW w:w="1106" w:type="dxa"/>
            <w:tcBorders>
              <w:top w:val="nil"/>
              <w:left w:val="single" w:sz="4" w:space="0" w:color="auto"/>
              <w:bottom w:val="single" w:sz="4" w:space="0" w:color="auto"/>
              <w:right w:val="single" w:sz="4" w:space="0" w:color="auto"/>
            </w:tcBorders>
            <w:shd w:val="clear" w:color="auto" w:fill="auto"/>
            <w:vAlign w:val="bottom"/>
            <w:hideMark/>
          </w:tcPr>
          <w:p w14:paraId="67E8EE9B" w14:textId="77777777" w:rsidR="00AB0A2B" w:rsidRPr="00AB0A2B" w:rsidRDefault="00AB0A2B" w:rsidP="00AB0A2B">
            <w:pPr>
              <w:jc w:val="center"/>
              <w:rPr>
                <w:rFonts w:ascii="Tw Cen MT" w:hAnsi="Tw Cen MT" w:cs="Calibri"/>
                <w:color w:val="000000"/>
                <w:lang w:eastAsia="fr-FR"/>
              </w:rPr>
            </w:pPr>
            <w:r w:rsidRPr="00AB0A2B">
              <w:rPr>
                <w:rFonts w:ascii="Tw Cen MT" w:hAnsi="Tw Cen MT" w:cs="Calibri"/>
                <w:color w:val="000000"/>
                <w:lang w:eastAsia="fr-FR"/>
              </w:rPr>
              <w:t>1</w:t>
            </w:r>
          </w:p>
        </w:tc>
        <w:tc>
          <w:tcPr>
            <w:tcW w:w="1389" w:type="dxa"/>
            <w:tcBorders>
              <w:top w:val="nil"/>
              <w:left w:val="nil"/>
              <w:bottom w:val="single" w:sz="4" w:space="0" w:color="auto"/>
              <w:right w:val="single" w:sz="4" w:space="0" w:color="auto"/>
            </w:tcBorders>
            <w:shd w:val="clear" w:color="auto" w:fill="auto"/>
            <w:vAlign w:val="bottom"/>
            <w:hideMark/>
          </w:tcPr>
          <w:p w14:paraId="6E1699A8" w14:textId="77777777"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Non fourni</w:t>
            </w:r>
          </w:p>
        </w:tc>
        <w:tc>
          <w:tcPr>
            <w:tcW w:w="6353" w:type="dxa"/>
            <w:tcBorders>
              <w:top w:val="nil"/>
              <w:left w:val="nil"/>
              <w:bottom w:val="single" w:sz="4" w:space="0" w:color="auto"/>
              <w:right w:val="single" w:sz="4" w:space="0" w:color="auto"/>
            </w:tcBorders>
            <w:shd w:val="clear" w:color="auto" w:fill="auto"/>
            <w:noWrap/>
            <w:vAlign w:val="bottom"/>
            <w:hideMark/>
          </w:tcPr>
          <w:p w14:paraId="7411AAB4" w14:textId="675ABD5C"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DOUKALA</w:t>
            </w:r>
          </w:p>
        </w:tc>
      </w:tr>
      <w:tr w:rsidR="00AB0A2B" w:rsidRPr="00AB0A2B" w14:paraId="59B7ED80" w14:textId="77777777" w:rsidTr="00AB0A2B">
        <w:trPr>
          <w:trHeight w:val="319"/>
        </w:trPr>
        <w:tc>
          <w:tcPr>
            <w:tcW w:w="1106" w:type="dxa"/>
            <w:tcBorders>
              <w:top w:val="nil"/>
              <w:left w:val="single" w:sz="4" w:space="0" w:color="auto"/>
              <w:bottom w:val="single" w:sz="4" w:space="0" w:color="auto"/>
              <w:right w:val="single" w:sz="4" w:space="0" w:color="auto"/>
            </w:tcBorders>
            <w:shd w:val="clear" w:color="auto" w:fill="auto"/>
            <w:vAlign w:val="bottom"/>
            <w:hideMark/>
          </w:tcPr>
          <w:p w14:paraId="68955842" w14:textId="77777777" w:rsidR="00AB0A2B" w:rsidRPr="00AB0A2B" w:rsidRDefault="00AB0A2B" w:rsidP="00AB0A2B">
            <w:pPr>
              <w:jc w:val="center"/>
              <w:rPr>
                <w:rFonts w:ascii="Tw Cen MT" w:hAnsi="Tw Cen MT" w:cs="Calibri"/>
                <w:color w:val="000000"/>
                <w:lang w:eastAsia="fr-FR"/>
              </w:rPr>
            </w:pPr>
            <w:r w:rsidRPr="00AB0A2B">
              <w:rPr>
                <w:rFonts w:ascii="Tw Cen MT" w:hAnsi="Tw Cen MT" w:cs="Calibri"/>
                <w:color w:val="000000"/>
                <w:lang w:eastAsia="fr-FR"/>
              </w:rPr>
              <w:t>2</w:t>
            </w:r>
          </w:p>
        </w:tc>
        <w:tc>
          <w:tcPr>
            <w:tcW w:w="1389" w:type="dxa"/>
            <w:tcBorders>
              <w:top w:val="nil"/>
              <w:left w:val="nil"/>
              <w:bottom w:val="single" w:sz="4" w:space="0" w:color="auto"/>
              <w:right w:val="single" w:sz="4" w:space="0" w:color="auto"/>
            </w:tcBorders>
            <w:shd w:val="clear" w:color="auto" w:fill="auto"/>
            <w:vAlign w:val="bottom"/>
            <w:hideMark/>
          </w:tcPr>
          <w:p w14:paraId="4467D0DD" w14:textId="77777777"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Non fourni</w:t>
            </w:r>
          </w:p>
        </w:tc>
        <w:tc>
          <w:tcPr>
            <w:tcW w:w="6353" w:type="dxa"/>
            <w:tcBorders>
              <w:top w:val="nil"/>
              <w:left w:val="nil"/>
              <w:bottom w:val="single" w:sz="4" w:space="0" w:color="auto"/>
              <w:right w:val="single" w:sz="4" w:space="0" w:color="auto"/>
            </w:tcBorders>
            <w:shd w:val="clear" w:color="auto" w:fill="auto"/>
            <w:noWrap/>
            <w:vAlign w:val="bottom"/>
            <w:hideMark/>
          </w:tcPr>
          <w:p w14:paraId="5DC495E9" w14:textId="10C000DE"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BAGOE NATIONAL CORPORATION BANCO (PERMIS EXPIRÉ)</w:t>
            </w:r>
          </w:p>
        </w:tc>
      </w:tr>
      <w:tr w:rsidR="00AB0A2B" w:rsidRPr="00AB0A2B" w14:paraId="2F859FCD" w14:textId="77777777" w:rsidTr="00AB0A2B">
        <w:trPr>
          <w:trHeight w:val="319"/>
        </w:trPr>
        <w:tc>
          <w:tcPr>
            <w:tcW w:w="1106" w:type="dxa"/>
            <w:tcBorders>
              <w:top w:val="nil"/>
              <w:left w:val="single" w:sz="4" w:space="0" w:color="auto"/>
              <w:bottom w:val="single" w:sz="4" w:space="0" w:color="auto"/>
              <w:right w:val="single" w:sz="4" w:space="0" w:color="auto"/>
            </w:tcBorders>
            <w:shd w:val="clear" w:color="auto" w:fill="auto"/>
            <w:vAlign w:val="bottom"/>
            <w:hideMark/>
          </w:tcPr>
          <w:p w14:paraId="001F29E3" w14:textId="77777777" w:rsidR="00AB0A2B" w:rsidRPr="00AB0A2B" w:rsidRDefault="00AB0A2B" w:rsidP="00AB0A2B">
            <w:pPr>
              <w:jc w:val="center"/>
              <w:rPr>
                <w:rFonts w:ascii="Tw Cen MT" w:hAnsi="Tw Cen MT" w:cs="Calibri"/>
                <w:color w:val="000000"/>
                <w:lang w:eastAsia="fr-FR"/>
              </w:rPr>
            </w:pPr>
            <w:r w:rsidRPr="00AB0A2B">
              <w:rPr>
                <w:rFonts w:ascii="Tw Cen MT" w:hAnsi="Tw Cen MT" w:cs="Calibri"/>
                <w:color w:val="000000"/>
                <w:lang w:eastAsia="fr-FR"/>
              </w:rPr>
              <w:t>3</w:t>
            </w:r>
          </w:p>
        </w:tc>
        <w:tc>
          <w:tcPr>
            <w:tcW w:w="1389" w:type="dxa"/>
            <w:tcBorders>
              <w:top w:val="nil"/>
              <w:left w:val="nil"/>
              <w:bottom w:val="single" w:sz="4" w:space="0" w:color="auto"/>
              <w:right w:val="single" w:sz="4" w:space="0" w:color="auto"/>
            </w:tcBorders>
            <w:shd w:val="clear" w:color="auto" w:fill="auto"/>
            <w:vAlign w:val="bottom"/>
            <w:hideMark/>
          </w:tcPr>
          <w:p w14:paraId="46968989" w14:textId="77777777"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Non fourni</w:t>
            </w:r>
          </w:p>
        </w:tc>
        <w:tc>
          <w:tcPr>
            <w:tcW w:w="6353" w:type="dxa"/>
            <w:tcBorders>
              <w:top w:val="nil"/>
              <w:left w:val="nil"/>
              <w:bottom w:val="single" w:sz="4" w:space="0" w:color="auto"/>
              <w:right w:val="single" w:sz="4" w:space="0" w:color="auto"/>
            </w:tcBorders>
            <w:shd w:val="clear" w:color="auto" w:fill="auto"/>
            <w:noWrap/>
            <w:vAlign w:val="bottom"/>
            <w:hideMark/>
          </w:tcPr>
          <w:p w14:paraId="18271CB9" w14:textId="32F32534"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B&amp;B SARLU</w:t>
            </w:r>
          </w:p>
        </w:tc>
      </w:tr>
      <w:tr w:rsidR="00AB0A2B" w:rsidRPr="00AB0A2B" w14:paraId="77E44A9F" w14:textId="77777777" w:rsidTr="00AB0A2B">
        <w:trPr>
          <w:trHeight w:val="319"/>
        </w:trPr>
        <w:tc>
          <w:tcPr>
            <w:tcW w:w="1106" w:type="dxa"/>
            <w:tcBorders>
              <w:top w:val="nil"/>
              <w:left w:val="single" w:sz="4" w:space="0" w:color="auto"/>
              <w:bottom w:val="single" w:sz="4" w:space="0" w:color="auto"/>
              <w:right w:val="single" w:sz="4" w:space="0" w:color="auto"/>
            </w:tcBorders>
            <w:shd w:val="clear" w:color="auto" w:fill="auto"/>
            <w:vAlign w:val="bottom"/>
            <w:hideMark/>
          </w:tcPr>
          <w:p w14:paraId="345056F6" w14:textId="77777777" w:rsidR="00AB0A2B" w:rsidRPr="00AB0A2B" w:rsidRDefault="00AB0A2B" w:rsidP="00AB0A2B">
            <w:pPr>
              <w:jc w:val="center"/>
              <w:rPr>
                <w:rFonts w:ascii="Tw Cen MT" w:hAnsi="Tw Cen MT" w:cs="Calibri"/>
                <w:color w:val="000000"/>
                <w:lang w:eastAsia="fr-FR"/>
              </w:rPr>
            </w:pPr>
            <w:r w:rsidRPr="00AB0A2B">
              <w:rPr>
                <w:rFonts w:ascii="Tw Cen MT" w:hAnsi="Tw Cen MT" w:cs="Calibri"/>
                <w:color w:val="000000"/>
                <w:lang w:eastAsia="fr-FR"/>
              </w:rPr>
              <w:t>4</w:t>
            </w:r>
          </w:p>
        </w:tc>
        <w:tc>
          <w:tcPr>
            <w:tcW w:w="1389" w:type="dxa"/>
            <w:tcBorders>
              <w:top w:val="nil"/>
              <w:left w:val="nil"/>
              <w:bottom w:val="single" w:sz="4" w:space="0" w:color="auto"/>
              <w:right w:val="single" w:sz="4" w:space="0" w:color="auto"/>
            </w:tcBorders>
            <w:shd w:val="clear" w:color="auto" w:fill="auto"/>
            <w:vAlign w:val="bottom"/>
            <w:hideMark/>
          </w:tcPr>
          <w:p w14:paraId="0924ECE5" w14:textId="77777777"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Non fourni</w:t>
            </w:r>
          </w:p>
        </w:tc>
        <w:tc>
          <w:tcPr>
            <w:tcW w:w="6353" w:type="dxa"/>
            <w:tcBorders>
              <w:top w:val="nil"/>
              <w:left w:val="nil"/>
              <w:bottom w:val="single" w:sz="4" w:space="0" w:color="auto"/>
              <w:right w:val="single" w:sz="4" w:space="0" w:color="auto"/>
            </w:tcBorders>
            <w:shd w:val="clear" w:color="auto" w:fill="auto"/>
            <w:noWrap/>
            <w:vAlign w:val="bottom"/>
            <w:hideMark/>
          </w:tcPr>
          <w:p w14:paraId="68A0B247" w14:textId="21618B49"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STÉ ANADIS SARL</w:t>
            </w:r>
          </w:p>
        </w:tc>
      </w:tr>
      <w:tr w:rsidR="00AB0A2B" w:rsidRPr="00AB0A2B" w14:paraId="487A232B" w14:textId="77777777" w:rsidTr="00AB0A2B">
        <w:trPr>
          <w:trHeight w:val="319"/>
        </w:trPr>
        <w:tc>
          <w:tcPr>
            <w:tcW w:w="1106" w:type="dxa"/>
            <w:tcBorders>
              <w:top w:val="nil"/>
              <w:left w:val="single" w:sz="4" w:space="0" w:color="auto"/>
              <w:bottom w:val="single" w:sz="4" w:space="0" w:color="auto"/>
              <w:right w:val="single" w:sz="4" w:space="0" w:color="auto"/>
            </w:tcBorders>
            <w:shd w:val="clear" w:color="auto" w:fill="auto"/>
            <w:vAlign w:val="bottom"/>
            <w:hideMark/>
          </w:tcPr>
          <w:p w14:paraId="0C0FA722" w14:textId="77777777" w:rsidR="00AB0A2B" w:rsidRPr="00AB0A2B" w:rsidRDefault="00AB0A2B" w:rsidP="00AB0A2B">
            <w:pPr>
              <w:jc w:val="center"/>
              <w:rPr>
                <w:rFonts w:ascii="Tw Cen MT" w:hAnsi="Tw Cen MT" w:cs="Calibri"/>
                <w:color w:val="000000"/>
                <w:lang w:eastAsia="fr-FR"/>
              </w:rPr>
            </w:pPr>
            <w:r w:rsidRPr="00AB0A2B">
              <w:rPr>
                <w:rFonts w:ascii="Tw Cen MT" w:hAnsi="Tw Cen MT" w:cs="Calibri"/>
                <w:color w:val="000000"/>
                <w:lang w:eastAsia="fr-FR"/>
              </w:rPr>
              <w:t>5</w:t>
            </w:r>
          </w:p>
        </w:tc>
        <w:tc>
          <w:tcPr>
            <w:tcW w:w="1389" w:type="dxa"/>
            <w:tcBorders>
              <w:top w:val="nil"/>
              <w:left w:val="nil"/>
              <w:bottom w:val="single" w:sz="4" w:space="0" w:color="auto"/>
              <w:right w:val="single" w:sz="4" w:space="0" w:color="auto"/>
            </w:tcBorders>
            <w:shd w:val="clear" w:color="auto" w:fill="auto"/>
            <w:vAlign w:val="bottom"/>
            <w:hideMark/>
          </w:tcPr>
          <w:p w14:paraId="4F8B7015" w14:textId="77777777"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Non fourni</w:t>
            </w:r>
          </w:p>
        </w:tc>
        <w:tc>
          <w:tcPr>
            <w:tcW w:w="6353" w:type="dxa"/>
            <w:tcBorders>
              <w:top w:val="nil"/>
              <w:left w:val="nil"/>
              <w:bottom w:val="single" w:sz="4" w:space="0" w:color="auto"/>
              <w:right w:val="single" w:sz="4" w:space="0" w:color="auto"/>
            </w:tcBorders>
            <w:shd w:val="clear" w:color="auto" w:fill="auto"/>
            <w:noWrap/>
            <w:vAlign w:val="bottom"/>
            <w:hideMark/>
          </w:tcPr>
          <w:p w14:paraId="3357C054" w14:textId="6FEE4A83"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ALWADOUD MALI SA</w:t>
            </w:r>
          </w:p>
        </w:tc>
      </w:tr>
      <w:tr w:rsidR="00AB0A2B" w:rsidRPr="00AB0A2B" w14:paraId="27D6550D" w14:textId="77777777" w:rsidTr="00AB0A2B">
        <w:trPr>
          <w:trHeight w:val="319"/>
        </w:trPr>
        <w:tc>
          <w:tcPr>
            <w:tcW w:w="1106" w:type="dxa"/>
            <w:tcBorders>
              <w:top w:val="nil"/>
              <w:left w:val="single" w:sz="4" w:space="0" w:color="auto"/>
              <w:bottom w:val="single" w:sz="4" w:space="0" w:color="auto"/>
              <w:right w:val="single" w:sz="4" w:space="0" w:color="auto"/>
            </w:tcBorders>
            <w:shd w:val="clear" w:color="auto" w:fill="auto"/>
            <w:vAlign w:val="bottom"/>
            <w:hideMark/>
          </w:tcPr>
          <w:p w14:paraId="10A3FB7F" w14:textId="77777777" w:rsidR="00AB0A2B" w:rsidRPr="00AB0A2B" w:rsidRDefault="00AB0A2B" w:rsidP="00AB0A2B">
            <w:pPr>
              <w:jc w:val="center"/>
              <w:rPr>
                <w:rFonts w:ascii="Tw Cen MT" w:hAnsi="Tw Cen MT" w:cs="Calibri"/>
                <w:color w:val="000000"/>
                <w:lang w:eastAsia="fr-FR"/>
              </w:rPr>
            </w:pPr>
            <w:r w:rsidRPr="00AB0A2B">
              <w:rPr>
                <w:rFonts w:ascii="Tw Cen MT" w:hAnsi="Tw Cen MT" w:cs="Calibri"/>
                <w:color w:val="000000"/>
                <w:lang w:eastAsia="fr-FR"/>
              </w:rPr>
              <w:t>6</w:t>
            </w:r>
          </w:p>
        </w:tc>
        <w:tc>
          <w:tcPr>
            <w:tcW w:w="1389" w:type="dxa"/>
            <w:tcBorders>
              <w:top w:val="nil"/>
              <w:left w:val="nil"/>
              <w:bottom w:val="single" w:sz="4" w:space="0" w:color="auto"/>
              <w:right w:val="single" w:sz="4" w:space="0" w:color="auto"/>
            </w:tcBorders>
            <w:shd w:val="clear" w:color="auto" w:fill="auto"/>
            <w:vAlign w:val="bottom"/>
            <w:hideMark/>
          </w:tcPr>
          <w:p w14:paraId="7DF3E690" w14:textId="77777777"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Non fourni</w:t>
            </w:r>
          </w:p>
        </w:tc>
        <w:tc>
          <w:tcPr>
            <w:tcW w:w="6353" w:type="dxa"/>
            <w:tcBorders>
              <w:top w:val="nil"/>
              <w:left w:val="nil"/>
              <w:bottom w:val="single" w:sz="4" w:space="0" w:color="auto"/>
              <w:right w:val="single" w:sz="4" w:space="0" w:color="auto"/>
            </w:tcBorders>
            <w:shd w:val="clear" w:color="auto" w:fill="auto"/>
            <w:noWrap/>
            <w:vAlign w:val="bottom"/>
            <w:hideMark/>
          </w:tcPr>
          <w:p w14:paraId="10E121B2" w14:textId="6C7F527D"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 xml:space="preserve">STÉ SADI SARL </w:t>
            </w:r>
          </w:p>
        </w:tc>
      </w:tr>
      <w:tr w:rsidR="00AB0A2B" w:rsidRPr="00AB0A2B" w14:paraId="3074F93D" w14:textId="77777777" w:rsidTr="00AB0A2B">
        <w:trPr>
          <w:trHeight w:val="319"/>
        </w:trPr>
        <w:tc>
          <w:tcPr>
            <w:tcW w:w="1106" w:type="dxa"/>
            <w:tcBorders>
              <w:top w:val="nil"/>
              <w:left w:val="single" w:sz="4" w:space="0" w:color="auto"/>
              <w:bottom w:val="single" w:sz="4" w:space="0" w:color="auto"/>
              <w:right w:val="single" w:sz="4" w:space="0" w:color="auto"/>
            </w:tcBorders>
            <w:shd w:val="clear" w:color="auto" w:fill="auto"/>
            <w:vAlign w:val="bottom"/>
            <w:hideMark/>
          </w:tcPr>
          <w:p w14:paraId="64898DB7" w14:textId="77777777" w:rsidR="00AB0A2B" w:rsidRPr="00AB0A2B" w:rsidRDefault="00AB0A2B" w:rsidP="00AB0A2B">
            <w:pPr>
              <w:jc w:val="center"/>
              <w:rPr>
                <w:rFonts w:ascii="Tw Cen MT" w:hAnsi="Tw Cen MT" w:cs="Calibri"/>
                <w:color w:val="000000"/>
                <w:lang w:eastAsia="fr-FR"/>
              </w:rPr>
            </w:pPr>
            <w:r w:rsidRPr="00AB0A2B">
              <w:rPr>
                <w:rFonts w:ascii="Tw Cen MT" w:hAnsi="Tw Cen MT" w:cs="Calibri"/>
                <w:color w:val="000000"/>
                <w:lang w:eastAsia="fr-FR"/>
              </w:rPr>
              <w:t>7</w:t>
            </w:r>
          </w:p>
        </w:tc>
        <w:tc>
          <w:tcPr>
            <w:tcW w:w="1389" w:type="dxa"/>
            <w:tcBorders>
              <w:top w:val="nil"/>
              <w:left w:val="nil"/>
              <w:bottom w:val="single" w:sz="4" w:space="0" w:color="auto"/>
              <w:right w:val="single" w:sz="4" w:space="0" w:color="auto"/>
            </w:tcBorders>
            <w:shd w:val="clear" w:color="auto" w:fill="auto"/>
            <w:vAlign w:val="bottom"/>
            <w:hideMark/>
          </w:tcPr>
          <w:p w14:paraId="0C0E95F4" w14:textId="77777777"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Non fourni</w:t>
            </w:r>
          </w:p>
        </w:tc>
        <w:tc>
          <w:tcPr>
            <w:tcW w:w="6353" w:type="dxa"/>
            <w:tcBorders>
              <w:top w:val="nil"/>
              <w:left w:val="nil"/>
              <w:bottom w:val="single" w:sz="4" w:space="0" w:color="auto"/>
              <w:right w:val="single" w:sz="4" w:space="0" w:color="auto"/>
            </w:tcBorders>
            <w:shd w:val="clear" w:color="auto" w:fill="auto"/>
            <w:noWrap/>
            <w:vAlign w:val="bottom"/>
            <w:hideMark/>
          </w:tcPr>
          <w:p w14:paraId="269B5768" w14:textId="04683DD4"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MAXAM MALI SARL</w:t>
            </w:r>
          </w:p>
        </w:tc>
      </w:tr>
      <w:tr w:rsidR="00AB0A2B" w:rsidRPr="00AB0A2B" w14:paraId="50C4C5E6" w14:textId="77777777" w:rsidTr="00AB0A2B">
        <w:trPr>
          <w:trHeight w:val="319"/>
        </w:trPr>
        <w:tc>
          <w:tcPr>
            <w:tcW w:w="1106" w:type="dxa"/>
            <w:tcBorders>
              <w:top w:val="nil"/>
              <w:left w:val="single" w:sz="4" w:space="0" w:color="auto"/>
              <w:bottom w:val="single" w:sz="4" w:space="0" w:color="auto"/>
              <w:right w:val="single" w:sz="4" w:space="0" w:color="auto"/>
            </w:tcBorders>
            <w:shd w:val="clear" w:color="auto" w:fill="auto"/>
            <w:vAlign w:val="bottom"/>
            <w:hideMark/>
          </w:tcPr>
          <w:p w14:paraId="128A6571" w14:textId="77777777" w:rsidR="00AB0A2B" w:rsidRPr="00AB0A2B" w:rsidRDefault="00AB0A2B" w:rsidP="00AB0A2B">
            <w:pPr>
              <w:jc w:val="center"/>
              <w:rPr>
                <w:rFonts w:ascii="Tw Cen MT" w:hAnsi="Tw Cen MT" w:cs="Calibri"/>
                <w:color w:val="000000"/>
                <w:lang w:eastAsia="fr-FR"/>
              </w:rPr>
            </w:pPr>
            <w:r w:rsidRPr="00AB0A2B">
              <w:rPr>
                <w:rFonts w:ascii="Tw Cen MT" w:hAnsi="Tw Cen MT" w:cs="Calibri"/>
                <w:color w:val="000000"/>
                <w:lang w:eastAsia="fr-FR"/>
              </w:rPr>
              <w:t>8</w:t>
            </w:r>
          </w:p>
        </w:tc>
        <w:tc>
          <w:tcPr>
            <w:tcW w:w="1389" w:type="dxa"/>
            <w:tcBorders>
              <w:top w:val="nil"/>
              <w:left w:val="nil"/>
              <w:bottom w:val="single" w:sz="4" w:space="0" w:color="auto"/>
              <w:right w:val="single" w:sz="4" w:space="0" w:color="auto"/>
            </w:tcBorders>
            <w:shd w:val="clear" w:color="auto" w:fill="auto"/>
            <w:vAlign w:val="bottom"/>
            <w:hideMark/>
          </w:tcPr>
          <w:p w14:paraId="62625014" w14:textId="77777777"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Non fourni</w:t>
            </w:r>
          </w:p>
        </w:tc>
        <w:tc>
          <w:tcPr>
            <w:tcW w:w="6353" w:type="dxa"/>
            <w:tcBorders>
              <w:top w:val="nil"/>
              <w:left w:val="nil"/>
              <w:bottom w:val="single" w:sz="4" w:space="0" w:color="auto"/>
              <w:right w:val="single" w:sz="4" w:space="0" w:color="auto"/>
            </w:tcBorders>
            <w:shd w:val="clear" w:color="auto" w:fill="auto"/>
            <w:noWrap/>
            <w:vAlign w:val="bottom"/>
            <w:hideMark/>
          </w:tcPr>
          <w:p w14:paraId="70A6F9A9" w14:textId="4DD12CD3"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STÉ D’EXPLOITATION DES MINES</w:t>
            </w:r>
          </w:p>
        </w:tc>
      </w:tr>
      <w:tr w:rsidR="00AB0A2B" w:rsidRPr="00AB0A2B" w14:paraId="09FFA988" w14:textId="77777777" w:rsidTr="00AB0A2B">
        <w:trPr>
          <w:trHeight w:val="319"/>
        </w:trPr>
        <w:tc>
          <w:tcPr>
            <w:tcW w:w="1106" w:type="dxa"/>
            <w:tcBorders>
              <w:top w:val="nil"/>
              <w:left w:val="single" w:sz="4" w:space="0" w:color="auto"/>
              <w:bottom w:val="single" w:sz="4" w:space="0" w:color="auto"/>
              <w:right w:val="single" w:sz="4" w:space="0" w:color="auto"/>
            </w:tcBorders>
            <w:shd w:val="clear" w:color="auto" w:fill="auto"/>
            <w:vAlign w:val="bottom"/>
            <w:hideMark/>
          </w:tcPr>
          <w:p w14:paraId="27E8EBFC" w14:textId="77777777" w:rsidR="00AB0A2B" w:rsidRPr="00AB0A2B" w:rsidRDefault="00AB0A2B" w:rsidP="00AB0A2B">
            <w:pPr>
              <w:jc w:val="center"/>
              <w:rPr>
                <w:rFonts w:ascii="Tw Cen MT" w:hAnsi="Tw Cen MT" w:cs="Calibri"/>
                <w:color w:val="000000"/>
                <w:lang w:eastAsia="fr-FR"/>
              </w:rPr>
            </w:pPr>
            <w:r w:rsidRPr="00AB0A2B">
              <w:rPr>
                <w:rFonts w:ascii="Tw Cen MT" w:hAnsi="Tw Cen MT" w:cs="Calibri"/>
                <w:color w:val="000000"/>
                <w:lang w:eastAsia="fr-FR"/>
              </w:rPr>
              <w:t>9</w:t>
            </w:r>
          </w:p>
        </w:tc>
        <w:tc>
          <w:tcPr>
            <w:tcW w:w="1389" w:type="dxa"/>
            <w:tcBorders>
              <w:top w:val="nil"/>
              <w:left w:val="nil"/>
              <w:bottom w:val="single" w:sz="4" w:space="0" w:color="auto"/>
              <w:right w:val="single" w:sz="4" w:space="0" w:color="auto"/>
            </w:tcBorders>
            <w:shd w:val="clear" w:color="auto" w:fill="auto"/>
            <w:vAlign w:val="bottom"/>
            <w:hideMark/>
          </w:tcPr>
          <w:p w14:paraId="2DB1FDD0" w14:textId="77777777"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Non fourni</w:t>
            </w:r>
          </w:p>
        </w:tc>
        <w:tc>
          <w:tcPr>
            <w:tcW w:w="6353" w:type="dxa"/>
            <w:tcBorders>
              <w:top w:val="nil"/>
              <w:left w:val="nil"/>
              <w:bottom w:val="single" w:sz="4" w:space="0" w:color="auto"/>
              <w:right w:val="single" w:sz="4" w:space="0" w:color="auto"/>
            </w:tcBorders>
            <w:shd w:val="clear" w:color="auto" w:fill="auto"/>
            <w:noWrap/>
            <w:vAlign w:val="bottom"/>
            <w:hideMark/>
          </w:tcPr>
          <w:p w14:paraId="2062D12F" w14:textId="5899F042"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AECI</w:t>
            </w:r>
          </w:p>
        </w:tc>
      </w:tr>
      <w:tr w:rsidR="00AB0A2B" w:rsidRPr="00AB0A2B" w14:paraId="653E60D9" w14:textId="77777777" w:rsidTr="00AB0A2B">
        <w:trPr>
          <w:trHeight w:val="319"/>
        </w:trPr>
        <w:tc>
          <w:tcPr>
            <w:tcW w:w="1106" w:type="dxa"/>
            <w:tcBorders>
              <w:top w:val="nil"/>
              <w:left w:val="single" w:sz="4" w:space="0" w:color="auto"/>
              <w:bottom w:val="single" w:sz="4" w:space="0" w:color="auto"/>
              <w:right w:val="single" w:sz="4" w:space="0" w:color="auto"/>
            </w:tcBorders>
            <w:shd w:val="clear" w:color="auto" w:fill="auto"/>
            <w:vAlign w:val="bottom"/>
            <w:hideMark/>
          </w:tcPr>
          <w:p w14:paraId="30177563" w14:textId="77777777" w:rsidR="00AB0A2B" w:rsidRPr="00AB0A2B" w:rsidRDefault="00AB0A2B" w:rsidP="00AB0A2B">
            <w:pPr>
              <w:jc w:val="center"/>
              <w:rPr>
                <w:rFonts w:ascii="Tw Cen MT" w:hAnsi="Tw Cen MT" w:cs="Calibri"/>
                <w:color w:val="000000"/>
                <w:lang w:eastAsia="fr-FR"/>
              </w:rPr>
            </w:pPr>
            <w:r w:rsidRPr="00AB0A2B">
              <w:rPr>
                <w:rFonts w:ascii="Tw Cen MT" w:hAnsi="Tw Cen MT" w:cs="Calibri"/>
                <w:color w:val="000000"/>
                <w:lang w:eastAsia="fr-FR"/>
              </w:rPr>
              <w:t>10</w:t>
            </w:r>
          </w:p>
        </w:tc>
        <w:tc>
          <w:tcPr>
            <w:tcW w:w="1389" w:type="dxa"/>
            <w:tcBorders>
              <w:top w:val="nil"/>
              <w:left w:val="nil"/>
              <w:bottom w:val="single" w:sz="4" w:space="0" w:color="auto"/>
              <w:right w:val="single" w:sz="4" w:space="0" w:color="auto"/>
            </w:tcBorders>
            <w:shd w:val="clear" w:color="auto" w:fill="auto"/>
            <w:vAlign w:val="bottom"/>
            <w:hideMark/>
          </w:tcPr>
          <w:p w14:paraId="0EFF2C89" w14:textId="77777777"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Non fourni</w:t>
            </w:r>
          </w:p>
        </w:tc>
        <w:tc>
          <w:tcPr>
            <w:tcW w:w="6353" w:type="dxa"/>
            <w:tcBorders>
              <w:top w:val="nil"/>
              <w:left w:val="nil"/>
              <w:bottom w:val="single" w:sz="4" w:space="0" w:color="auto"/>
              <w:right w:val="single" w:sz="4" w:space="0" w:color="auto"/>
            </w:tcBorders>
            <w:shd w:val="clear" w:color="auto" w:fill="auto"/>
            <w:noWrap/>
            <w:vAlign w:val="bottom"/>
            <w:hideMark/>
          </w:tcPr>
          <w:p w14:paraId="6E5C47E0" w14:textId="1BEBA12F"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STÉ D’EXPLOITATION DE CARRIÈRE ET MINES</w:t>
            </w:r>
          </w:p>
        </w:tc>
      </w:tr>
      <w:tr w:rsidR="00AB0A2B" w:rsidRPr="00AB0A2B" w14:paraId="15CD6390" w14:textId="77777777" w:rsidTr="00AB0A2B">
        <w:trPr>
          <w:trHeight w:val="319"/>
        </w:trPr>
        <w:tc>
          <w:tcPr>
            <w:tcW w:w="1106" w:type="dxa"/>
            <w:tcBorders>
              <w:top w:val="nil"/>
              <w:left w:val="single" w:sz="4" w:space="0" w:color="auto"/>
              <w:bottom w:val="single" w:sz="4" w:space="0" w:color="auto"/>
              <w:right w:val="single" w:sz="4" w:space="0" w:color="auto"/>
            </w:tcBorders>
            <w:shd w:val="clear" w:color="auto" w:fill="auto"/>
            <w:vAlign w:val="bottom"/>
            <w:hideMark/>
          </w:tcPr>
          <w:p w14:paraId="25164411" w14:textId="77777777" w:rsidR="00AB0A2B" w:rsidRPr="00AB0A2B" w:rsidRDefault="00AB0A2B" w:rsidP="00AB0A2B">
            <w:pPr>
              <w:jc w:val="center"/>
              <w:rPr>
                <w:rFonts w:ascii="Tw Cen MT" w:hAnsi="Tw Cen MT" w:cs="Calibri"/>
                <w:color w:val="000000"/>
                <w:lang w:eastAsia="fr-FR"/>
              </w:rPr>
            </w:pPr>
            <w:r w:rsidRPr="00AB0A2B">
              <w:rPr>
                <w:rFonts w:ascii="Tw Cen MT" w:hAnsi="Tw Cen MT" w:cs="Calibri"/>
                <w:color w:val="000000"/>
                <w:lang w:eastAsia="fr-FR"/>
              </w:rPr>
              <w:t>11</w:t>
            </w:r>
          </w:p>
        </w:tc>
        <w:tc>
          <w:tcPr>
            <w:tcW w:w="1389" w:type="dxa"/>
            <w:tcBorders>
              <w:top w:val="nil"/>
              <w:left w:val="nil"/>
              <w:bottom w:val="single" w:sz="4" w:space="0" w:color="auto"/>
              <w:right w:val="single" w:sz="4" w:space="0" w:color="auto"/>
            </w:tcBorders>
            <w:shd w:val="clear" w:color="auto" w:fill="auto"/>
            <w:vAlign w:val="bottom"/>
            <w:hideMark/>
          </w:tcPr>
          <w:p w14:paraId="623E14D8" w14:textId="77777777"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Non fourni</w:t>
            </w:r>
          </w:p>
        </w:tc>
        <w:tc>
          <w:tcPr>
            <w:tcW w:w="6353" w:type="dxa"/>
            <w:tcBorders>
              <w:top w:val="nil"/>
              <w:left w:val="nil"/>
              <w:bottom w:val="single" w:sz="4" w:space="0" w:color="auto"/>
              <w:right w:val="single" w:sz="4" w:space="0" w:color="auto"/>
            </w:tcBorders>
            <w:shd w:val="clear" w:color="auto" w:fill="auto"/>
            <w:noWrap/>
            <w:vAlign w:val="bottom"/>
            <w:hideMark/>
          </w:tcPr>
          <w:p w14:paraId="02B2860D" w14:textId="619C93AB"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STÉ MINIÈRE WASSA SARL</w:t>
            </w:r>
          </w:p>
        </w:tc>
      </w:tr>
      <w:tr w:rsidR="00AB0A2B" w:rsidRPr="00AB0A2B" w14:paraId="7EF40469" w14:textId="77777777" w:rsidTr="00AB0A2B">
        <w:trPr>
          <w:trHeight w:val="319"/>
        </w:trPr>
        <w:tc>
          <w:tcPr>
            <w:tcW w:w="1106" w:type="dxa"/>
            <w:tcBorders>
              <w:top w:val="nil"/>
              <w:left w:val="single" w:sz="4" w:space="0" w:color="auto"/>
              <w:bottom w:val="single" w:sz="4" w:space="0" w:color="auto"/>
              <w:right w:val="single" w:sz="4" w:space="0" w:color="auto"/>
            </w:tcBorders>
            <w:shd w:val="clear" w:color="auto" w:fill="auto"/>
            <w:vAlign w:val="bottom"/>
            <w:hideMark/>
          </w:tcPr>
          <w:p w14:paraId="03713FB2" w14:textId="77777777" w:rsidR="00AB0A2B" w:rsidRPr="00AB0A2B" w:rsidRDefault="00AB0A2B" w:rsidP="00AB0A2B">
            <w:pPr>
              <w:jc w:val="center"/>
              <w:rPr>
                <w:rFonts w:ascii="Tw Cen MT" w:hAnsi="Tw Cen MT" w:cs="Calibri"/>
                <w:color w:val="000000"/>
                <w:lang w:eastAsia="fr-FR"/>
              </w:rPr>
            </w:pPr>
            <w:r w:rsidRPr="00AB0A2B">
              <w:rPr>
                <w:rFonts w:ascii="Tw Cen MT" w:hAnsi="Tw Cen MT" w:cs="Calibri"/>
                <w:color w:val="000000"/>
                <w:lang w:eastAsia="fr-FR"/>
              </w:rPr>
              <w:t>12</w:t>
            </w:r>
          </w:p>
        </w:tc>
        <w:tc>
          <w:tcPr>
            <w:tcW w:w="1389" w:type="dxa"/>
            <w:tcBorders>
              <w:top w:val="nil"/>
              <w:left w:val="nil"/>
              <w:bottom w:val="single" w:sz="4" w:space="0" w:color="auto"/>
              <w:right w:val="single" w:sz="4" w:space="0" w:color="auto"/>
            </w:tcBorders>
            <w:shd w:val="clear" w:color="auto" w:fill="auto"/>
            <w:vAlign w:val="bottom"/>
            <w:hideMark/>
          </w:tcPr>
          <w:p w14:paraId="2AA53282" w14:textId="77777777"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Non fourni</w:t>
            </w:r>
          </w:p>
        </w:tc>
        <w:tc>
          <w:tcPr>
            <w:tcW w:w="6353" w:type="dxa"/>
            <w:tcBorders>
              <w:top w:val="nil"/>
              <w:left w:val="nil"/>
              <w:bottom w:val="single" w:sz="4" w:space="0" w:color="auto"/>
              <w:right w:val="single" w:sz="4" w:space="0" w:color="auto"/>
            </w:tcBorders>
            <w:shd w:val="clear" w:color="auto" w:fill="auto"/>
            <w:noWrap/>
            <w:vAlign w:val="bottom"/>
            <w:hideMark/>
          </w:tcPr>
          <w:p w14:paraId="1E8F6A76" w14:textId="189503A9"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LASSANE FANE</w:t>
            </w:r>
          </w:p>
        </w:tc>
      </w:tr>
      <w:tr w:rsidR="00AB0A2B" w:rsidRPr="00AB0A2B" w14:paraId="4EC8E820" w14:textId="77777777" w:rsidTr="00AB0A2B">
        <w:trPr>
          <w:trHeight w:val="319"/>
        </w:trPr>
        <w:tc>
          <w:tcPr>
            <w:tcW w:w="1106" w:type="dxa"/>
            <w:tcBorders>
              <w:top w:val="nil"/>
              <w:left w:val="single" w:sz="4" w:space="0" w:color="auto"/>
              <w:bottom w:val="single" w:sz="4" w:space="0" w:color="auto"/>
              <w:right w:val="single" w:sz="4" w:space="0" w:color="auto"/>
            </w:tcBorders>
            <w:shd w:val="clear" w:color="auto" w:fill="auto"/>
            <w:vAlign w:val="bottom"/>
            <w:hideMark/>
          </w:tcPr>
          <w:p w14:paraId="725A1E49" w14:textId="77777777" w:rsidR="00AB0A2B" w:rsidRPr="00AB0A2B" w:rsidRDefault="00AB0A2B" w:rsidP="00AB0A2B">
            <w:pPr>
              <w:jc w:val="center"/>
              <w:rPr>
                <w:rFonts w:ascii="Tw Cen MT" w:hAnsi="Tw Cen MT" w:cs="Calibri"/>
                <w:color w:val="000000"/>
                <w:lang w:eastAsia="fr-FR"/>
              </w:rPr>
            </w:pPr>
            <w:r w:rsidRPr="00AB0A2B">
              <w:rPr>
                <w:rFonts w:ascii="Tw Cen MT" w:hAnsi="Tw Cen MT" w:cs="Calibri"/>
                <w:color w:val="000000"/>
                <w:lang w:eastAsia="fr-FR"/>
              </w:rPr>
              <w:t>13</w:t>
            </w:r>
          </w:p>
        </w:tc>
        <w:tc>
          <w:tcPr>
            <w:tcW w:w="1389" w:type="dxa"/>
            <w:tcBorders>
              <w:top w:val="nil"/>
              <w:left w:val="nil"/>
              <w:bottom w:val="single" w:sz="4" w:space="0" w:color="auto"/>
              <w:right w:val="single" w:sz="4" w:space="0" w:color="auto"/>
            </w:tcBorders>
            <w:shd w:val="clear" w:color="auto" w:fill="auto"/>
            <w:vAlign w:val="bottom"/>
            <w:hideMark/>
          </w:tcPr>
          <w:p w14:paraId="0648D753" w14:textId="77777777"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Non fourni</w:t>
            </w:r>
          </w:p>
        </w:tc>
        <w:tc>
          <w:tcPr>
            <w:tcW w:w="6353" w:type="dxa"/>
            <w:tcBorders>
              <w:top w:val="nil"/>
              <w:left w:val="nil"/>
              <w:bottom w:val="single" w:sz="4" w:space="0" w:color="auto"/>
              <w:right w:val="single" w:sz="4" w:space="0" w:color="auto"/>
            </w:tcBorders>
            <w:shd w:val="clear" w:color="auto" w:fill="auto"/>
            <w:noWrap/>
            <w:vAlign w:val="bottom"/>
            <w:hideMark/>
          </w:tcPr>
          <w:p w14:paraId="337947EC" w14:textId="2D2C6240"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SOCIÉTÉ EXPLORATION MALI SARL</w:t>
            </w:r>
          </w:p>
        </w:tc>
      </w:tr>
      <w:tr w:rsidR="00AB0A2B" w:rsidRPr="00AB0A2B" w14:paraId="128F9475" w14:textId="77777777" w:rsidTr="00AB0A2B">
        <w:trPr>
          <w:trHeight w:val="319"/>
        </w:trPr>
        <w:tc>
          <w:tcPr>
            <w:tcW w:w="1106" w:type="dxa"/>
            <w:tcBorders>
              <w:top w:val="nil"/>
              <w:left w:val="single" w:sz="4" w:space="0" w:color="auto"/>
              <w:bottom w:val="single" w:sz="4" w:space="0" w:color="auto"/>
              <w:right w:val="single" w:sz="4" w:space="0" w:color="auto"/>
            </w:tcBorders>
            <w:shd w:val="clear" w:color="auto" w:fill="auto"/>
            <w:vAlign w:val="bottom"/>
            <w:hideMark/>
          </w:tcPr>
          <w:p w14:paraId="0C7DE0BB" w14:textId="77777777" w:rsidR="00AB0A2B" w:rsidRPr="00AB0A2B" w:rsidRDefault="00AB0A2B" w:rsidP="00AB0A2B">
            <w:pPr>
              <w:jc w:val="center"/>
              <w:rPr>
                <w:rFonts w:ascii="Tw Cen MT" w:hAnsi="Tw Cen MT" w:cs="Calibri"/>
                <w:color w:val="000000"/>
                <w:lang w:eastAsia="fr-FR"/>
              </w:rPr>
            </w:pPr>
            <w:r w:rsidRPr="00AB0A2B">
              <w:rPr>
                <w:rFonts w:ascii="Tw Cen MT" w:hAnsi="Tw Cen MT" w:cs="Calibri"/>
                <w:color w:val="000000"/>
                <w:lang w:eastAsia="fr-FR"/>
              </w:rPr>
              <w:t>14</w:t>
            </w:r>
          </w:p>
        </w:tc>
        <w:tc>
          <w:tcPr>
            <w:tcW w:w="1389" w:type="dxa"/>
            <w:tcBorders>
              <w:top w:val="nil"/>
              <w:left w:val="nil"/>
              <w:bottom w:val="single" w:sz="4" w:space="0" w:color="auto"/>
              <w:right w:val="single" w:sz="4" w:space="0" w:color="auto"/>
            </w:tcBorders>
            <w:shd w:val="clear" w:color="auto" w:fill="auto"/>
            <w:vAlign w:val="bottom"/>
            <w:hideMark/>
          </w:tcPr>
          <w:p w14:paraId="542315E3" w14:textId="77777777"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Non fourni</w:t>
            </w:r>
          </w:p>
        </w:tc>
        <w:tc>
          <w:tcPr>
            <w:tcW w:w="6353" w:type="dxa"/>
            <w:tcBorders>
              <w:top w:val="nil"/>
              <w:left w:val="nil"/>
              <w:bottom w:val="single" w:sz="4" w:space="0" w:color="auto"/>
              <w:right w:val="single" w:sz="4" w:space="0" w:color="auto"/>
            </w:tcBorders>
            <w:shd w:val="clear" w:color="auto" w:fill="auto"/>
            <w:noWrap/>
            <w:vAlign w:val="bottom"/>
            <w:hideMark/>
          </w:tcPr>
          <w:p w14:paraId="610B88E5" w14:textId="1EA0E084"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UNIVERSAL GLS SARLU</w:t>
            </w:r>
          </w:p>
        </w:tc>
      </w:tr>
      <w:tr w:rsidR="00AB0A2B" w:rsidRPr="00AB0A2B" w14:paraId="2EA38C51" w14:textId="77777777" w:rsidTr="00AB0A2B">
        <w:trPr>
          <w:trHeight w:val="319"/>
        </w:trPr>
        <w:tc>
          <w:tcPr>
            <w:tcW w:w="1106" w:type="dxa"/>
            <w:tcBorders>
              <w:top w:val="nil"/>
              <w:left w:val="single" w:sz="4" w:space="0" w:color="auto"/>
              <w:bottom w:val="single" w:sz="4" w:space="0" w:color="auto"/>
              <w:right w:val="single" w:sz="4" w:space="0" w:color="auto"/>
            </w:tcBorders>
            <w:shd w:val="clear" w:color="auto" w:fill="auto"/>
            <w:vAlign w:val="bottom"/>
            <w:hideMark/>
          </w:tcPr>
          <w:p w14:paraId="293F091F" w14:textId="77777777" w:rsidR="00AB0A2B" w:rsidRPr="00AB0A2B" w:rsidRDefault="00AB0A2B" w:rsidP="00AB0A2B">
            <w:pPr>
              <w:jc w:val="center"/>
              <w:rPr>
                <w:rFonts w:ascii="Tw Cen MT" w:hAnsi="Tw Cen MT" w:cs="Calibri"/>
                <w:color w:val="000000"/>
                <w:lang w:eastAsia="fr-FR"/>
              </w:rPr>
            </w:pPr>
            <w:r w:rsidRPr="00AB0A2B">
              <w:rPr>
                <w:rFonts w:ascii="Tw Cen MT" w:hAnsi="Tw Cen MT" w:cs="Calibri"/>
                <w:color w:val="000000"/>
                <w:lang w:eastAsia="fr-FR"/>
              </w:rPr>
              <w:t>15</w:t>
            </w:r>
          </w:p>
        </w:tc>
        <w:tc>
          <w:tcPr>
            <w:tcW w:w="1389" w:type="dxa"/>
            <w:tcBorders>
              <w:top w:val="nil"/>
              <w:left w:val="nil"/>
              <w:bottom w:val="single" w:sz="4" w:space="0" w:color="auto"/>
              <w:right w:val="single" w:sz="4" w:space="0" w:color="auto"/>
            </w:tcBorders>
            <w:shd w:val="clear" w:color="auto" w:fill="auto"/>
            <w:vAlign w:val="bottom"/>
            <w:hideMark/>
          </w:tcPr>
          <w:p w14:paraId="724DC213" w14:textId="77777777"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Non fourni</w:t>
            </w:r>
          </w:p>
        </w:tc>
        <w:tc>
          <w:tcPr>
            <w:tcW w:w="6353" w:type="dxa"/>
            <w:tcBorders>
              <w:top w:val="nil"/>
              <w:left w:val="nil"/>
              <w:bottom w:val="single" w:sz="4" w:space="0" w:color="auto"/>
              <w:right w:val="single" w:sz="4" w:space="0" w:color="auto"/>
            </w:tcBorders>
            <w:shd w:val="clear" w:color="auto" w:fill="auto"/>
            <w:noWrap/>
            <w:vAlign w:val="bottom"/>
            <w:hideMark/>
          </w:tcPr>
          <w:p w14:paraId="2C1B4E9C" w14:textId="3C9EFCD2"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STÉ MINTA RESOURCES MALI</w:t>
            </w:r>
          </w:p>
        </w:tc>
      </w:tr>
      <w:tr w:rsidR="00AB0A2B" w:rsidRPr="00AB0A2B" w14:paraId="29B2E1FC" w14:textId="77777777" w:rsidTr="00AB0A2B">
        <w:trPr>
          <w:trHeight w:val="319"/>
        </w:trPr>
        <w:tc>
          <w:tcPr>
            <w:tcW w:w="1106" w:type="dxa"/>
            <w:tcBorders>
              <w:top w:val="nil"/>
              <w:left w:val="single" w:sz="4" w:space="0" w:color="auto"/>
              <w:bottom w:val="single" w:sz="4" w:space="0" w:color="auto"/>
              <w:right w:val="single" w:sz="4" w:space="0" w:color="auto"/>
            </w:tcBorders>
            <w:shd w:val="clear" w:color="auto" w:fill="auto"/>
            <w:vAlign w:val="bottom"/>
            <w:hideMark/>
          </w:tcPr>
          <w:p w14:paraId="534ACA81" w14:textId="77777777" w:rsidR="00AB0A2B" w:rsidRPr="00AB0A2B" w:rsidRDefault="00AB0A2B" w:rsidP="00AB0A2B">
            <w:pPr>
              <w:jc w:val="center"/>
              <w:rPr>
                <w:rFonts w:ascii="Tw Cen MT" w:hAnsi="Tw Cen MT" w:cs="Calibri"/>
                <w:color w:val="000000"/>
                <w:lang w:eastAsia="fr-FR"/>
              </w:rPr>
            </w:pPr>
            <w:r w:rsidRPr="00AB0A2B">
              <w:rPr>
                <w:rFonts w:ascii="Tw Cen MT" w:hAnsi="Tw Cen MT" w:cs="Calibri"/>
                <w:color w:val="000000"/>
                <w:lang w:eastAsia="fr-FR"/>
              </w:rPr>
              <w:t>16</w:t>
            </w:r>
          </w:p>
        </w:tc>
        <w:tc>
          <w:tcPr>
            <w:tcW w:w="1389" w:type="dxa"/>
            <w:tcBorders>
              <w:top w:val="nil"/>
              <w:left w:val="nil"/>
              <w:bottom w:val="single" w:sz="4" w:space="0" w:color="auto"/>
              <w:right w:val="single" w:sz="4" w:space="0" w:color="auto"/>
            </w:tcBorders>
            <w:shd w:val="clear" w:color="auto" w:fill="auto"/>
            <w:vAlign w:val="bottom"/>
            <w:hideMark/>
          </w:tcPr>
          <w:p w14:paraId="774790D9" w14:textId="77777777"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Non fourni</w:t>
            </w:r>
          </w:p>
        </w:tc>
        <w:tc>
          <w:tcPr>
            <w:tcW w:w="6353" w:type="dxa"/>
            <w:tcBorders>
              <w:top w:val="nil"/>
              <w:left w:val="nil"/>
              <w:bottom w:val="single" w:sz="4" w:space="0" w:color="auto"/>
              <w:right w:val="single" w:sz="4" w:space="0" w:color="auto"/>
            </w:tcBorders>
            <w:shd w:val="clear" w:color="auto" w:fill="auto"/>
            <w:noWrap/>
            <w:vAlign w:val="bottom"/>
            <w:hideMark/>
          </w:tcPr>
          <w:p w14:paraId="0F8CDACF" w14:textId="08B386A2" w:rsidR="00AB0A2B" w:rsidRPr="00AB0A2B" w:rsidRDefault="00AB0A2B" w:rsidP="00AB0A2B">
            <w:pPr>
              <w:rPr>
                <w:rFonts w:ascii="Tw Cen MT" w:hAnsi="Tw Cen MT" w:cs="Calibri"/>
                <w:color w:val="000000"/>
                <w:lang w:eastAsia="fr-FR"/>
              </w:rPr>
            </w:pPr>
            <w:r w:rsidRPr="00AB0A2B">
              <w:rPr>
                <w:rFonts w:ascii="Tw Cen MT" w:hAnsi="Tw Cen MT" w:cs="Calibri"/>
                <w:color w:val="000000"/>
                <w:lang w:eastAsia="fr-FR"/>
              </w:rPr>
              <w:t>STÉ BARAGIOTA FINOTTO EFSIO GOLI</w:t>
            </w:r>
          </w:p>
        </w:tc>
      </w:tr>
    </w:tbl>
    <w:p w14:paraId="1D5F3295" w14:textId="6824343A" w:rsidR="00AB0A2B" w:rsidRDefault="00AB0A2B" w:rsidP="00AB0A2B">
      <w:pPr>
        <w:spacing w:before="120" w:after="120"/>
        <w:rPr>
          <w:rFonts w:ascii="Tw Cen MT" w:hAnsi="Tw Cen MT"/>
          <w:b/>
          <w:iCs/>
          <w:sz w:val="24"/>
          <w:szCs w:val="24"/>
        </w:rPr>
      </w:pPr>
    </w:p>
    <w:p w14:paraId="4FF47474" w14:textId="77777777" w:rsidR="00AB0A2B" w:rsidRDefault="00AB0A2B" w:rsidP="00AB0A2B">
      <w:pPr>
        <w:spacing w:before="120" w:after="120"/>
        <w:rPr>
          <w:rFonts w:ascii="Tw Cen MT" w:hAnsi="Tw Cen MT"/>
          <w:b/>
          <w:iCs/>
          <w:sz w:val="24"/>
          <w:szCs w:val="24"/>
        </w:rPr>
      </w:pPr>
    </w:p>
    <w:p w14:paraId="12BC824F" w14:textId="77777777" w:rsidR="00AB0A2B" w:rsidRDefault="00AB0A2B">
      <w:pPr>
        <w:spacing w:after="160" w:line="259" w:lineRule="auto"/>
        <w:rPr>
          <w:rFonts w:ascii="Tw Cen MT" w:hAnsi="Tw Cen MT"/>
          <w:b/>
          <w:iCs/>
          <w:sz w:val="24"/>
          <w:szCs w:val="24"/>
        </w:rPr>
      </w:pPr>
      <w:r>
        <w:rPr>
          <w:rFonts w:ascii="Tw Cen MT" w:hAnsi="Tw Cen MT"/>
          <w:b/>
          <w:iCs/>
          <w:sz w:val="24"/>
          <w:szCs w:val="24"/>
        </w:rPr>
        <w:br w:type="page"/>
      </w:r>
    </w:p>
    <w:p w14:paraId="65D922F1" w14:textId="704B3574" w:rsidR="00290187" w:rsidRDefault="00290187" w:rsidP="00290187">
      <w:pPr>
        <w:spacing w:before="120" w:after="120"/>
        <w:rPr>
          <w:rFonts w:ascii="Tw Cen MT" w:hAnsi="Tw Cen MT"/>
          <w:b/>
          <w:iCs/>
          <w:sz w:val="24"/>
          <w:szCs w:val="24"/>
        </w:rPr>
      </w:pPr>
      <w:r>
        <w:rPr>
          <w:rFonts w:ascii="Tw Cen MT" w:hAnsi="Tw Cen MT"/>
          <w:b/>
          <w:iCs/>
          <w:sz w:val="24"/>
          <w:szCs w:val="24"/>
        </w:rPr>
        <w:lastRenderedPageBreak/>
        <w:t xml:space="preserve">ANNEXE </w:t>
      </w:r>
      <w:r w:rsidR="006138CB">
        <w:rPr>
          <w:rFonts w:ascii="Tw Cen MT" w:hAnsi="Tw Cen MT"/>
          <w:b/>
          <w:iCs/>
          <w:sz w:val="24"/>
          <w:szCs w:val="24"/>
        </w:rPr>
        <w:t>4</w:t>
      </w:r>
      <w:r>
        <w:rPr>
          <w:rFonts w:ascii="Tw Cen MT" w:hAnsi="Tw Cen MT"/>
          <w:b/>
          <w:iCs/>
          <w:sz w:val="24"/>
          <w:szCs w:val="24"/>
        </w:rPr>
        <w:t xml:space="preserve"> : LISTE DES </w:t>
      </w:r>
      <w:r w:rsidRPr="00290187">
        <w:rPr>
          <w:rFonts w:ascii="Tw Cen MT" w:hAnsi="Tw Cen MT"/>
          <w:b/>
          <w:iCs/>
          <w:sz w:val="24"/>
          <w:szCs w:val="24"/>
        </w:rPr>
        <w:t>SOUS-TRAITANTS NÉCESSITANT UNE DÉCLARATION UNILATÉRALE</w:t>
      </w:r>
    </w:p>
    <w:tbl>
      <w:tblPr>
        <w:tblW w:w="8926" w:type="dxa"/>
        <w:tblCellMar>
          <w:left w:w="70" w:type="dxa"/>
          <w:right w:w="70" w:type="dxa"/>
        </w:tblCellMar>
        <w:tblLook w:val="04A0" w:firstRow="1" w:lastRow="0" w:firstColumn="1" w:lastColumn="0" w:noHBand="0" w:noVBand="1"/>
      </w:tblPr>
      <w:tblGrid>
        <w:gridCol w:w="1036"/>
        <w:gridCol w:w="1334"/>
        <w:gridCol w:w="6556"/>
      </w:tblGrid>
      <w:tr w:rsidR="006138CB" w:rsidRPr="006138CB" w14:paraId="6F95615C" w14:textId="77777777" w:rsidTr="006138CB">
        <w:trPr>
          <w:trHeight w:val="174"/>
        </w:trPr>
        <w:tc>
          <w:tcPr>
            <w:tcW w:w="1036"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492FC939" w14:textId="77777777" w:rsidR="006138CB" w:rsidRPr="006138CB" w:rsidRDefault="006138CB" w:rsidP="006138CB">
            <w:pPr>
              <w:jc w:val="center"/>
              <w:rPr>
                <w:rFonts w:ascii="Tw Cen MT" w:hAnsi="Tw Cen MT" w:cs="Calibri"/>
                <w:b/>
                <w:bCs/>
                <w:color w:val="FFFFFF"/>
                <w:lang w:eastAsia="fr-FR"/>
              </w:rPr>
            </w:pPr>
            <w:r w:rsidRPr="006138CB">
              <w:rPr>
                <w:rFonts w:ascii="Tw Cen MT" w:hAnsi="Tw Cen MT" w:cs="Calibri"/>
                <w:b/>
                <w:bCs/>
                <w:color w:val="FFFFFF"/>
                <w:lang w:eastAsia="fr-FR"/>
              </w:rPr>
              <w:t>N° Ordre</w:t>
            </w:r>
          </w:p>
        </w:tc>
        <w:tc>
          <w:tcPr>
            <w:tcW w:w="1334" w:type="dxa"/>
            <w:tcBorders>
              <w:top w:val="single" w:sz="4" w:space="0" w:color="auto"/>
              <w:left w:val="nil"/>
              <w:bottom w:val="single" w:sz="4" w:space="0" w:color="auto"/>
              <w:right w:val="single" w:sz="4" w:space="0" w:color="auto"/>
            </w:tcBorders>
            <w:shd w:val="clear" w:color="000000" w:fill="00B0F0"/>
            <w:vAlign w:val="bottom"/>
            <w:hideMark/>
          </w:tcPr>
          <w:p w14:paraId="49477370" w14:textId="77777777" w:rsidR="006138CB" w:rsidRPr="006138CB" w:rsidRDefault="006138CB" w:rsidP="006138CB">
            <w:pPr>
              <w:jc w:val="center"/>
              <w:rPr>
                <w:rFonts w:ascii="Tw Cen MT" w:hAnsi="Tw Cen MT" w:cs="Calibri"/>
                <w:b/>
                <w:bCs/>
                <w:color w:val="FFFFFF"/>
                <w:lang w:eastAsia="fr-FR"/>
              </w:rPr>
            </w:pPr>
            <w:r w:rsidRPr="006138CB">
              <w:rPr>
                <w:rFonts w:ascii="Tw Cen MT" w:hAnsi="Tw Cen MT" w:cs="Calibri"/>
                <w:b/>
                <w:bCs/>
                <w:color w:val="FFFFFF"/>
                <w:lang w:eastAsia="fr-FR"/>
              </w:rPr>
              <w:t>NIF</w:t>
            </w:r>
          </w:p>
        </w:tc>
        <w:tc>
          <w:tcPr>
            <w:tcW w:w="6556" w:type="dxa"/>
            <w:tcBorders>
              <w:top w:val="single" w:sz="4" w:space="0" w:color="auto"/>
              <w:left w:val="nil"/>
              <w:bottom w:val="single" w:sz="4" w:space="0" w:color="auto"/>
              <w:right w:val="single" w:sz="4" w:space="0" w:color="auto"/>
            </w:tcBorders>
            <w:shd w:val="clear" w:color="000000" w:fill="00B0F0"/>
            <w:noWrap/>
            <w:vAlign w:val="bottom"/>
            <w:hideMark/>
          </w:tcPr>
          <w:p w14:paraId="55246076" w14:textId="2E6BBB10" w:rsidR="006138CB" w:rsidRPr="006138CB" w:rsidRDefault="006138CB" w:rsidP="006138CB">
            <w:pPr>
              <w:jc w:val="center"/>
              <w:rPr>
                <w:rFonts w:ascii="Tw Cen MT" w:hAnsi="Tw Cen MT" w:cs="Calibri"/>
                <w:b/>
                <w:bCs/>
                <w:color w:val="FFFFFF"/>
                <w:lang w:eastAsia="fr-FR"/>
              </w:rPr>
            </w:pPr>
            <w:r w:rsidRPr="006138CB">
              <w:rPr>
                <w:rFonts w:ascii="Tw Cen MT" w:hAnsi="Tw Cen MT" w:cs="Calibri"/>
                <w:b/>
                <w:bCs/>
                <w:color w:val="FFFFFF"/>
                <w:lang w:eastAsia="fr-FR"/>
              </w:rPr>
              <w:t>DÉSIGNATIONS</w:t>
            </w:r>
          </w:p>
        </w:tc>
      </w:tr>
      <w:tr w:rsidR="006138CB" w:rsidRPr="00A32D70" w14:paraId="35FD2B4F"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50C50619"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1</w:t>
            </w:r>
          </w:p>
        </w:tc>
        <w:tc>
          <w:tcPr>
            <w:tcW w:w="1334" w:type="dxa"/>
            <w:tcBorders>
              <w:top w:val="nil"/>
              <w:left w:val="nil"/>
              <w:bottom w:val="single" w:sz="4" w:space="0" w:color="auto"/>
              <w:right w:val="single" w:sz="4" w:space="0" w:color="auto"/>
            </w:tcBorders>
            <w:shd w:val="clear" w:color="auto" w:fill="auto"/>
            <w:noWrap/>
            <w:vAlign w:val="bottom"/>
            <w:hideMark/>
          </w:tcPr>
          <w:p w14:paraId="3187DAB4"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082209843Y</w:t>
            </w:r>
          </w:p>
        </w:tc>
        <w:tc>
          <w:tcPr>
            <w:tcW w:w="6556" w:type="dxa"/>
            <w:tcBorders>
              <w:top w:val="nil"/>
              <w:left w:val="nil"/>
              <w:bottom w:val="single" w:sz="4" w:space="0" w:color="auto"/>
              <w:right w:val="single" w:sz="4" w:space="0" w:color="auto"/>
            </w:tcBorders>
            <w:shd w:val="clear" w:color="auto" w:fill="auto"/>
            <w:noWrap/>
            <w:vAlign w:val="bottom"/>
            <w:hideMark/>
          </w:tcPr>
          <w:p w14:paraId="43DDFB44" w14:textId="77777777" w:rsidR="006138CB" w:rsidRPr="006138CB" w:rsidRDefault="006138CB" w:rsidP="006138CB">
            <w:pPr>
              <w:rPr>
                <w:rFonts w:ascii="Tw Cen MT" w:hAnsi="Tw Cen MT" w:cs="Calibri"/>
                <w:color w:val="000000"/>
                <w:lang w:val="en-US" w:eastAsia="fr-FR"/>
              </w:rPr>
            </w:pPr>
            <w:r w:rsidRPr="006138CB">
              <w:rPr>
                <w:rFonts w:ascii="Tw Cen MT" w:hAnsi="Tw Cen MT" w:cs="Calibri"/>
                <w:color w:val="000000"/>
                <w:lang w:val="en-US" w:eastAsia="fr-FR"/>
              </w:rPr>
              <w:t>BOART LONG YEAR MALI S.A</w:t>
            </w:r>
          </w:p>
        </w:tc>
      </w:tr>
      <w:tr w:rsidR="006138CB" w:rsidRPr="006138CB" w14:paraId="29B75E38"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4C7333BD"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2</w:t>
            </w:r>
          </w:p>
        </w:tc>
        <w:tc>
          <w:tcPr>
            <w:tcW w:w="1334" w:type="dxa"/>
            <w:tcBorders>
              <w:top w:val="nil"/>
              <w:left w:val="nil"/>
              <w:bottom w:val="single" w:sz="4" w:space="0" w:color="auto"/>
              <w:right w:val="single" w:sz="4" w:space="0" w:color="auto"/>
            </w:tcBorders>
            <w:shd w:val="clear" w:color="auto" w:fill="auto"/>
            <w:noWrap/>
            <w:vAlign w:val="bottom"/>
            <w:hideMark/>
          </w:tcPr>
          <w:p w14:paraId="7A94C2C8"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082238470W</w:t>
            </w:r>
          </w:p>
        </w:tc>
        <w:tc>
          <w:tcPr>
            <w:tcW w:w="6556" w:type="dxa"/>
            <w:tcBorders>
              <w:top w:val="nil"/>
              <w:left w:val="nil"/>
              <w:bottom w:val="single" w:sz="4" w:space="0" w:color="auto"/>
              <w:right w:val="single" w:sz="4" w:space="0" w:color="auto"/>
            </w:tcBorders>
            <w:shd w:val="clear" w:color="auto" w:fill="auto"/>
            <w:noWrap/>
            <w:vAlign w:val="bottom"/>
            <w:hideMark/>
          </w:tcPr>
          <w:p w14:paraId="38016CCA"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B2GOLD MALI SARL</w:t>
            </w:r>
          </w:p>
        </w:tc>
      </w:tr>
      <w:tr w:rsidR="006138CB" w:rsidRPr="006138CB" w14:paraId="597E3DDD"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7AA66634"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3</w:t>
            </w:r>
          </w:p>
        </w:tc>
        <w:tc>
          <w:tcPr>
            <w:tcW w:w="1334" w:type="dxa"/>
            <w:tcBorders>
              <w:top w:val="nil"/>
              <w:left w:val="nil"/>
              <w:bottom w:val="single" w:sz="4" w:space="0" w:color="auto"/>
              <w:right w:val="single" w:sz="4" w:space="0" w:color="auto"/>
            </w:tcBorders>
            <w:shd w:val="clear" w:color="auto" w:fill="auto"/>
            <w:noWrap/>
            <w:vAlign w:val="bottom"/>
            <w:hideMark/>
          </w:tcPr>
          <w:p w14:paraId="5CABCD41"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082240611K</w:t>
            </w:r>
          </w:p>
        </w:tc>
        <w:tc>
          <w:tcPr>
            <w:tcW w:w="6556" w:type="dxa"/>
            <w:tcBorders>
              <w:top w:val="nil"/>
              <w:left w:val="nil"/>
              <w:bottom w:val="single" w:sz="4" w:space="0" w:color="auto"/>
              <w:right w:val="single" w:sz="4" w:space="0" w:color="auto"/>
            </w:tcBorders>
            <w:shd w:val="clear" w:color="auto" w:fill="auto"/>
            <w:noWrap/>
            <w:vAlign w:val="bottom"/>
            <w:hideMark/>
          </w:tcPr>
          <w:p w14:paraId="45EE13E6"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Z  FOR MINING SARL</w:t>
            </w:r>
          </w:p>
        </w:tc>
      </w:tr>
      <w:tr w:rsidR="006138CB" w:rsidRPr="006138CB" w14:paraId="140E6618"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5B1822EC"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4</w:t>
            </w:r>
          </w:p>
        </w:tc>
        <w:tc>
          <w:tcPr>
            <w:tcW w:w="1334" w:type="dxa"/>
            <w:tcBorders>
              <w:top w:val="nil"/>
              <w:left w:val="nil"/>
              <w:bottom w:val="single" w:sz="4" w:space="0" w:color="auto"/>
              <w:right w:val="single" w:sz="4" w:space="0" w:color="auto"/>
            </w:tcBorders>
            <w:shd w:val="clear" w:color="auto" w:fill="auto"/>
            <w:noWrap/>
            <w:vAlign w:val="bottom"/>
            <w:hideMark/>
          </w:tcPr>
          <w:p w14:paraId="48009731"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083319002R</w:t>
            </w:r>
          </w:p>
        </w:tc>
        <w:tc>
          <w:tcPr>
            <w:tcW w:w="6556" w:type="dxa"/>
            <w:tcBorders>
              <w:top w:val="nil"/>
              <w:left w:val="nil"/>
              <w:bottom w:val="single" w:sz="4" w:space="0" w:color="auto"/>
              <w:right w:val="single" w:sz="4" w:space="0" w:color="auto"/>
            </w:tcBorders>
            <w:shd w:val="clear" w:color="auto" w:fill="auto"/>
            <w:noWrap/>
            <w:vAlign w:val="bottom"/>
            <w:hideMark/>
          </w:tcPr>
          <w:p w14:paraId="59B51C60"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PIECES D'OR MANSA MOUSSASA</w:t>
            </w:r>
          </w:p>
        </w:tc>
      </w:tr>
      <w:tr w:rsidR="006138CB" w:rsidRPr="006138CB" w14:paraId="7E9BFB2F"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076F6AAF"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5</w:t>
            </w:r>
          </w:p>
        </w:tc>
        <w:tc>
          <w:tcPr>
            <w:tcW w:w="1334" w:type="dxa"/>
            <w:tcBorders>
              <w:top w:val="nil"/>
              <w:left w:val="nil"/>
              <w:bottom w:val="single" w:sz="4" w:space="0" w:color="auto"/>
              <w:right w:val="single" w:sz="4" w:space="0" w:color="auto"/>
            </w:tcBorders>
            <w:shd w:val="clear" w:color="auto" w:fill="auto"/>
            <w:noWrap/>
            <w:vAlign w:val="bottom"/>
            <w:hideMark/>
          </w:tcPr>
          <w:p w14:paraId="585C6562"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083334278X</w:t>
            </w:r>
          </w:p>
        </w:tc>
        <w:tc>
          <w:tcPr>
            <w:tcW w:w="6556" w:type="dxa"/>
            <w:tcBorders>
              <w:top w:val="nil"/>
              <w:left w:val="nil"/>
              <w:bottom w:val="single" w:sz="4" w:space="0" w:color="auto"/>
              <w:right w:val="single" w:sz="4" w:space="0" w:color="auto"/>
            </w:tcBorders>
            <w:shd w:val="clear" w:color="auto" w:fill="auto"/>
            <w:noWrap/>
            <w:vAlign w:val="bottom"/>
            <w:hideMark/>
          </w:tcPr>
          <w:p w14:paraId="6BAA4813"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 xml:space="preserve">SKY GOLD - MALI - SARL </w:t>
            </w:r>
          </w:p>
        </w:tc>
      </w:tr>
      <w:tr w:rsidR="006138CB" w:rsidRPr="006138CB" w14:paraId="5DA7067B"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410024B3"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6</w:t>
            </w:r>
          </w:p>
        </w:tc>
        <w:tc>
          <w:tcPr>
            <w:tcW w:w="1334" w:type="dxa"/>
            <w:tcBorders>
              <w:top w:val="nil"/>
              <w:left w:val="nil"/>
              <w:bottom w:val="single" w:sz="4" w:space="0" w:color="auto"/>
              <w:right w:val="single" w:sz="4" w:space="0" w:color="auto"/>
            </w:tcBorders>
            <w:shd w:val="clear" w:color="auto" w:fill="auto"/>
            <w:noWrap/>
            <w:vAlign w:val="bottom"/>
            <w:hideMark/>
          </w:tcPr>
          <w:p w14:paraId="3D8CACC9"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084113279G</w:t>
            </w:r>
          </w:p>
        </w:tc>
        <w:tc>
          <w:tcPr>
            <w:tcW w:w="6556" w:type="dxa"/>
            <w:tcBorders>
              <w:top w:val="nil"/>
              <w:left w:val="nil"/>
              <w:bottom w:val="single" w:sz="4" w:space="0" w:color="auto"/>
              <w:right w:val="single" w:sz="4" w:space="0" w:color="auto"/>
            </w:tcBorders>
            <w:shd w:val="clear" w:color="auto" w:fill="auto"/>
            <w:noWrap/>
            <w:vAlign w:val="bottom"/>
            <w:hideMark/>
          </w:tcPr>
          <w:p w14:paraId="58CD78FA"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MINING AND REHANDLING SERVICES</w:t>
            </w:r>
          </w:p>
        </w:tc>
      </w:tr>
      <w:tr w:rsidR="006138CB" w:rsidRPr="006138CB" w14:paraId="4CE5F47A"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6BB07998"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7</w:t>
            </w:r>
          </w:p>
        </w:tc>
        <w:tc>
          <w:tcPr>
            <w:tcW w:w="1334" w:type="dxa"/>
            <w:tcBorders>
              <w:top w:val="nil"/>
              <w:left w:val="nil"/>
              <w:bottom w:val="single" w:sz="4" w:space="0" w:color="auto"/>
              <w:right w:val="single" w:sz="4" w:space="0" w:color="auto"/>
            </w:tcBorders>
            <w:shd w:val="clear" w:color="auto" w:fill="auto"/>
            <w:noWrap/>
            <w:vAlign w:val="bottom"/>
            <w:hideMark/>
          </w:tcPr>
          <w:p w14:paraId="6C359F0C"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085102342X</w:t>
            </w:r>
          </w:p>
        </w:tc>
        <w:tc>
          <w:tcPr>
            <w:tcW w:w="6556" w:type="dxa"/>
            <w:tcBorders>
              <w:top w:val="nil"/>
              <w:left w:val="nil"/>
              <w:bottom w:val="single" w:sz="4" w:space="0" w:color="auto"/>
              <w:right w:val="single" w:sz="4" w:space="0" w:color="auto"/>
            </w:tcBorders>
            <w:shd w:val="clear" w:color="auto" w:fill="auto"/>
            <w:noWrap/>
            <w:vAlign w:val="bottom"/>
            <w:hideMark/>
          </w:tcPr>
          <w:p w14:paraId="60237FAD"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AFRILOG MALI</w:t>
            </w:r>
          </w:p>
        </w:tc>
      </w:tr>
      <w:tr w:rsidR="006138CB" w:rsidRPr="006138CB" w14:paraId="31870C86"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2CE0C3FD"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8</w:t>
            </w:r>
          </w:p>
        </w:tc>
        <w:tc>
          <w:tcPr>
            <w:tcW w:w="1334" w:type="dxa"/>
            <w:tcBorders>
              <w:top w:val="nil"/>
              <w:left w:val="nil"/>
              <w:bottom w:val="single" w:sz="4" w:space="0" w:color="auto"/>
              <w:right w:val="single" w:sz="4" w:space="0" w:color="auto"/>
            </w:tcBorders>
            <w:shd w:val="clear" w:color="auto" w:fill="auto"/>
            <w:noWrap/>
            <w:vAlign w:val="bottom"/>
            <w:hideMark/>
          </w:tcPr>
          <w:p w14:paraId="45CB8851"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086114632M</w:t>
            </w:r>
          </w:p>
        </w:tc>
        <w:tc>
          <w:tcPr>
            <w:tcW w:w="6556" w:type="dxa"/>
            <w:tcBorders>
              <w:top w:val="nil"/>
              <w:left w:val="nil"/>
              <w:bottom w:val="single" w:sz="4" w:space="0" w:color="auto"/>
              <w:right w:val="single" w:sz="4" w:space="0" w:color="auto"/>
            </w:tcBorders>
            <w:shd w:val="clear" w:color="auto" w:fill="auto"/>
            <w:noWrap/>
            <w:vAlign w:val="bottom"/>
            <w:hideMark/>
          </w:tcPr>
          <w:p w14:paraId="2C39693D"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KANKOU MOUSSA</w:t>
            </w:r>
          </w:p>
        </w:tc>
      </w:tr>
      <w:tr w:rsidR="006138CB" w:rsidRPr="006138CB" w14:paraId="0A407F01"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24F82F79"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9</w:t>
            </w:r>
          </w:p>
        </w:tc>
        <w:tc>
          <w:tcPr>
            <w:tcW w:w="1334" w:type="dxa"/>
            <w:tcBorders>
              <w:top w:val="nil"/>
              <w:left w:val="nil"/>
              <w:bottom w:val="single" w:sz="4" w:space="0" w:color="auto"/>
              <w:right w:val="single" w:sz="4" w:space="0" w:color="auto"/>
            </w:tcBorders>
            <w:shd w:val="clear" w:color="auto" w:fill="auto"/>
            <w:noWrap/>
            <w:vAlign w:val="bottom"/>
            <w:hideMark/>
          </w:tcPr>
          <w:p w14:paraId="6041F0AC"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087800260M</w:t>
            </w:r>
          </w:p>
        </w:tc>
        <w:tc>
          <w:tcPr>
            <w:tcW w:w="6556" w:type="dxa"/>
            <w:tcBorders>
              <w:top w:val="nil"/>
              <w:left w:val="nil"/>
              <w:bottom w:val="single" w:sz="4" w:space="0" w:color="auto"/>
              <w:right w:val="single" w:sz="4" w:space="0" w:color="auto"/>
            </w:tcBorders>
            <w:shd w:val="clear" w:color="auto" w:fill="auto"/>
            <w:noWrap/>
            <w:vAlign w:val="bottom"/>
            <w:hideMark/>
          </w:tcPr>
          <w:p w14:paraId="5CBAEDC5"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AFRICAN MININ SUPLY EQUIPEMENT</w:t>
            </w:r>
          </w:p>
        </w:tc>
      </w:tr>
      <w:tr w:rsidR="006138CB" w:rsidRPr="006138CB" w14:paraId="37B27C14"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6754F412"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10</w:t>
            </w:r>
          </w:p>
        </w:tc>
        <w:tc>
          <w:tcPr>
            <w:tcW w:w="1334" w:type="dxa"/>
            <w:tcBorders>
              <w:top w:val="nil"/>
              <w:left w:val="nil"/>
              <w:bottom w:val="single" w:sz="4" w:space="0" w:color="auto"/>
              <w:right w:val="single" w:sz="4" w:space="0" w:color="auto"/>
            </w:tcBorders>
            <w:shd w:val="clear" w:color="auto" w:fill="auto"/>
            <w:noWrap/>
            <w:vAlign w:val="bottom"/>
            <w:hideMark/>
          </w:tcPr>
          <w:p w14:paraId="412444E9"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087800280H</w:t>
            </w:r>
          </w:p>
        </w:tc>
        <w:tc>
          <w:tcPr>
            <w:tcW w:w="6556" w:type="dxa"/>
            <w:tcBorders>
              <w:top w:val="nil"/>
              <w:left w:val="nil"/>
              <w:bottom w:val="single" w:sz="4" w:space="0" w:color="auto"/>
              <w:right w:val="single" w:sz="4" w:space="0" w:color="auto"/>
            </w:tcBorders>
            <w:shd w:val="clear" w:color="auto" w:fill="auto"/>
            <w:noWrap/>
            <w:vAlign w:val="bottom"/>
            <w:hideMark/>
          </w:tcPr>
          <w:p w14:paraId="2774677A"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ANGLOGOLD MALI</w:t>
            </w:r>
          </w:p>
        </w:tc>
      </w:tr>
      <w:tr w:rsidR="006138CB" w:rsidRPr="006138CB" w14:paraId="1A453C0B"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554ECD0D"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11</w:t>
            </w:r>
          </w:p>
        </w:tc>
        <w:tc>
          <w:tcPr>
            <w:tcW w:w="1334" w:type="dxa"/>
            <w:tcBorders>
              <w:top w:val="nil"/>
              <w:left w:val="nil"/>
              <w:bottom w:val="single" w:sz="4" w:space="0" w:color="auto"/>
              <w:right w:val="single" w:sz="4" w:space="0" w:color="auto"/>
            </w:tcBorders>
            <w:shd w:val="clear" w:color="auto" w:fill="auto"/>
            <w:noWrap/>
            <w:vAlign w:val="bottom"/>
            <w:hideMark/>
          </w:tcPr>
          <w:p w14:paraId="4B1D57FE"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087800583T</w:t>
            </w:r>
          </w:p>
        </w:tc>
        <w:tc>
          <w:tcPr>
            <w:tcW w:w="6556" w:type="dxa"/>
            <w:tcBorders>
              <w:top w:val="nil"/>
              <w:left w:val="nil"/>
              <w:bottom w:val="single" w:sz="4" w:space="0" w:color="auto"/>
              <w:right w:val="single" w:sz="4" w:space="0" w:color="auto"/>
            </w:tcBorders>
            <w:shd w:val="clear" w:color="auto" w:fill="auto"/>
            <w:noWrap/>
            <w:vAlign w:val="bottom"/>
            <w:hideMark/>
          </w:tcPr>
          <w:p w14:paraId="3FC5972C"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BULK MINING EXPLOSIVES</w:t>
            </w:r>
          </w:p>
        </w:tc>
      </w:tr>
      <w:tr w:rsidR="006138CB" w:rsidRPr="00A32D70" w14:paraId="73F7592C"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6D1D294A"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12</w:t>
            </w:r>
          </w:p>
        </w:tc>
        <w:tc>
          <w:tcPr>
            <w:tcW w:w="1334" w:type="dxa"/>
            <w:tcBorders>
              <w:top w:val="nil"/>
              <w:left w:val="nil"/>
              <w:bottom w:val="single" w:sz="4" w:space="0" w:color="auto"/>
              <w:right w:val="single" w:sz="4" w:space="0" w:color="auto"/>
            </w:tcBorders>
            <w:shd w:val="clear" w:color="auto" w:fill="auto"/>
            <w:noWrap/>
            <w:vAlign w:val="bottom"/>
            <w:hideMark/>
          </w:tcPr>
          <w:p w14:paraId="12C5FE09"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087800626B</w:t>
            </w:r>
          </w:p>
        </w:tc>
        <w:tc>
          <w:tcPr>
            <w:tcW w:w="6556" w:type="dxa"/>
            <w:tcBorders>
              <w:top w:val="nil"/>
              <w:left w:val="nil"/>
              <w:bottom w:val="single" w:sz="4" w:space="0" w:color="auto"/>
              <w:right w:val="single" w:sz="4" w:space="0" w:color="auto"/>
            </w:tcBorders>
            <w:shd w:val="clear" w:color="auto" w:fill="auto"/>
            <w:noWrap/>
            <w:vAlign w:val="bottom"/>
            <w:hideMark/>
          </w:tcPr>
          <w:p w14:paraId="50AF6660" w14:textId="77777777" w:rsidR="006138CB" w:rsidRPr="006138CB" w:rsidRDefault="006138CB" w:rsidP="006138CB">
            <w:pPr>
              <w:rPr>
                <w:rFonts w:ascii="Tw Cen MT" w:hAnsi="Tw Cen MT" w:cs="Calibri"/>
                <w:color w:val="000000"/>
                <w:lang w:val="en-US" w:eastAsia="fr-FR"/>
              </w:rPr>
            </w:pPr>
            <w:r w:rsidRPr="006138CB">
              <w:rPr>
                <w:rFonts w:ascii="Tw Cen MT" w:hAnsi="Tw Cen MT" w:cs="Calibri"/>
                <w:color w:val="000000"/>
                <w:lang w:val="en-US" w:eastAsia="fr-FR"/>
              </w:rPr>
              <w:t>SANDVIK MINING AND CONSTRUCTION MALI</w:t>
            </w:r>
          </w:p>
        </w:tc>
      </w:tr>
      <w:tr w:rsidR="006138CB" w:rsidRPr="006138CB" w14:paraId="14339715"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7324E731"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13</w:t>
            </w:r>
          </w:p>
        </w:tc>
        <w:tc>
          <w:tcPr>
            <w:tcW w:w="1334" w:type="dxa"/>
            <w:tcBorders>
              <w:top w:val="nil"/>
              <w:left w:val="nil"/>
              <w:bottom w:val="single" w:sz="4" w:space="0" w:color="auto"/>
              <w:right w:val="single" w:sz="4" w:space="0" w:color="auto"/>
            </w:tcBorders>
            <w:shd w:val="clear" w:color="auto" w:fill="auto"/>
            <w:noWrap/>
            <w:vAlign w:val="bottom"/>
            <w:hideMark/>
          </w:tcPr>
          <w:p w14:paraId="69C62687"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087800645J</w:t>
            </w:r>
          </w:p>
        </w:tc>
        <w:tc>
          <w:tcPr>
            <w:tcW w:w="6556" w:type="dxa"/>
            <w:tcBorders>
              <w:top w:val="nil"/>
              <w:left w:val="nil"/>
              <w:bottom w:val="single" w:sz="4" w:space="0" w:color="auto"/>
              <w:right w:val="single" w:sz="4" w:space="0" w:color="auto"/>
            </w:tcBorders>
            <w:shd w:val="clear" w:color="auto" w:fill="auto"/>
            <w:noWrap/>
            <w:vAlign w:val="bottom"/>
            <w:hideMark/>
          </w:tcPr>
          <w:p w14:paraId="71C10040"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AFRICAN MINING SERVICES SARL</w:t>
            </w:r>
          </w:p>
        </w:tc>
      </w:tr>
      <w:tr w:rsidR="006138CB" w:rsidRPr="00A32D70" w14:paraId="4E570BF6"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1A37AF9D"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14</w:t>
            </w:r>
          </w:p>
        </w:tc>
        <w:tc>
          <w:tcPr>
            <w:tcW w:w="1334" w:type="dxa"/>
            <w:tcBorders>
              <w:top w:val="nil"/>
              <w:left w:val="nil"/>
              <w:bottom w:val="single" w:sz="4" w:space="0" w:color="auto"/>
              <w:right w:val="single" w:sz="4" w:space="0" w:color="auto"/>
            </w:tcBorders>
            <w:shd w:val="clear" w:color="auto" w:fill="auto"/>
            <w:noWrap/>
            <w:vAlign w:val="bottom"/>
            <w:hideMark/>
          </w:tcPr>
          <w:p w14:paraId="6558C93D"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087800698T</w:t>
            </w:r>
          </w:p>
        </w:tc>
        <w:tc>
          <w:tcPr>
            <w:tcW w:w="6556" w:type="dxa"/>
            <w:tcBorders>
              <w:top w:val="nil"/>
              <w:left w:val="nil"/>
              <w:bottom w:val="single" w:sz="4" w:space="0" w:color="auto"/>
              <w:right w:val="single" w:sz="4" w:space="0" w:color="auto"/>
            </w:tcBorders>
            <w:shd w:val="clear" w:color="auto" w:fill="auto"/>
            <w:noWrap/>
            <w:vAlign w:val="bottom"/>
            <w:hideMark/>
          </w:tcPr>
          <w:p w14:paraId="1A2D13A3" w14:textId="77777777" w:rsidR="006138CB" w:rsidRPr="006138CB" w:rsidRDefault="006138CB" w:rsidP="006138CB">
            <w:pPr>
              <w:rPr>
                <w:rFonts w:ascii="Tw Cen MT" w:hAnsi="Tw Cen MT" w:cs="Calibri"/>
                <w:color w:val="000000"/>
                <w:lang w:val="en-US" w:eastAsia="fr-FR"/>
              </w:rPr>
            </w:pPr>
            <w:r w:rsidRPr="006138CB">
              <w:rPr>
                <w:rFonts w:ascii="Tw Cen MT" w:hAnsi="Tw Cen MT" w:cs="Calibri"/>
                <w:color w:val="000000"/>
                <w:lang w:val="en-US" w:eastAsia="fr-FR"/>
              </w:rPr>
              <w:t>AFRICAN UNDERGROUND MINING SERVICES MALI</w:t>
            </w:r>
          </w:p>
        </w:tc>
      </w:tr>
      <w:tr w:rsidR="006138CB" w:rsidRPr="006138CB" w14:paraId="79EF80F9"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7C72BB99"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15</w:t>
            </w:r>
          </w:p>
        </w:tc>
        <w:tc>
          <w:tcPr>
            <w:tcW w:w="1334" w:type="dxa"/>
            <w:tcBorders>
              <w:top w:val="nil"/>
              <w:left w:val="nil"/>
              <w:bottom w:val="single" w:sz="4" w:space="0" w:color="auto"/>
              <w:right w:val="single" w:sz="4" w:space="0" w:color="auto"/>
            </w:tcBorders>
            <w:shd w:val="clear" w:color="auto" w:fill="auto"/>
            <w:noWrap/>
            <w:vAlign w:val="bottom"/>
            <w:hideMark/>
          </w:tcPr>
          <w:p w14:paraId="5893D79D"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087800730C</w:t>
            </w:r>
          </w:p>
        </w:tc>
        <w:tc>
          <w:tcPr>
            <w:tcW w:w="6556" w:type="dxa"/>
            <w:tcBorders>
              <w:top w:val="nil"/>
              <w:left w:val="nil"/>
              <w:bottom w:val="single" w:sz="4" w:space="0" w:color="auto"/>
              <w:right w:val="single" w:sz="4" w:space="0" w:color="auto"/>
            </w:tcBorders>
            <w:shd w:val="clear" w:color="auto" w:fill="auto"/>
            <w:noWrap/>
            <w:vAlign w:val="bottom"/>
            <w:hideMark/>
          </w:tcPr>
          <w:p w14:paraId="3AC385C4"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GOUNKOTO MINING SERVICES SA</w:t>
            </w:r>
          </w:p>
        </w:tc>
      </w:tr>
      <w:tr w:rsidR="006138CB" w:rsidRPr="006138CB" w14:paraId="2891ECCC"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7433C950"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16</w:t>
            </w:r>
          </w:p>
        </w:tc>
        <w:tc>
          <w:tcPr>
            <w:tcW w:w="1334" w:type="dxa"/>
            <w:tcBorders>
              <w:top w:val="nil"/>
              <w:left w:val="nil"/>
              <w:bottom w:val="single" w:sz="4" w:space="0" w:color="auto"/>
              <w:right w:val="single" w:sz="4" w:space="0" w:color="auto"/>
            </w:tcBorders>
            <w:shd w:val="clear" w:color="auto" w:fill="auto"/>
            <w:noWrap/>
            <w:vAlign w:val="bottom"/>
            <w:hideMark/>
          </w:tcPr>
          <w:p w14:paraId="01BF01D2"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087800742J</w:t>
            </w:r>
          </w:p>
        </w:tc>
        <w:tc>
          <w:tcPr>
            <w:tcW w:w="6556" w:type="dxa"/>
            <w:tcBorders>
              <w:top w:val="nil"/>
              <w:left w:val="nil"/>
              <w:bottom w:val="single" w:sz="4" w:space="0" w:color="auto"/>
              <w:right w:val="single" w:sz="4" w:space="0" w:color="auto"/>
            </w:tcBorders>
            <w:shd w:val="clear" w:color="auto" w:fill="auto"/>
            <w:noWrap/>
            <w:vAlign w:val="bottom"/>
            <w:hideMark/>
          </w:tcPr>
          <w:p w14:paraId="17B57D3B"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TAURUS GOLD MALI SA</w:t>
            </w:r>
          </w:p>
        </w:tc>
      </w:tr>
      <w:tr w:rsidR="006138CB" w:rsidRPr="006138CB" w14:paraId="41137C9E"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0136069C"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17</w:t>
            </w:r>
          </w:p>
        </w:tc>
        <w:tc>
          <w:tcPr>
            <w:tcW w:w="1334" w:type="dxa"/>
            <w:tcBorders>
              <w:top w:val="nil"/>
              <w:left w:val="nil"/>
              <w:bottom w:val="single" w:sz="4" w:space="0" w:color="auto"/>
              <w:right w:val="single" w:sz="4" w:space="0" w:color="auto"/>
            </w:tcBorders>
            <w:shd w:val="clear" w:color="auto" w:fill="auto"/>
            <w:noWrap/>
            <w:vAlign w:val="bottom"/>
            <w:hideMark/>
          </w:tcPr>
          <w:p w14:paraId="10A84081"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087800831X</w:t>
            </w:r>
          </w:p>
        </w:tc>
        <w:tc>
          <w:tcPr>
            <w:tcW w:w="6556" w:type="dxa"/>
            <w:tcBorders>
              <w:top w:val="nil"/>
              <w:left w:val="nil"/>
              <w:bottom w:val="single" w:sz="4" w:space="0" w:color="auto"/>
              <w:right w:val="single" w:sz="4" w:space="0" w:color="auto"/>
            </w:tcBorders>
            <w:shd w:val="clear" w:color="auto" w:fill="auto"/>
            <w:noWrap/>
            <w:vAlign w:val="bottom"/>
            <w:hideMark/>
          </w:tcPr>
          <w:p w14:paraId="21BF4053"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MANDE MINING-SARL</w:t>
            </w:r>
          </w:p>
        </w:tc>
      </w:tr>
      <w:tr w:rsidR="006138CB" w:rsidRPr="006138CB" w14:paraId="5643C8C1"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23A08E08"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18</w:t>
            </w:r>
          </w:p>
        </w:tc>
        <w:tc>
          <w:tcPr>
            <w:tcW w:w="1334" w:type="dxa"/>
            <w:tcBorders>
              <w:top w:val="nil"/>
              <w:left w:val="nil"/>
              <w:bottom w:val="single" w:sz="4" w:space="0" w:color="auto"/>
              <w:right w:val="single" w:sz="4" w:space="0" w:color="auto"/>
            </w:tcBorders>
            <w:shd w:val="clear" w:color="auto" w:fill="auto"/>
            <w:noWrap/>
            <w:vAlign w:val="bottom"/>
            <w:hideMark/>
          </w:tcPr>
          <w:p w14:paraId="617595C8"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087800874W</w:t>
            </w:r>
          </w:p>
        </w:tc>
        <w:tc>
          <w:tcPr>
            <w:tcW w:w="6556" w:type="dxa"/>
            <w:tcBorders>
              <w:top w:val="nil"/>
              <w:left w:val="nil"/>
              <w:bottom w:val="single" w:sz="4" w:space="0" w:color="auto"/>
              <w:right w:val="single" w:sz="4" w:space="0" w:color="auto"/>
            </w:tcBorders>
            <w:shd w:val="clear" w:color="auto" w:fill="auto"/>
            <w:noWrap/>
            <w:vAlign w:val="bottom"/>
            <w:hideMark/>
          </w:tcPr>
          <w:p w14:paraId="7700016E"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MALIAN MINING SUBCON COMPANY</w:t>
            </w:r>
          </w:p>
        </w:tc>
      </w:tr>
      <w:tr w:rsidR="006138CB" w:rsidRPr="006138CB" w14:paraId="58C04DAD"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01796E42"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19</w:t>
            </w:r>
          </w:p>
        </w:tc>
        <w:tc>
          <w:tcPr>
            <w:tcW w:w="1334" w:type="dxa"/>
            <w:tcBorders>
              <w:top w:val="nil"/>
              <w:left w:val="nil"/>
              <w:bottom w:val="single" w:sz="4" w:space="0" w:color="auto"/>
              <w:right w:val="single" w:sz="4" w:space="0" w:color="auto"/>
            </w:tcBorders>
            <w:shd w:val="clear" w:color="auto" w:fill="auto"/>
            <w:noWrap/>
            <w:vAlign w:val="bottom"/>
            <w:hideMark/>
          </w:tcPr>
          <w:p w14:paraId="2A877ACC"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087800879C</w:t>
            </w:r>
          </w:p>
        </w:tc>
        <w:tc>
          <w:tcPr>
            <w:tcW w:w="6556" w:type="dxa"/>
            <w:tcBorders>
              <w:top w:val="nil"/>
              <w:left w:val="nil"/>
              <w:bottom w:val="single" w:sz="4" w:space="0" w:color="auto"/>
              <w:right w:val="single" w:sz="4" w:space="0" w:color="auto"/>
            </w:tcBorders>
            <w:shd w:val="clear" w:color="auto" w:fill="auto"/>
            <w:noWrap/>
            <w:vAlign w:val="bottom"/>
            <w:hideMark/>
          </w:tcPr>
          <w:p w14:paraId="2A7EAD04"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 xml:space="preserve">WASSA MINING SARL </w:t>
            </w:r>
          </w:p>
        </w:tc>
      </w:tr>
      <w:tr w:rsidR="006138CB" w:rsidRPr="00A32D70" w14:paraId="5CA78A33"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6470D886"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20</w:t>
            </w:r>
          </w:p>
        </w:tc>
        <w:tc>
          <w:tcPr>
            <w:tcW w:w="1334" w:type="dxa"/>
            <w:tcBorders>
              <w:top w:val="nil"/>
              <w:left w:val="nil"/>
              <w:bottom w:val="single" w:sz="4" w:space="0" w:color="auto"/>
              <w:right w:val="single" w:sz="4" w:space="0" w:color="auto"/>
            </w:tcBorders>
            <w:shd w:val="clear" w:color="auto" w:fill="auto"/>
            <w:noWrap/>
            <w:vAlign w:val="bottom"/>
            <w:hideMark/>
          </w:tcPr>
          <w:p w14:paraId="582F79C6"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087800928C</w:t>
            </w:r>
          </w:p>
        </w:tc>
        <w:tc>
          <w:tcPr>
            <w:tcW w:w="6556" w:type="dxa"/>
            <w:tcBorders>
              <w:top w:val="nil"/>
              <w:left w:val="nil"/>
              <w:bottom w:val="single" w:sz="4" w:space="0" w:color="auto"/>
              <w:right w:val="single" w:sz="4" w:space="0" w:color="auto"/>
            </w:tcBorders>
            <w:shd w:val="clear" w:color="auto" w:fill="auto"/>
            <w:noWrap/>
            <w:vAlign w:val="bottom"/>
            <w:hideMark/>
          </w:tcPr>
          <w:p w14:paraId="305F8CC1" w14:textId="77777777" w:rsidR="006138CB" w:rsidRPr="006138CB" w:rsidRDefault="006138CB" w:rsidP="006138CB">
            <w:pPr>
              <w:rPr>
                <w:rFonts w:ascii="Tw Cen MT" w:hAnsi="Tw Cen MT" w:cs="Calibri"/>
                <w:color w:val="000000"/>
                <w:lang w:val="en-US" w:eastAsia="fr-FR"/>
              </w:rPr>
            </w:pPr>
            <w:r w:rsidRPr="006138CB">
              <w:rPr>
                <w:rFonts w:ascii="Tw Cen MT" w:hAnsi="Tw Cen MT" w:cs="Calibri"/>
                <w:color w:val="000000"/>
                <w:lang w:val="en-US" w:eastAsia="fr-FR"/>
              </w:rPr>
              <w:t>M M H MINING  SARL</w:t>
            </w:r>
          </w:p>
        </w:tc>
      </w:tr>
      <w:tr w:rsidR="006138CB" w:rsidRPr="00A32D70" w14:paraId="1AAE02EF"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226DA850"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21</w:t>
            </w:r>
          </w:p>
        </w:tc>
        <w:tc>
          <w:tcPr>
            <w:tcW w:w="1334" w:type="dxa"/>
            <w:tcBorders>
              <w:top w:val="nil"/>
              <w:left w:val="nil"/>
              <w:bottom w:val="single" w:sz="4" w:space="0" w:color="auto"/>
              <w:right w:val="single" w:sz="4" w:space="0" w:color="auto"/>
            </w:tcBorders>
            <w:shd w:val="clear" w:color="auto" w:fill="auto"/>
            <w:noWrap/>
            <w:vAlign w:val="bottom"/>
            <w:hideMark/>
          </w:tcPr>
          <w:p w14:paraId="63DEBA1C"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011000449G</w:t>
            </w:r>
          </w:p>
        </w:tc>
        <w:tc>
          <w:tcPr>
            <w:tcW w:w="6556" w:type="dxa"/>
            <w:tcBorders>
              <w:top w:val="nil"/>
              <w:left w:val="nil"/>
              <w:bottom w:val="single" w:sz="4" w:space="0" w:color="auto"/>
              <w:right w:val="single" w:sz="4" w:space="0" w:color="auto"/>
            </w:tcBorders>
            <w:shd w:val="clear" w:color="auto" w:fill="auto"/>
            <w:vAlign w:val="bottom"/>
            <w:hideMark/>
          </w:tcPr>
          <w:p w14:paraId="7296B516" w14:textId="77777777" w:rsidR="006138CB" w:rsidRPr="006138CB" w:rsidRDefault="006138CB" w:rsidP="006138CB">
            <w:pPr>
              <w:rPr>
                <w:rFonts w:ascii="Tw Cen MT" w:hAnsi="Tw Cen MT" w:cs="Calibri"/>
                <w:color w:val="000000"/>
                <w:lang w:val="en-US" w:eastAsia="fr-FR"/>
              </w:rPr>
            </w:pPr>
            <w:r w:rsidRPr="006138CB">
              <w:rPr>
                <w:rFonts w:ascii="Tw Cen MT" w:hAnsi="Tw Cen MT" w:cs="Calibri"/>
                <w:color w:val="000000"/>
                <w:lang w:val="en-US" w:eastAsia="fr-FR"/>
              </w:rPr>
              <w:t>S G S MALI SARLU</w:t>
            </w:r>
          </w:p>
        </w:tc>
      </w:tr>
      <w:tr w:rsidR="006138CB" w:rsidRPr="006138CB" w14:paraId="5981915F"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20B33AB5"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22</w:t>
            </w:r>
          </w:p>
        </w:tc>
        <w:tc>
          <w:tcPr>
            <w:tcW w:w="1334" w:type="dxa"/>
            <w:tcBorders>
              <w:top w:val="nil"/>
              <w:left w:val="nil"/>
              <w:bottom w:val="single" w:sz="4" w:space="0" w:color="auto"/>
              <w:right w:val="single" w:sz="4" w:space="0" w:color="auto"/>
            </w:tcBorders>
            <w:shd w:val="clear" w:color="auto" w:fill="auto"/>
            <w:noWrap/>
            <w:vAlign w:val="bottom"/>
            <w:hideMark/>
          </w:tcPr>
          <w:p w14:paraId="16DFE7DB"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082203924D</w:t>
            </w:r>
          </w:p>
        </w:tc>
        <w:tc>
          <w:tcPr>
            <w:tcW w:w="6556" w:type="dxa"/>
            <w:tcBorders>
              <w:top w:val="nil"/>
              <w:left w:val="nil"/>
              <w:bottom w:val="single" w:sz="4" w:space="0" w:color="auto"/>
              <w:right w:val="single" w:sz="4" w:space="0" w:color="auto"/>
            </w:tcBorders>
            <w:shd w:val="clear" w:color="auto" w:fill="auto"/>
            <w:noWrap/>
            <w:vAlign w:val="bottom"/>
            <w:hideMark/>
          </w:tcPr>
          <w:p w14:paraId="26CE7595"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AECI  MALI SARL</w:t>
            </w:r>
            <w:r w:rsidRPr="006138CB">
              <w:rPr>
                <w:rFonts w:ascii="Tw Cen MT" w:hAnsi="Tw Cen MT" w:cs="Calibri"/>
                <w:color w:val="000000"/>
                <w:lang w:eastAsia="fr-FR"/>
              </w:rPr>
              <w:br/>
              <w:t>MALI</w:t>
            </w:r>
          </w:p>
        </w:tc>
      </w:tr>
      <w:tr w:rsidR="006138CB" w:rsidRPr="006138CB" w14:paraId="416DA06A"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5AB2C4D9"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23</w:t>
            </w:r>
          </w:p>
        </w:tc>
        <w:tc>
          <w:tcPr>
            <w:tcW w:w="1334" w:type="dxa"/>
            <w:tcBorders>
              <w:top w:val="nil"/>
              <w:left w:val="nil"/>
              <w:bottom w:val="single" w:sz="4" w:space="0" w:color="auto"/>
              <w:right w:val="single" w:sz="4" w:space="0" w:color="auto"/>
            </w:tcBorders>
            <w:shd w:val="clear" w:color="auto" w:fill="auto"/>
            <w:noWrap/>
            <w:vAlign w:val="bottom"/>
            <w:hideMark/>
          </w:tcPr>
          <w:p w14:paraId="1736A2C9"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082211539B</w:t>
            </w:r>
          </w:p>
        </w:tc>
        <w:tc>
          <w:tcPr>
            <w:tcW w:w="6556" w:type="dxa"/>
            <w:tcBorders>
              <w:top w:val="nil"/>
              <w:left w:val="nil"/>
              <w:bottom w:val="single" w:sz="4" w:space="0" w:color="auto"/>
              <w:right w:val="single" w:sz="4" w:space="0" w:color="auto"/>
            </w:tcBorders>
            <w:shd w:val="clear" w:color="auto" w:fill="auto"/>
            <w:vAlign w:val="bottom"/>
            <w:hideMark/>
          </w:tcPr>
          <w:p w14:paraId="260FA65A"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MAXAM-MALI SARL</w:t>
            </w:r>
          </w:p>
        </w:tc>
      </w:tr>
      <w:tr w:rsidR="006138CB" w:rsidRPr="006138CB" w14:paraId="691C7C40"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25AFD48E"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24</w:t>
            </w:r>
          </w:p>
        </w:tc>
        <w:tc>
          <w:tcPr>
            <w:tcW w:w="1334" w:type="dxa"/>
            <w:tcBorders>
              <w:top w:val="nil"/>
              <w:left w:val="nil"/>
              <w:bottom w:val="single" w:sz="4" w:space="0" w:color="auto"/>
              <w:right w:val="single" w:sz="4" w:space="0" w:color="auto"/>
            </w:tcBorders>
            <w:shd w:val="clear" w:color="auto" w:fill="auto"/>
            <w:noWrap/>
            <w:vAlign w:val="bottom"/>
            <w:hideMark/>
          </w:tcPr>
          <w:p w14:paraId="657A2174"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087800064P</w:t>
            </w:r>
          </w:p>
        </w:tc>
        <w:tc>
          <w:tcPr>
            <w:tcW w:w="6556" w:type="dxa"/>
            <w:tcBorders>
              <w:top w:val="nil"/>
              <w:left w:val="nil"/>
              <w:bottom w:val="single" w:sz="4" w:space="0" w:color="auto"/>
              <w:right w:val="single" w:sz="4" w:space="0" w:color="auto"/>
            </w:tcBorders>
            <w:shd w:val="clear" w:color="auto" w:fill="auto"/>
            <w:noWrap/>
            <w:vAlign w:val="bottom"/>
            <w:hideMark/>
          </w:tcPr>
          <w:p w14:paraId="19623F20" w14:textId="440D9075"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MANUTENTION AFRICAINE</w:t>
            </w:r>
          </w:p>
        </w:tc>
      </w:tr>
      <w:tr w:rsidR="006138CB" w:rsidRPr="006138CB" w14:paraId="257E77B5"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04D783FD"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25</w:t>
            </w:r>
          </w:p>
        </w:tc>
        <w:tc>
          <w:tcPr>
            <w:tcW w:w="1334" w:type="dxa"/>
            <w:tcBorders>
              <w:top w:val="nil"/>
              <w:left w:val="nil"/>
              <w:bottom w:val="single" w:sz="4" w:space="0" w:color="auto"/>
              <w:right w:val="single" w:sz="4" w:space="0" w:color="auto"/>
            </w:tcBorders>
            <w:shd w:val="clear" w:color="auto" w:fill="auto"/>
            <w:noWrap/>
            <w:vAlign w:val="bottom"/>
            <w:hideMark/>
          </w:tcPr>
          <w:p w14:paraId="5AEF2121"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087800176G</w:t>
            </w:r>
          </w:p>
        </w:tc>
        <w:tc>
          <w:tcPr>
            <w:tcW w:w="6556" w:type="dxa"/>
            <w:tcBorders>
              <w:top w:val="nil"/>
              <w:left w:val="nil"/>
              <w:bottom w:val="single" w:sz="4" w:space="0" w:color="auto"/>
              <w:right w:val="single" w:sz="4" w:space="0" w:color="auto"/>
            </w:tcBorders>
            <w:shd w:val="clear" w:color="auto" w:fill="auto"/>
            <w:noWrap/>
            <w:vAlign w:val="bottom"/>
            <w:hideMark/>
          </w:tcPr>
          <w:p w14:paraId="22D6CCE0" w14:textId="6D8CE465"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LTA - MALI S</w:t>
            </w:r>
            <w:r w:rsidR="00720B63">
              <w:rPr>
                <w:rFonts w:ascii="Tw Cen MT" w:hAnsi="Tw Cen MT" w:cs="Calibri"/>
                <w:color w:val="000000"/>
                <w:lang w:eastAsia="fr-FR"/>
              </w:rPr>
              <w:t>A</w:t>
            </w:r>
          </w:p>
        </w:tc>
      </w:tr>
      <w:tr w:rsidR="006138CB" w:rsidRPr="006138CB" w14:paraId="735F6E08"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7FC3156B"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26</w:t>
            </w:r>
          </w:p>
        </w:tc>
        <w:tc>
          <w:tcPr>
            <w:tcW w:w="1334" w:type="dxa"/>
            <w:tcBorders>
              <w:top w:val="nil"/>
              <w:left w:val="nil"/>
              <w:bottom w:val="single" w:sz="4" w:space="0" w:color="auto"/>
              <w:right w:val="single" w:sz="4" w:space="0" w:color="auto"/>
            </w:tcBorders>
            <w:shd w:val="clear" w:color="auto" w:fill="auto"/>
            <w:noWrap/>
            <w:vAlign w:val="bottom"/>
            <w:hideMark/>
          </w:tcPr>
          <w:p w14:paraId="7A19B2B0"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087800593D</w:t>
            </w:r>
          </w:p>
        </w:tc>
        <w:tc>
          <w:tcPr>
            <w:tcW w:w="6556" w:type="dxa"/>
            <w:tcBorders>
              <w:top w:val="nil"/>
              <w:left w:val="nil"/>
              <w:bottom w:val="single" w:sz="4" w:space="0" w:color="auto"/>
              <w:right w:val="single" w:sz="4" w:space="0" w:color="auto"/>
            </w:tcBorders>
            <w:shd w:val="clear" w:color="auto" w:fill="auto"/>
            <w:noWrap/>
            <w:vAlign w:val="bottom"/>
            <w:hideMark/>
          </w:tcPr>
          <w:p w14:paraId="46E8FDDA" w14:textId="7C8B19D4"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GROUPE DE LABO ALS MALI (ABILAB)</w:t>
            </w:r>
          </w:p>
        </w:tc>
      </w:tr>
      <w:tr w:rsidR="006138CB" w:rsidRPr="006138CB" w14:paraId="30AF96D4"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2F0D20F1"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27</w:t>
            </w:r>
          </w:p>
        </w:tc>
        <w:tc>
          <w:tcPr>
            <w:tcW w:w="1334" w:type="dxa"/>
            <w:tcBorders>
              <w:top w:val="nil"/>
              <w:left w:val="nil"/>
              <w:bottom w:val="single" w:sz="4" w:space="0" w:color="auto"/>
              <w:right w:val="single" w:sz="4" w:space="0" w:color="auto"/>
            </w:tcBorders>
            <w:shd w:val="clear" w:color="auto" w:fill="auto"/>
            <w:noWrap/>
            <w:vAlign w:val="bottom"/>
            <w:hideMark/>
          </w:tcPr>
          <w:p w14:paraId="25B59718"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087800604H</w:t>
            </w:r>
          </w:p>
        </w:tc>
        <w:tc>
          <w:tcPr>
            <w:tcW w:w="6556" w:type="dxa"/>
            <w:tcBorders>
              <w:top w:val="nil"/>
              <w:left w:val="nil"/>
              <w:bottom w:val="single" w:sz="4" w:space="0" w:color="auto"/>
              <w:right w:val="single" w:sz="4" w:space="0" w:color="auto"/>
            </w:tcBorders>
            <w:shd w:val="clear" w:color="auto" w:fill="auto"/>
            <w:vAlign w:val="bottom"/>
            <w:hideMark/>
          </w:tcPr>
          <w:p w14:paraId="42722984"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BULL MALI</w:t>
            </w:r>
          </w:p>
        </w:tc>
      </w:tr>
      <w:tr w:rsidR="006138CB" w:rsidRPr="006138CB" w14:paraId="50311065"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5B3A0FBE"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28</w:t>
            </w:r>
          </w:p>
        </w:tc>
        <w:tc>
          <w:tcPr>
            <w:tcW w:w="1334" w:type="dxa"/>
            <w:tcBorders>
              <w:top w:val="nil"/>
              <w:left w:val="nil"/>
              <w:bottom w:val="single" w:sz="4" w:space="0" w:color="auto"/>
              <w:right w:val="single" w:sz="4" w:space="0" w:color="auto"/>
            </w:tcBorders>
            <w:shd w:val="clear" w:color="auto" w:fill="auto"/>
            <w:noWrap/>
            <w:vAlign w:val="bottom"/>
            <w:hideMark/>
          </w:tcPr>
          <w:p w14:paraId="5D7AC5DC"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087800715M</w:t>
            </w:r>
          </w:p>
        </w:tc>
        <w:tc>
          <w:tcPr>
            <w:tcW w:w="6556" w:type="dxa"/>
            <w:tcBorders>
              <w:top w:val="nil"/>
              <w:left w:val="nil"/>
              <w:bottom w:val="single" w:sz="4" w:space="0" w:color="auto"/>
              <w:right w:val="single" w:sz="4" w:space="0" w:color="auto"/>
            </w:tcBorders>
            <w:shd w:val="clear" w:color="auto" w:fill="auto"/>
            <w:noWrap/>
            <w:vAlign w:val="bottom"/>
            <w:hideMark/>
          </w:tcPr>
          <w:p w14:paraId="4A0580F5" w14:textId="35273AE8" w:rsidR="006138CB" w:rsidRPr="006138CB" w:rsidRDefault="006138CB" w:rsidP="006138CB">
            <w:pPr>
              <w:rPr>
                <w:rFonts w:ascii="Tw Cen MT" w:hAnsi="Tw Cen MT" w:cs="Calibri"/>
                <w:color w:val="000000"/>
                <w:lang w:val="en-US" w:eastAsia="fr-FR"/>
              </w:rPr>
            </w:pPr>
            <w:r w:rsidRPr="006138CB">
              <w:rPr>
                <w:rFonts w:ascii="Tw Cen MT" w:hAnsi="Tw Cen MT" w:cs="Calibri"/>
                <w:color w:val="000000"/>
                <w:lang w:val="en-US" w:eastAsia="fr-FR"/>
              </w:rPr>
              <w:t>BYRNECUT MALI SARL</w:t>
            </w:r>
          </w:p>
        </w:tc>
      </w:tr>
      <w:tr w:rsidR="006138CB" w:rsidRPr="006138CB" w14:paraId="7564EAD3"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054EC0EC"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29</w:t>
            </w:r>
          </w:p>
        </w:tc>
        <w:tc>
          <w:tcPr>
            <w:tcW w:w="1334" w:type="dxa"/>
            <w:tcBorders>
              <w:top w:val="nil"/>
              <w:left w:val="nil"/>
              <w:bottom w:val="single" w:sz="4" w:space="0" w:color="auto"/>
              <w:right w:val="single" w:sz="4" w:space="0" w:color="auto"/>
            </w:tcBorders>
            <w:shd w:val="clear" w:color="auto" w:fill="auto"/>
            <w:noWrap/>
            <w:vAlign w:val="bottom"/>
            <w:hideMark/>
          </w:tcPr>
          <w:p w14:paraId="394BC320"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087800754R</w:t>
            </w:r>
          </w:p>
        </w:tc>
        <w:tc>
          <w:tcPr>
            <w:tcW w:w="6556" w:type="dxa"/>
            <w:tcBorders>
              <w:top w:val="nil"/>
              <w:left w:val="nil"/>
              <w:bottom w:val="single" w:sz="4" w:space="0" w:color="auto"/>
              <w:right w:val="single" w:sz="4" w:space="0" w:color="auto"/>
            </w:tcBorders>
            <w:shd w:val="clear" w:color="auto" w:fill="auto"/>
            <w:vAlign w:val="bottom"/>
            <w:hideMark/>
          </w:tcPr>
          <w:p w14:paraId="2A896E9B"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INTER MINING SERVICES</w:t>
            </w:r>
          </w:p>
        </w:tc>
      </w:tr>
      <w:tr w:rsidR="006138CB" w:rsidRPr="006138CB" w14:paraId="3407397B"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3B919B89"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30</w:t>
            </w:r>
          </w:p>
        </w:tc>
        <w:tc>
          <w:tcPr>
            <w:tcW w:w="1334" w:type="dxa"/>
            <w:tcBorders>
              <w:top w:val="nil"/>
              <w:left w:val="nil"/>
              <w:bottom w:val="single" w:sz="4" w:space="0" w:color="auto"/>
              <w:right w:val="single" w:sz="4" w:space="0" w:color="auto"/>
            </w:tcBorders>
            <w:shd w:val="clear" w:color="auto" w:fill="auto"/>
            <w:noWrap/>
            <w:vAlign w:val="bottom"/>
            <w:hideMark/>
          </w:tcPr>
          <w:p w14:paraId="5C08AC69"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011001501T</w:t>
            </w:r>
          </w:p>
        </w:tc>
        <w:tc>
          <w:tcPr>
            <w:tcW w:w="6556" w:type="dxa"/>
            <w:tcBorders>
              <w:top w:val="nil"/>
              <w:left w:val="nil"/>
              <w:bottom w:val="single" w:sz="4" w:space="0" w:color="auto"/>
              <w:right w:val="single" w:sz="4" w:space="0" w:color="auto"/>
            </w:tcBorders>
            <w:shd w:val="clear" w:color="auto" w:fill="auto"/>
            <w:noWrap/>
            <w:vAlign w:val="bottom"/>
            <w:hideMark/>
          </w:tcPr>
          <w:p w14:paraId="53CB2996"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STE DE FORAGE ET DE TRAVAUX PUBLIC</w:t>
            </w:r>
          </w:p>
        </w:tc>
      </w:tr>
      <w:tr w:rsidR="006138CB" w:rsidRPr="006138CB" w14:paraId="5CACFED4"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1435034C"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31</w:t>
            </w:r>
          </w:p>
        </w:tc>
        <w:tc>
          <w:tcPr>
            <w:tcW w:w="1334" w:type="dxa"/>
            <w:tcBorders>
              <w:top w:val="nil"/>
              <w:left w:val="nil"/>
              <w:bottom w:val="single" w:sz="4" w:space="0" w:color="auto"/>
              <w:right w:val="single" w:sz="4" w:space="0" w:color="auto"/>
            </w:tcBorders>
            <w:shd w:val="clear" w:color="auto" w:fill="auto"/>
            <w:noWrap/>
            <w:vAlign w:val="bottom"/>
            <w:hideMark/>
          </w:tcPr>
          <w:p w14:paraId="50CC2565"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082100217M</w:t>
            </w:r>
          </w:p>
        </w:tc>
        <w:tc>
          <w:tcPr>
            <w:tcW w:w="6556" w:type="dxa"/>
            <w:tcBorders>
              <w:top w:val="nil"/>
              <w:left w:val="nil"/>
              <w:bottom w:val="single" w:sz="4" w:space="0" w:color="auto"/>
              <w:right w:val="single" w:sz="4" w:space="0" w:color="auto"/>
            </w:tcBorders>
            <w:shd w:val="clear" w:color="auto" w:fill="auto"/>
            <w:noWrap/>
            <w:vAlign w:val="bottom"/>
            <w:hideMark/>
          </w:tcPr>
          <w:p w14:paraId="42C362AA" w14:textId="1F52776A"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SOCIETE MALIENNE DE PRODUITS DIVER</w:t>
            </w:r>
            <w:r w:rsidR="00267D1D">
              <w:rPr>
                <w:rFonts w:ascii="Tw Cen MT" w:hAnsi="Tw Cen MT" w:cs="Calibri"/>
                <w:color w:val="000000"/>
                <w:lang w:eastAsia="fr-FR"/>
              </w:rPr>
              <w:t>S</w:t>
            </w:r>
          </w:p>
        </w:tc>
      </w:tr>
      <w:tr w:rsidR="006138CB" w:rsidRPr="006138CB" w14:paraId="293F3659"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73B8FA82"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32</w:t>
            </w:r>
          </w:p>
        </w:tc>
        <w:tc>
          <w:tcPr>
            <w:tcW w:w="1334" w:type="dxa"/>
            <w:tcBorders>
              <w:top w:val="nil"/>
              <w:left w:val="nil"/>
              <w:bottom w:val="single" w:sz="4" w:space="0" w:color="auto"/>
              <w:right w:val="single" w:sz="4" w:space="0" w:color="auto"/>
            </w:tcBorders>
            <w:shd w:val="clear" w:color="auto" w:fill="auto"/>
            <w:noWrap/>
            <w:vAlign w:val="bottom"/>
            <w:hideMark/>
          </w:tcPr>
          <w:p w14:paraId="1A6F31DC"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082103226J</w:t>
            </w:r>
          </w:p>
        </w:tc>
        <w:tc>
          <w:tcPr>
            <w:tcW w:w="6556" w:type="dxa"/>
            <w:tcBorders>
              <w:top w:val="nil"/>
              <w:left w:val="nil"/>
              <w:bottom w:val="single" w:sz="4" w:space="0" w:color="auto"/>
              <w:right w:val="single" w:sz="4" w:space="0" w:color="auto"/>
            </w:tcBorders>
            <w:shd w:val="clear" w:color="auto" w:fill="auto"/>
            <w:noWrap/>
            <w:vAlign w:val="bottom"/>
            <w:hideMark/>
          </w:tcPr>
          <w:p w14:paraId="36D8764D"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FLUICONNECTO MALI SARL</w:t>
            </w:r>
          </w:p>
        </w:tc>
      </w:tr>
      <w:tr w:rsidR="006138CB" w:rsidRPr="006138CB" w14:paraId="6C53020D" w14:textId="77777777" w:rsidTr="006138C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7914CE05" w14:textId="77777777" w:rsidR="006138CB" w:rsidRPr="006138CB" w:rsidRDefault="006138CB" w:rsidP="006138CB">
            <w:pPr>
              <w:jc w:val="center"/>
              <w:rPr>
                <w:rFonts w:ascii="Tw Cen MT" w:hAnsi="Tw Cen MT" w:cs="Calibri"/>
                <w:color w:val="000000"/>
                <w:lang w:eastAsia="fr-FR"/>
              </w:rPr>
            </w:pPr>
            <w:r w:rsidRPr="006138CB">
              <w:rPr>
                <w:rFonts w:ascii="Tw Cen MT" w:hAnsi="Tw Cen MT" w:cs="Calibri"/>
                <w:color w:val="000000"/>
                <w:lang w:eastAsia="fr-FR"/>
              </w:rPr>
              <w:t>33</w:t>
            </w:r>
          </w:p>
        </w:tc>
        <w:tc>
          <w:tcPr>
            <w:tcW w:w="1334" w:type="dxa"/>
            <w:tcBorders>
              <w:top w:val="nil"/>
              <w:left w:val="nil"/>
              <w:bottom w:val="single" w:sz="4" w:space="0" w:color="auto"/>
              <w:right w:val="single" w:sz="4" w:space="0" w:color="auto"/>
            </w:tcBorders>
            <w:shd w:val="clear" w:color="auto" w:fill="auto"/>
            <w:noWrap/>
            <w:vAlign w:val="bottom"/>
            <w:hideMark/>
          </w:tcPr>
          <w:p w14:paraId="2E307FEB"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082201166F</w:t>
            </w:r>
          </w:p>
        </w:tc>
        <w:tc>
          <w:tcPr>
            <w:tcW w:w="6556" w:type="dxa"/>
            <w:tcBorders>
              <w:top w:val="nil"/>
              <w:left w:val="nil"/>
              <w:bottom w:val="single" w:sz="4" w:space="0" w:color="auto"/>
              <w:right w:val="single" w:sz="4" w:space="0" w:color="auto"/>
            </w:tcBorders>
            <w:shd w:val="clear" w:color="auto" w:fill="auto"/>
            <w:vAlign w:val="bottom"/>
            <w:hideMark/>
          </w:tcPr>
          <w:p w14:paraId="15A815A4" w14:textId="77777777" w:rsidR="006138CB" w:rsidRPr="006138CB" w:rsidRDefault="006138CB" w:rsidP="006138CB">
            <w:pPr>
              <w:rPr>
                <w:rFonts w:ascii="Tw Cen MT" w:hAnsi="Tw Cen MT" w:cs="Calibri"/>
                <w:color w:val="000000"/>
                <w:lang w:eastAsia="fr-FR"/>
              </w:rPr>
            </w:pPr>
            <w:r w:rsidRPr="006138CB">
              <w:rPr>
                <w:rFonts w:ascii="Tw Cen MT" w:hAnsi="Tw Cen MT" w:cs="Calibri"/>
                <w:color w:val="000000"/>
                <w:lang w:eastAsia="fr-FR"/>
              </w:rPr>
              <w:t xml:space="preserve">SOCIETE GENERALE DE TRANSIT </w:t>
            </w:r>
          </w:p>
        </w:tc>
      </w:tr>
    </w:tbl>
    <w:p w14:paraId="3D52C0B0" w14:textId="2255B955" w:rsidR="00AB0A2B" w:rsidRDefault="00AB0A2B">
      <w:pPr>
        <w:spacing w:after="160" w:line="259" w:lineRule="auto"/>
        <w:rPr>
          <w:rFonts w:ascii="Tw Cen MT" w:hAnsi="Tw Cen MT"/>
          <w:b/>
          <w:iCs/>
          <w:sz w:val="24"/>
          <w:szCs w:val="24"/>
        </w:rPr>
      </w:pPr>
      <w:r>
        <w:rPr>
          <w:rFonts w:ascii="Tw Cen MT" w:hAnsi="Tw Cen MT"/>
          <w:b/>
          <w:iCs/>
          <w:sz w:val="24"/>
          <w:szCs w:val="24"/>
        </w:rPr>
        <w:br w:type="page"/>
      </w:r>
    </w:p>
    <w:p w14:paraId="2AB6F25C" w14:textId="1D31F369" w:rsidR="00290187" w:rsidRDefault="00290187" w:rsidP="00290187">
      <w:pPr>
        <w:spacing w:before="120" w:after="120"/>
        <w:rPr>
          <w:rFonts w:ascii="Tw Cen MT" w:hAnsi="Tw Cen MT"/>
          <w:b/>
          <w:iCs/>
          <w:sz w:val="24"/>
          <w:szCs w:val="24"/>
        </w:rPr>
      </w:pPr>
      <w:r>
        <w:rPr>
          <w:rFonts w:ascii="Tw Cen MT" w:hAnsi="Tw Cen MT"/>
          <w:b/>
          <w:iCs/>
          <w:sz w:val="24"/>
          <w:szCs w:val="24"/>
        </w:rPr>
        <w:lastRenderedPageBreak/>
        <w:t xml:space="preserve">ANNEXE </w:t>
      </w:r>
      <w:r w:rsidR="006138CB">
        <w:rPr>
          <w:rFonts w:ascii="Tw Cen MT" w:hAnsi="Tw Cen MT"/>
          <w:b/>
          <w:iCs/>
          <w:sz w:val="24"/>
          <w:szCs w:val="24"/>
        </w:rPr>
        <w:t>5</w:t>
      </w:r>
      <w:r>
        <w:rPr>
          <w:rFonts w:ascii="Tw Cen MT" w:hAnsi="Tw Cen MT"/>
          <w:b/>
          <w:iCs/>
          <w:sz w:val="24"/>
          <w:szCs w:val="24"/>
        </w:rPr>
        <w:t> : FORMULAIRE DE DÉCLARATION</w:t>
      </w:r>
    </w:p>
    <w:p w14:paraId="0B512F2E" w14:textId="2FF50CCF" w:rsidR="00290187" w:rsidRDefault="00290187" w:rsidP="00290187">
      <w:pPr>
        <w:spacing w:before="120" w:after="120"/>
        <w:rPr>
          <w:rFonts w:ascii="Tw Cen MT" w:hAnsi="Tw Cen MT"/>
          <w:b/>
          <w:iCs/>
          <w:sz w:val="24"/>
          <w:szCs w:val="24"/>
        </w:rPr>
      </w:pPr>
    </w:p>
    <w:p w14:paraId="66F92096" w14:textId="520944C5" w:rsidR="001E37CB" w:rsidRDefault="001E37CB" w:rsidP="00290187">
      <w:pPr>
        <w:spacing w:before="120" w:after="120"/>
        <w:rPr>
          <w:rFonts w:ascii="Tw Cen MT" w:hAnsi="Tw Cen MT"/>
          <w:b/>
          <w:iCs/>
          <w:sz w:val="24"/>
          <w:szCs w:val="24"/>
        </w:rPr>
      </w:pPr>
    </w:p>
    <w:p w14:paraId="0658A7DA" w14:textId="77777777" w:rsidR="00290187" w:rsidRDefault="00290187">
      <w:pPr>
        <w:spacing w:after="160" w:line="259" w:lineRule="auto"/>
        <w:rPr>
          <w:rFonts w:ascii="Tw Cen MT" w:hAnsi="Tw Cen MT"/>
          <w:b/>
          <w:iCs/>
          <w:sz w:val="24"/>
          <w:szCs w:val="24"/>
        </w:rPr>
      </w:pPr>
      <w:r>
        <w:rPr>
          <w:rFonts w:ascii="Tw Cen MT" w:hAnsi="Tw Cen MT"/>
          <w:b/>
          <w:iCs/>
          <w:sz w:val="24"/>
          <w:szCs w:val="24"/>
        </w:rPr>
        <w:br w:type="page"/>
      </w:r>
    </w:p>
    <w:p w14:paraId="2FD41FB9" w14:textId="1D33E8A5" w:rsidR="00290187" w:rsidRDefault="00290187" w:rsidP="00290187">
      <w:pPr>
        <w:spacing w:before="120" w:after="120"/>
        <w:rPr>
          <w:rFonts w:ascii="Tw Cen MT" w:hAnsi="Tw Cen MT"/>
          <w:b/>
          <w:iCs/>
          <w:sz w:val="24"/>
          <w:szCs w:val="24"/>
        </w:rPr>
      </w:pPr>
      <w:r>
        <w:rPr>
          <w:rFonts w:ascii="Tw Cen MT" w:hAnsi="Tw Cen MT"/>
          <w:b/>
          <w:iCs/>
          <w:sz w:val="24"/>
          <w:szCs w:val="24"/>
        </w:rPr>
        <w:lastRenderedPageBreak/>
        <w:t xml:space="preserve">ANNEXE </w:t>
      </w:r>
      <w:r w:rsidR="003A75AF">
        <w:rPr>
          <w:rFonts w:ascii="Tw Cen MT" w:hAnsi="Tw Cen MT"/>
          <w:b/>
          <w:iCs/>
          <w:sz w:val="24"/>
          <w:szCs w:val="24"/>
        </w:rPr>
        <w:t>6</w:t>
      </w:r>
      <w:r>
        <w:rPr>
          <w:rFonts w:ascii="Tw Cen MT" w:hAnsi="Tw Cen MT"/>
          <w:b/>
          <w:iCs/>
          <w:sz w:val="24"/>
          <w:szCs w:val="24"/>
        </w:rPr>
        <w:t> : GUIDE DE REMPLISSAGE DU FORMULAIRE</w:t>
      </w:r>
    </w:p>
    <w:p w14:paraId="5DB48CAC" w14:textId="77777777" w:rsidR="00290187" w:rsidRDefault="00290187">
      <w:pPr>
        <w:spacing w:after="160" w:line="259" w:lineRule="auto"/>
        <w:rPr>
          <w:rFonts w:ascii="Tw Cen MT" w:hAnsi="Tw Cen MT"/>
          <w:b/>
          <w:iCs/>
          <w:sz w:val="24"/>
          <w:szCs w:val="24"/>
        </w:rPr>
      </w:pPr>
      <w:r>
        <w:rPr>
          <w:rFonts w:ascii="Tw Cen MT" w:hAnsi="Tw Cen MT"/>
          <w:b/>
          <w:iCs/>
          <w:sz w:val="24"/>
          <w:szCs w:val="24"/>
        </w:rPr>
        <w:br w:type="page"/>
      </w:r>
    </w:p>
    <w:p w14:paraId="2B20085C" w14:textId="5EC431D8" w:rsidR="00290187" w:rsidRDefault="00290187" w:rsidP="00290187">
      <w:pPr>
        <w:spacing w:before="120" w:after="120"/>
        <w:rPr>
          <w:rFonts w:ascii="Tw Cen MT" w:hAnsi="Tw Cen MT"/>
          <w:b/>
          <w:iCs/>
          <w:sz w:val="24"/>
          <w:szCs w:val="24"/>
        </w:rPr>
      </w:pPr>
      <w:r>
        <w:rPr>
          <w:rFonts w:ascii="Tw Cen MT" w:hAnsi="Tw Cen MT"/>
          <w:b/>
          <w:iCs/>
          <w:sz w:val="24"/>
          <w:szCs w:val="24"/>
        </w:rPr>
        <w:lastRenderedPageBreak/>
        <w:t xml:space="preserve">ANNEXE </w:t>
      </w:r>
      <w:r w:rsidR="003A75AF">
        <w:rPr>
          <w:rFonts w:ascii="Tw Cen MT" w:hAnsi="Tw Cen MT"/>
          <w:b/>
          <w:iCs/>
          <w:sz w:val="24"/>
          <w:szCs w:val="24"/>
        </w:rPr>
        <w:t>7</w:t>
      </w:r>
      <w:r>
        <w:rPr>
          <w:rFonts w:ascii="Tw Cen MT" w:hAnsi="Tw Cen MT"/>
          <w:b/>
          <w:iCs/>
          <w:sz w:val="24"/>
          <w:szCs w:val="24"/>
        </w:rPr>
        <w:t> : LISTE DE PRÉSENCE A L’ATELIER DE VALIDATION DU FORMULAIRE</w:t>
      </w:r>
    </w:p>
    <w:p w14:paraId="361D50A2" w14:textId="77777777" w:rsidR="00290187" w:rsidRDefault="00290187">
      <w:pPr>
        <w:spacing w:after="160" w:line="259" w:lineRule="auto"/>
        <w:rPr>
          <w:rFonts w:ascii="Tw Cen MT" w:hAnsi="Tw Cen MT"/>
          <w:b/>
          <w:iCs/>
          <w:sz w:val="24"/>
          <w:szCs w:val="24"/>
        </w:rPr>
      </w:pPr>
      <w:r>
        <w:rPr>
          <w:rFonts w:ascii="Tw Cen MT" w:hAnsi="Tw Cen MT"/>
          <w:b/>
          <w:iCs/>
          <w:sz w:val="24"/>
          <w:szCs w:val="24"/>
        </w:rPr>
        <w:br w:type="page"/>
      </w:r>
    </w:p>
    <w:p w14:paraId="1DAB39E9" w14:textId="415F8E65" w:rsidR="00290187" w:rsidRDefault="00290187" w:rsidP="00290187">
      <w:pPr>
        <w:spacing w:before="120" w:after="120"/>
        <w:rPr>
          <w:rFonts w:ascii="Tw Cen MT" w:hAnsi="Tw Cen MT"/>
          <w:b/>
          <w:iCs/>
          <w:sz w:val="24"/>
          <w:szCs w:val="24"/>
        </w:rPr>
      </w:pPr>
      <w:r>
        <w:rPr>
          <w:rFonts w:ascii="Tw Cen MT" w:hAnsi="Tw Cen MT"/>
          <w:b/>
          <w:iCs/>
          <w:sz w:val="24"/>
          <w:szCs w:val="24"/>
        </w:rPr>
        <w:lastRenderedPageBreak/>
        <w:t>ANNEXE 6 : LISTE DE PRÉSENCE À L’ATELIER DE FORMATION SUR LE REMPLISSAGE DU QUESTIONNAIRE</w:t>
      </w:r>
    </w:p>
    <w:p w14:paraId="7C571B39" w14:textId="77777777" w:rsidR="00290187" w:rsidRDefault="00290187" w:rsidP="00290187">
      <w:pPr>
        <w:spacing w:before="120" w:after="120"/>
        <w:rPr>
          <w:rFonts w:ascii="Tw Cen MT" w:hAnsi="Tw Cen MT"/>
          <w:b/>
          <w:iCs/>
          <w:sz w:val="24"/>
          <w:szCs w:val="24"/>
        </w:rPr>
      </w:pPr>
    </w:p>
    <w:p w14:paraId="122C1D28" w14:textId="404846E2" w:rsidR="00290187" w:rsidRPr="00290187" w:rsidRDefault="00290187" w:rsidP="00290187">
      <w:pPr>
        <w:spacing w:before="120" w:after="120"/>
        <w:rPr>
          <w:rFonts w:ascii="Tw Cen MT" w:hAnsi="Tw Cen MT"/>
          <w:b/>
          <w:iCs/>
          <w:sz w:val="24"/>
          <w:szCs w:val="24"/>
        </w:rPr>
      </w:pPr>
    </w:p>
    <w:sectPr w:rsidR="00290187" w:rsidRPr="00290187" w:rsidSect="00AB0A2B">
      <w:pgSz w:w="11906" w:h="16838" w:code="9"/>
      <w:pgMar w:top="1418" w:right="1276"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5F0D" w14:textId="77777777" w:rsidR="004A5DB3" w:rsidRDefault="004A5DB3" w:rsidP="00067772">
      <w:r>
        <w:separator/>
      </w:r>
    </w:p>
  </w:endnote>
  <w:endnote w:type="continuationSeparator" w:id="0">
    <w:p w14:paraId="326A4EC9" w14:textId="77777777" w:rsidR="004A5DB3" w:rsidRDefault="004A5DB3" w:rsidP="0006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charset w:val="80"/>
    <w:family w:val="auto"/>
    <w:pitch w:val="variable"/>
    <w:sig w:usb0="00000000" w:usb1="08070000" w:usb2="01000417" w:usb3="00000000" w:csb0="00020000" w:csb1="00000000"/>
  </w:font>
  <w:font w:name="+mj-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CD0EE" w14:textId="77777777" w:rsidR="001F786B" w:rsidRPr="0050671F" w:rsidRDefault="001F786B" w:rsidP="00FA35BF">
    <w:pPr>
      <w:pStyle w:val="Pieddepage"/>
      <w:jc w:val="right"/>
    </w:pPr>
    <w:r w:rsidRPr="0050671F">
      <w:rPr>
        <w:color w:val="7F7F7F" w:themeColor="background1" w:themeShade="7F"/>
        <w:spacing w:val="60"/>
      </w:rPr>
      <w:t>Page</w:t>
    </w:r>
    <w:r w:rsidRPr="0050671F">
      <w:t xml:space="preserve"> | </w:t>
    </w:r>
    <w:r w:rsidRPr="0050671F">
      <w:fldChar w:fldCharType="begin"/>
    </w:r>
    <w:r w:rsidRPr="0050671F">
      <w:instrText xml:space="preserve"> PAGE   \* MERGEFORMAT </w:instrText>
    </w:r>
    <w:r w:rsidRPr="0050671F">
      <w:fldChar w:fldCharType="separate"/>
    </w:r>
    <w:r w:rsidRPr="000C33C5">
      <w:rPr>
        <w:b/>
        <w:noProof/>
      </w:rPr>
      <w:t>2</w:t>
    </w:r>
    <w:r w:rsidRPr="0050671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EE1A4" w14:textId="2A0631C2" w:rsidR="001F786B" w:rsidRPr="005D4EDB" w:rsidRDefault="005D4EDB" w:rsidP="00FD3CD7">
    <w:pPr>
      <w:pStyle w:val="Pieddepage"/>
      <w:pBdr>
        <w:top w:val="single" w:sz="4" w:space="1" w:color="0070C0"/>
      </w:pBdr>
      <w:tabs>
        <w:tab w:val="left" w:pos="0"/>
        <w:tab w:val="right" w:pos="9100"/>
      </w:tabs>
      <w:rPr>
        <w:rFonts w:ascii="Tw Cen MT" w:hAnsi="Tw Cen MT"/>
        <w:b/>
        <w:bCs/>
        <w:color w:val="00B0F0"/>
        <w:sz w:val="18"/>
        <w:szCs w:val="18"/>
      </w:rPr>
    </w:pPr>
    <w:r w:rsidRPr="005D4EDB">
      <w:rPr>
        <w:rFonts w:ascii="Tw Cen MT" w:hAnsi="Tw Cen MT"/>
        <w:b/>
        <w:color w:val="00B0F0"/>
        <w:sz w:val="18"/>
        <w:szCs w:val="18"/>
      </w:rPr>
      <w:t>Groupement Mazars Sénégal / Pyramis audit et Conseil SARL</w:t>
    </w:r>
    <w:r w:rsidRPr="005D4EDB">
      <w:rPr>
        <w:rFonts w:ascii="Tw Cen MT" w:hAnsi="Tw Cen MT"/>
        <w:b/>
        <w:color w:val="00B0F0"/>
        <w:sz w:val="18"/>
        <w:szCs w:val="18"/>
      </w:rPr>
      <w:tab/>
    </w:r>
    <w:r w:rsidR="001F786B" w:rsidRPr="005D4EDB">
      <w:rPr>
        <w:rFonts w:ascii="Tw Cen MT" w:hAnsi="Tw Cen MT"/>
        <w:b/>
        <w:color w:val="00B0F0"/>
        <w:sz w:val="18"/>
        <w:szCs w:val="18"/>
      </w:rPr>
      <w:t xml:space="preserve">| </w:t>
    </w:r>
    <w:r w:rsidR="001F786B" w:rsidRPr="005D4EDB">
      <w:rPr>
        <w:rFonts w:ascii="Tw Cen MT" w:hAnsi="Tw Cen MT"/>
        <w:b/>
        <w:color w:val="00B0F0"/>
        <w:spacing w:val="60"/>
        <w:sz w:val="18"/>
        <w:szCs w:val="18"/>
        <w:lang w:eastAsia="fr-FR"/>
      </w:rPr>
      <w:t>Page</w:t>
    </w:r>
    <w:r w:rsidR="001F786B" w:rsidRPr="005D4EDB">
      <w:rPr>
        <w:rFonts w:ascii="Tw Cen MT" w:hAnsi="Tw Cen MT"/>
        <w:b/>
        <w:color w:val="00B0F0"/>
        <w:spacing w:val="60"/>
        <w:sz w:val="18"/>
        <w:szCs w:val="18"/>
      </w:rPr>
      <w:t xml:space="preserve"> </w:t>
    </w:r>
    <w:r w:rsidR="001F786B" w:rsidRPr="005D4EDB">
      <w:rPr>
        <w:rFonts w:ascii="Tw Cen MT" w:hAnsi="Tw Cen MT"/>
        <w:b/>
        <w:color w:val="00B0F0"/>
        <w:sz w:val="18"/>
        <w:szCs w:val="18"/>
      </w:rPr>
      <w:fldChar w:fldCharType="begin"/>
    </w:r>
    <w:r w:rsidR="001F786B" w:rsidRPr="005D4EDB">
      <w:rPr>
        <w:rFonts w:ascii="Tw Cen MT" w:hAnsi="Tw Cen MT"/>
        <w:b/>
        <w:color w:val="00B0F0"/>
        <w:sz w:val="18"/>
        <w:szCs w:val="18"/>
      </w:rPr>
      <w:instrText xml:space="preserve"> PAGE   \* MERGEFORMAT </w:instrText>
    </w:r>
    <w:r w:rsidR="001F786B" w:rsidRPr="005D4EDB">
      <w:rPr>
        <w:rFonts w:ascii="Tw Cen MT" w:hAnsi="Tw Cen MT"/>
        <w:b/>
        <w:color w:val="00B0F0"/>
        <w:sz w:val="18"/>
        <w:szCs w:val="18"/>
      </w:rPr>
      <w:fldChar w:fldCharType="separate"/>
    </w:r>
    <w:r w:rsidR="00A32D70">
      <w:rPr>
        <w:rFonts w:ascii="Tw Cen MT" w:hAnsi="Tw Cen MT"/>
        <w:b/>
        <w:noProof/>
        <w:color w:val="00B0F0"/>
        <w:sz w:val="18"/>
        <w:szCs w:val="18"/>
      </w:rPr>
      <w:t>35</w:t>
    </w:r>
    <w:r w:rsidR="001F786B" w:rsidRPr="005D4EDB">
      <w:rPr>
        <w:rFonts w:ascii="Tw Cen MT" w:hAnsi="Tw Cen MT"/>
        <w:b/>
        <w:color w:val="00B0F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29C18" w14:textId="77777777" w:rsidR="004A5DB3" w:rsidRDefault="004A5DB3" w:rsidP="00067772">
      <w:r>
        <w:separator/>
      </w:r>
    </w:p>
  </w:footnote>
  <w:footnote w:type="continuationSeparator" w:id="0">
    <w:p w14:paraId="100899BA" w14:textId="77777777" w:rsidR="004A5DB3" w:rsidRDefault="004A5DB3" w:rsidP="00067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C1629" w14:textId="1CCB7591" w:rsidR="001F786B" w:rsidRPr="003B4772" w:rsidRDefault="005D4EDB" w:rsidP="005D4EDB">
    <w:pPr>
      <w:pBdr>
        <w:bottom w:val="single" w:sz="4" w:space="1" w:color="0070C0"/>
      </w:pBdr>
      <w:jc w:val="right"/>
      <w:rPr>
        <w:rFonts w:ascii="Tw Cen MT" w:hAnsi="Tw Cen MT"/>
        <w:b/>
        <w:bCs/>
        <w:i/>
        <w:iCs/>
        <w:color w:val="00B0F0"/>
        <w:sz w:val="18"/>
        <w:szCs w:val="18"/>
      </w:rPr>
    </w:pPr>
    <w:r>
      <w:rPr>
        <w:rFonts w:ascii="Tw Cen MT" w:hAnsi="Tw Cen MT"/>
        <w:b/>
        <w:bCs/>
        <w:i/>
        <w:iCs/>
        <w:color w:val="00B0F0"/>
        <w:sz w:val="18"/>
        <w:szCs w:val="18"/>
      </w:rPr>
      <w:t>Rapport de cadrage de l’Administrateur Indépendant ITIE 2019</w:t>
    </w:r>
  </w:p>
  <w:p w14:paraId="4302406A" w14:textId="41DA538A" w:rsidR="001F786B" w:rsidRPr="005D4EDB" w:rsidRDefault="005D4EDB" w:rsidP="003155C6">
    <w:pPr>
      <w:pStyle w:val="En-tte"/>
      <w:jc w:val="right"/>
      <w:rPr>
        <w:rFonts w:ascii="Tw Cen MT" w:hAnsi="Tw Cen MT"/>
        <w:b/>
        <w:bCs/>
        <w:i/>
        <w:iCs/>
        <w:color w:val="00B0F0"/>
        <w:sz w:val="18"/>
        <w:szCs w:val="18"/>
      </w:rPr>
    </w:pPr>
    <w:r w:rsidRPr="005D4EDB">
      <w:rPr>
        <w:rFonts w:ascii="Tw Cen MT" w:hAnsi="Tw Cen MT"/>
        <w:b/>
        <w:bCs/>
        <w:i/>
        <w:iCs/>
        <w:color w:val="00B0F0"/>
        <w:sz w:val="18"/>
        <w:szCs w:val="18"/>
      </w:rPr>
      <w:t xml:space="preserve">Comité </w:t>
    </w:r>
    <w:r>
      <w:rPr>
        <w:rFonts w:ascii="Tw Cen MT" w:hAnsi="Tw Cen MT"/>
        <w:b/>
        <w:bCs/>
        <w:i/>
        <w:iCs/>
        <w:color w:val="00B0F0"/>
        <w:sz w:val="18"/>
        <w:szCs w:val="18"/>
      </w:rPr>
      <w:t>de Pilotage de l’Initiative Pour la Transparence dans les Industries Extractives (ITIE) Mali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6C9"/>
    <w:multiLevelType w:val="multilevel"/>
    <w:tmpl w:val="6B286D3E"/>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B3A5D0E"/>
    <w:multiLevelType w:val="hybridMultilevel"/>
    <w:tmpl w:val="5BECD286"/>
    <w:lvl w:ilvl="0" w:tplc="865840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4719A"/>
    <w:multiLevelType w:val="hybridMultilevel"/>
    <w:tmpl w:val="FE54A4B4"/>
    <w:lvl w:ilvl="0" w:tplc="040C000F">
      <w:start w:val="1"/>
      <w:numFmt w:val="decimal"/>
      <w:lvlText w:val="%1."/>
      <w:lvlJc w:val="left"/>
      <w:pPr>
        <w:ind w:left="1079" w:hanging="360"/>
      </w:pPr>
    </w:lvl>
    <w:lvl w:ilvl="1" w:tplc="040C0019" w:tentative="1">
      <w:start w:val="1"/>
      <w:numFmt w:val="lowerLetter"/>
      <w:lvlText w:val="%2."/>
      <w:lvlJc w:val="left"/>
      <w:pPr>
        <w:ind w:left="1799" w:hanging="360"/>
      </w:pPr>
    </w:lvl>
    <w:lvl w:ilvl="2" w:tplc="040C001B" w:tentative="1">
      <w:start w:val="1"/>
      <w:numFmt w:val="lowerRoman"/>
      <w:lvlText w:val="%3."/>
      <w:lvlJc w:val="right"/>
      <w:pPr>
        <w:ind w:left="2519" w:hanging="180"/>
      </w:pPr>
    </w:lvl>
    <w:lvl w:ilvl="3" w:tplc="040C000F" w:tentative="1">
      <w:start w:val="1"/>
      <w:numFmt w:val="decimal"/>
      <w:lvlText w:val="%4."/>
      <w:lvlJc w:val="left"/>
      <w:pPr>
        <w:ind w:left="3239" w:hanging="360"/>
      </w:pPr>
    </w:lvl>
    <w:lvl w:ilvl="4" w:tplc="040C0019" w:tentative="1">
      <w:start w:val="1"/>
      <w:numFmt w:val="lowerLetter"/>
      <w:lvlText w:val="%5."/>
      <w:lvlJc w:val="left"/>
      <w:pPr>
        <w:ind w:left="3959" w:hanging="360"/>
      </w:pPr>
    </w:lvl>
    <w:lvl w:ilvl="5" w:tplc="040C001B" w:tentative="1">
      <w:start w:val="1"/>
      <w:numFmt w:val="lowerRoman"/>
      <w:lvlText w:val="%6."/>
      <w:lvlJc w:val="right"/>
      <w:pPr>
        <w:ind w:left="4679" w:hanging="180"/>
      </w:pPr>
    </w:lvl>
    <w:lvl w:ilvl="6" w:tplc="040C000F" w:tentative="1">
      <w:start w:val="1"/>
      <w:numFmt w:val="decimal"/>
      <w:lvlText w:val="%7."/>
      <w:lvlJc w:val="left"/>
      <w:pPr>
        <w:ind w:left="5399" w:hanging="360"/>
      </w:pPr>
    </w:lvl>
    <w:lvl w:ilvl="7" w:tplc="040C0019" w:tentative="1">
      <w:start w:val="1"/>
      <w:numFmt w:val="lowerLetter"/>
      <w:lvlText w:val="%8."/>
      <w:lvlJc w:val="left"/>
      <w:pPr>
        <w:ind w:left="6119" w:hanging="360"/>
      </w:pPr>
    </w:lvl>
    <w:lvl w:ilvl="8" w:tplc="040C001B" w:tentative="1">
      <w:start w:val="1"/>
      <w:numFmt w:val="lowerRoman"/>
      <w:lvlText w:val="%9."/>
      <w:lvlJc w:val="right"/>
      <w:pPr>
        <w:ind w:left="6839" w:hanging="180"/>
      </w:pPr>
    </w:lvl>
  </w:abstractNum>
  <w:abstractNum w:abstractNumId="3">
    <w:nsid w:val="14327792"/>
    <w:multiLevelType w:val="hybridMultilevel"/>
    <w:tmpl w:val="D4E4C5BA"/>
    <w:lvl w:ilvl="0" w:tplc="31063E36">
      <w:start w:val="2"/>
      <w:numFmt w:val="bullet"/>
      <w:lvlText w:val="-"/>
      <w:lvlJc w:val="left"/>
      <w:pPr>
        <w:ind w:left="720" w:hanging="360"/>
      </w:pPr>
      <w:rPr>
        <w:rFonts w:ascii="Tw Cen MT" w:eastAsia="Calibri" w:hAnsi="Tw Cen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D02018"/>
    <w:multiLevelType w:val="multilevel"/>
    <w:tmpl w:val="A1CA2E40"/>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173C1F55"/>
    <w:multiLevelType w:val="multilevel"/>
    <w:tmpl w:val="F91C49E2"/>
    <w:styleLink w:val="Style13"/>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F92912"/>
    <w:multiLevelType w:val="hybridMultilevel"/>
    <w:tmpl w:val="9CA6F4D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23220A31"/>
    <w:multiLevelType w:val="hybridMultilevel"/>
    <w:tmpl w:val="456E169E"/>
    <w:lvl w:ilvl="0" w:tplc="D04EE7D0">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D04EE7D0">
      <w:start w:val="2"/>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CC6A00"/>
    <w:multiLevelType w:val="multilevel"/>
    <w:tmpl w:val="E6DE7D3A"/>
    <w:styleLink w:val="Style2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631B95"/>
    <w:multiLevelType w:val="hybridMultilevel"/>
    <w:tmpl w:val="5276DC52"/>
    <w:lvl w:ilvl="0" w:tplc="FFFFFFFF">
      <w:start w:val="1"/>
      <w:numFmt w:val="upperRoman"/>
      <w:lvlText w:val="%1."/>
      <w:lvlJc w:val="left"/>
      <w:pPr>
        <w:ind w:left="1080" w:hanging="720"/>
      </w:pPr>
      <w:rPr>
        <w:rFonts w:hint="default"/>
        <w:b/>
        <w:bCs w:val="0"/>
      </w:rPr>
    </w:lvl>
    <w:lvl w:ilvl="1" w:tplc="FFFFFFFF">
      <w:start w:val="1"/>
      <w:numFmt w:val="lowerLetter"/>
      <w:lvlText w:val="%2."/>
      <w:lvlJc w:val="left"/>
      <w:pPr>
        <w:ind w:left="1440" w:hanging="360"/>
      </w:pPr>
    </w:lvl>
    <w:lvl w:ilvl="2" w:tplc="FFFFFFFF">
      <w:start w:val="1"/>
      <w:numFmt w:val="bullet"/>
      <w:lvlText w:val="-"/>
      <w:lvlJc w:val="left"/>
      <w:pPr>
        <w:ind w:left="2685" w:hanging="705"/>
      </w:pPr>
      <w:rPr>
        <w:rFonts w:ascii="Tw Cen MT" w:eastAsia="Times New Roman" w:hAnsi="Tw Cen MT"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BD96328"/>
    <w:multiLevelType w:val="multilevel"/>
    <w:tmpl w:val="EAF44E1E"/>
    <w:lvl w:ilvl="0">
      <w:start w:val="1"/>
      <w:numFmt w:val="decimal"/>
      <w:pStyle w:val="NumHeading"/>
      <w:lvlText w:val="%1."/>
      <w:lvlJc w:val="left"/>
      <w:pPr>
        <w:ind w:left="624" w:hanging="624"/>
      </w:pPr>
      <w:rPr>
        <w:rFonts w:hint="default"/>
      </w:rPr>
    </w:lvl>
    <w:lvl w:ilvl="1">
      <w:start w:val="1"/>
      <w:numFmt w:val="decimal"/>
      <w:pStyle w:val="NumBodyText"/>
      <w:lvlText w:val="%1.%2."/>
      <w:lvlJc w:val="left"/>
      <w:pPr>
        <w:ind w:left="624" w:hanging="62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502"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60" w:hanging="360"/>
      </w:pPr>
      <w:rPr>
        <w:rFonts w:hint="default"/>
      </w:rPr>
    </w:lvl>
  </w:abstractNum>
  <w:abstractNum w:abstractNumId="11">
    <w:nsid w:val="30D925F7"/>
    <w:multiLevelType w:val="hybridMultilevel"/>
    <w:tmpl w:val="5C1E7C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6E51DF4"/>
    <w:multiLevelType w:val="hybridMultilevel"/>
    <w:tmpl w:val="5276DC52"/>
    <w:lvl w:ilvl="0" w:tplc="D8AE056A">
      <w:start w:val="1"/>
      <w:numFmt w:val="upperRoman"/>
      <w:lvlText w:val="%1."/>
      <w:lvlJc w:val="left"/>
      <w:pPr>
        <w:ind w:left="1080" w:hanging="720"/>
      </w:pPr>
      <w:rPr>
        <w:rFonts w:hint="default"/>
        <w:b/>
        <w:bCs w:val="0"/>
      </w:rPr>
    </w:lvl>
    <w:lvl w:ilvl="1" w:tplc="040C0019">
      <w:start w:val="1"/>
      <w:numFmt w:val="lowerLetter"/>
      <w:lvlText w:val="%2."/>
      <w:lvlJc w:val="left"/>
      <w:pPr>
        <w:ind w:left="1440" w:hanging="360"/>
      </w:pPr>
    </w:lvl>
    <w:lvl w:ilvl="2" w:tplc="92E04836">
      <w:start w:val="1"/>
      <w:numFmt w:val="bullet"/>
      <w:lvlText w:val="-"/>
      <w:lvlJc w:val="left"/>
      <w:pPr>
        <w:ind w:left="2685" w:hanging="705"/>
      </w:pPr>
      <w:rPr>
        <w:rFonts w:ascii="Tw Cen MT" w:eastAsia="Times New Roman" w:hAnsi="Tw Cen MT"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CCE692E"/>
    <w:multiLevelType w:val="hybridMultilevel"/>
    <w:tmpl w:val="C8B089FE"/>
    <w:lvl w:ilvl="0" w:tplc="040C0001">
      <w:start w:val="1"/>
      <w:numFmt w:val="bullet"/>
      <w:lvlText w:val=""/>
      <w:lvlJc w:val="left"/>
      <w:pPr>
        <w:ind w:left="720" w:hanging="360"/>
      </w:pPr>
      <w:rPr>
        <w:rFonts w:ascii="Symbol" w:hAnsi="Symbol" w:hint="default"/>
        <w:b w:val="0"/>
        <w:i w:val="0"/>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4455A1D"/>
    <w:multiLevelType w:val="hybridMultilevel"/>
    <w:tmpl w:val="921EFBD8"/>
    <w:lvl w:ilvl="0" w:tplc="040C000F">
      <w:start w:val="1"/>
      <w:numFmt w:val="decimal"/>
      <w:lvlText w:val="%1."/>
      <w:lvlJc w:val="left"/>
      <w:pPr>
        <w:ind w:left="1079" w:hanging="360"/>
      </w:pPr>
    </w:lvl>
    <w:lvl w:ilvl="1" w:tplc="FFFFFFFF" w:tentative="1">
      <w:start w:val="1"/>
      <w:numFmt w:val="lowerLetter"/>
      <w:lvlText w:val="%2."/>
      <w:lvlJc w:val="left"/>
      <w:pPr>
        <w:ind w:left="1799" w:hanging="360"/>
      </w:pPr>
    </w:lvl>
    <w:lvl w:ilvl="2" w:tplc="FFFFFFFF" w:tentative="1">
      <w:start w:val="1"/>
      <w:numFmt w:val="lowerRoman"/>
      <w:lvlText w:val="%3."/>
      <w:lvlJc w:val="right"/>
      <w:pPr>
        <w:ind w:left="2519" w:hanging="180"/>
      </w:pPr>
    </w:lvl>
    <w:lvl w:ilvl="3" w:tplc="FFFFFFFF" w:tentative="1">
      <w:start w:val="1"/>
      <w:numFmt w:val="decimal"/>
      <w:lvlText w:val="%4."/>
      <w:lvlJc w:val="left"/>
      <w:pPr>
        <w:ind w:left="3239" w:hanging="360"/>
      </w:pPr>
    </w:lvl>
    <w:lvl w:ilvl="4" w:tplc="FFFFFFFF" w:tentative="1">
      <w:start w:val="1"/>
      <w:numFmt w:val="lowerLetter"/>
      <w:lvlText w:val="%5."/>
      <w:lvlJc w:val="left"/>
      <w:pPr>
        <w:ind w:left="3959" w:hanging="360"/>
      </w:pPr>
    </w:lvl>
    <w:lvl w:ilvl="5" w:tplc="FFFFFFFF" w:tentative="1">
      <w:start w:val="1"/>
      <w:numFmt w:val="lowerRoman"/>
      <w:lvlText w:val="%6."/>
      <w:lvlJc w:val="right"/>
      <w:pPr>
        <w:ind w:left="4679" w:hanging="180"/>
      </w:pPr>
    </w:lvl>
    <w:lvl w:ilvl="6" w:tplc="FFFFFFFF" w:tentative="1">
      <w:start w:val="1"/>
      <w:numFmt w:val="decimal"/>
      <w:lvlText w:val="%7."/>
      <w:lvlJc w:val="left"/>
      <w:pPr>
        <w:ind w:left="5399" w:hanging="360"/>
      </w:pPr>
    </w:lvl>
    <w:lvl w:ilvl="7" w:tplc="FFFFFFFF" w:tentative="1">
      <w:start w:val="1"/>
      <w:numFmt w:val="lowerLetter"/>
      <w:lvlText w:val="%8."/>
      <w:lvlJc w:val="left"/>
      <w:pPr>
        <w:ind w:left="6119" w:hanging="360"/>
      </w:pPr>
    </w:lvl>
    <w:lvl w:ilvl="8" w:tplc="FFFFFFFF" w:tentative="1">
      <w:start w:val="1"/>
      <w:numFmt w:val="lowerRoman"/>
      <w:lvlText w:val="%9."/>
      <w:lvlJc w:val="right"/>
      <w:pPr>
        <w:ind w:left="6839" w:hanging="180"/>
      </w:pPr>
    </w:lvl>
  </w:abstractNum>
  <w:abstractNum w:abstractNumId="15">
    <w:nsid w:val="468940AE"/>
    <w:multiLevelType w:val="hybridMultilevel"/>
    <w:tmpl w:val="32DEF372"/>
    <w:lvl w:ilvl="0" w:tplc="31063E36">
      <w:start w:val="2"/>
      <w:numFmt w:val="bullet"/>
      <w:lvlText w:val="-"/>
      <w:lvlJc w:val="left"/>
      <w:pPr>
        <w:ind w:left="720" w:hanging="360"/>
      </w:pPr>
      <w:rPr>
        <w:rFonts w:ascii="Tw Cen MT" w:eastAsia="Calibri" w:hAnsi="Tw Cen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E675D8"/>
    <w:multiLevelType w:val="hybridMultilevel"/>
    <w:tmpl w:val="547C8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5516D5"/>
    <w:multiLevelType w:val="multilevel"/>
    <w:tmpl w:val="A1CA2E40"/>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4CD96811"/>
    <w:multiLevelType w:val="hybridMultilevel"/>
    <w:tmpl w:val="4EA687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7B1583"/>
    <w:multiLevelType w:val="hybridMultilevel"/>
    <w:tmpl w:val="E6B8B58A"/>
    <w:lvl w:ilvl="0" w:tplc="31063E36">
      <w:start w:val="2"/>
      <w:numFmt w:val="bullet"/>
      <w:lvlText w:val="-"/>
      <w:lvlJc w:val="left"/>
      <w:pPr>
        <w:ind w:left="720" w:hanging="360"/>
      </w:pPr>
      <w:rPr>
        <w:rFonts w:ascii="Tw Cen MT" w:eastAsia="Calibri" w:hAnsi="Tw Cen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DC0F98"/>
    <w:multiLevelType w:val="hybridMultilevel"/>
    <w:tmpl w:val="DFF8DEE6"/>
    <w:lvl w:ilvl="0" w:tplc="040C000F">
      <w:start w:val="1"/>
      <w:numFmt w:val="decimal"/>
      <w:lvlText w:val="%1."/>
      <w:lvlJc w:val="left"/>
      <w:pPr>
        <w:ind w:left="1079" w:hanging="360"/>
      </w:pPr>
    </w:lvl>
    <w:lvl w:ilvl="1" w:tplc="040C0019" w:tentative="1">
      <w:start w:val="1"/>
      <w:numFmt w:val="lowerLetter"/>
      <w:lvlText w:val="%2."/>
      <w:lvlJc w:val="left"/>
      <w:pPr>
        <w:ind w:left="1799" w:hanging="360"/>
      </w:pPr>
    </w:lvl>
    <w:lvl w:ilvl="2" w:tplc="040C001B" w:tentative="1">
      <w:start w:val="1"/>
      <w:numFmt w:val="lowerRoman"/>
      <w:lvlText w:val="%3."/>
      <w:lvlJc w:val="right"/>
      <w:pPr>
        <w:ind w:left="2519" w:hanging="180"/>
      </w:pPr>
    </w:lvl>
    <w:lvl w:ilvl="3" w:tplc="040C000F" w:tentative="1">
      <w:start w:val="1"/>
      <w:numFmt w:val="decimal"/>
      <w:lvlText w:val="%4."/>
      <w:lvlJc w:val="left"/>
      <w:pPr>
        <w:ind w:left="3239" w:hanging="360"/>
      </w:pPr>
    </w:lvl>
    <w:lvl w:ilvl="4" w:tplc="040C0019" w:tentative="1">
      <w:start w:val="1"/>
      <w:numFmt w:val="lowerLetter"/>
      <w:lvlText w:val="%5."/>
      <w:lvlJc w:val="left"/>
      <w:pPr>
        <w:ind w:left="3959" w:hanging="360"/>
      </w:pPr>
    </w:lvl>
    <w:lvl w:ilvl="5" w:tplc="040C001B" w:tentative="1">
      <w:start w:val="1"/>
      <w:numFmt w:val="lowerRoman"/>
      <w:lvlText w:val="%6."/>
      <w:lvlJc w:val="right"/>
      <w:pPr>
        <w:ind w:left="4679" w:hanging="180"/>
      </w:pPr>
    </w:lvl>
    <w:lvl w:ilvl="6" w:tplc="040C000F" w:tentative="1">
      <w:start w:val="1"/>
      <w:numFmt w:val="decimal"/>
      <w:lvlText w:val="%7."/>
      <w:lvlJc w:val="left"/>
      <w:pPr>
        <w:ind w:left="5399" w:hanging="360"/>
      </w:pPr>
    </w:lvl>
    <w:lvl w:ilvl="7" w:tplc="040C0019" w:tentative="1">
      <w:start w:val="1"/>
      <w:numFmt w:val="lowerLetter"/>
      <w:lvlText w:val="%8."/>
      <w:lvlJc w:val="left"/>
      <w:pPr>
        <w:ind w:left="6119" w:hanging="360"/>
      </w:pPr>
    </w:lvl>
    <w:lvl w:ilvl="8" w:tplc="040C001B" w:tentative="1">
      <w:start w:val="1"/>
      <w:numFmt w:val="lowerRoman"/>
      <w:lvlText w:val="%9."/>
      <w:lvlJc w:val="right"/>
      <w:pPr>
        <w:ind w:left="6839" w:hanging="180"/>
      </w:pPr>
    </w:lvl>
  </w:abstractNum>
  <w:abstractNum w:abstractNumId="21">
    <w:nsid w:val="573E3A1C"/>
    <w:multiLevelType w:val="hybridMultilevel"/>
    <w:tmpl w:val="E9445F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7A341A7"/>
    <w:multiLevelType w:val="hybridMultilevel"/>
    <w:tmpl w:val="2EA4B9FE"/>
    <w:lvl w:ilvl="0" w:tplc="EAB6CE9E">
      <w:start w:val="2"/>
      <w:numFmt w:val="bullet"/>
      <w:lvlText w:val="-"/>
      <w:lvlJc w:val="left"/>
      <w:pPr>
        <w:ind w:left="720" w:hanging="360"/>
      </w:pPr>
      <w:rPr>
        <w:rFonts w:ascii="Tw Cen MT" w:eastAsia="Times New Roman" w:hAnsi="Tw Cen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0D47E47"/>
    <w:multiLevelType w:val="hybridMultilevel"/>
    <w:tmpl w:val="6FD486C8"/>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6103036E"/>
    <w:multiLevelType w:val="hybridMultilevel"/>
    <w:tmpl w:val="70ACD738"/>
    <w:lvl w:ilvl="0" w:tplc="2674B7E0">
      <w:start w:val="1"/>
      <w:numFmt w:val="bullet"/>
      <w:lvlText w:val="-"/>
      <w:lvlJc w:val="left"/>
      <w:pPr>
        <w:tabs>
          <w:tab w:val="num" w:pos="720"/>
        </w:tabs>
        <w:ind w:left="720" w:hanging="360"/>
      </w:pPr>
      <w:rPr>
        <w:rFonts w:ascii="Times New Roman" w:hAnsi="Times New Roman" w:hint="default"/>
      </w:rPr>
    </w:lvl>
    <w:lvl w:ilvl="1" w:tplc="BF7464D4" w:tentative="1">
      <w:start w:val="1"/>
      <w:numFmt w:val="bullet"/>
      <w:lvlText w:val="-"/>
      <w:lvlJc w:val="left"/>
      <w:pPr>
        <w:tabs>
          <w:tab w:val="num" w:pos="1440"/>
        </w:tabs>
        <w:ind w:left="1440" w:hanging="360"/>
      </w:pPr>
      <w:rPr>
        <w:rFonts w:ascii="Times New Roman" w:hAnsi="Times New Roman" w:hint="default"/>
      </w:rPr>
    </w:lvl>
    <w:lvl w:ilvl="2" w:tplc="7E562A0E" w:tentative="1">
      <w:start w:val="1"/>
      <w:numFmt w:val="bullet"/>
      <w:lvlText w:val="-"/>
      <w:lvlJc w:val="left"/>
      <w:pPr>
        <w:tabs>
          <w:tab w:val="num" w:pos="2160"/>
        </w:tabs>
        <w:ind w:left="2160" w:hanging="360"/>
      </w:pPr>
      <w:rPr>
        <w:rFonts w:ascii="Times New Roman" w:hAnsi="Times New Roman" w:hint="default"/>
      </w:rPr>
    </w:lvl>
    <w:lvl w:ilvl="3" w:tplc="D592E21A" w:tentative="1">
      <w:start w:val="1"/>
      <w:numFmt w:val="bullet"/>
      <w:lvlText w:val="-"/>
      <w:lvlJc w:val="left"/>
      <w:pPr>
        <w:tabs>
          <w:tab w:val="num" w:pos="2880"/>
        </w:tabs>
        <w:ind w:left="2880" w:hanging="360"/>
      </w:pPr>
      <w:rPr>
        <w:rFonts w:ascii="Times New Roman" w:hAnsi="Times New Roman" w:hint="default"/>
      </w:rPr>
    </w:lvl>
    <w:lvl w:ilvl="4" w:tplc="92ECCAF2" w:tentative="1">
      <w:start w:val="1"/>
      <w:numFmt w:val="bullet"/>
      <w:lvlText w:val="-"/>
      <w:lvlJc w:val="left"/>
      <w:pPr>
        <w:tabs>
          <w:tab w:val="num" w:pos="3600"/>
        </w:tabs>
        <w:ind w:left="3600" w:hanging="360"/>
      </w:pPr>
      <w:rPr>
        <w:rFonts w:ascii="Times New Roman" w:hAnsi="Times New Roman" w:hint="default"/>
      </w:rPr>
    </w:lvl>
    <w:lvl w:ilvl="5" w:tplc="62720768" w:tentative="1">
      <w:start w:val="1"/>
      <w:numFmt w:val="bullet"/>
      <w:lvlText w:val="-"/>
      <w:lvlJc w:val="left"/>
      <w:pPr>
        <w:tabs>
          <w:tab w:val="num" w:pos="4320"/>
        </w:tabs>
        <w:ind w:left="4320" w:hanging="360"/>
      </w:pPr>
      <w:rPr>
        <w:rFonts w:ascii="Times New Roman" w:hAnsi="Times New Roman" w:hint="default"/>
      </w:rPr>
    </w:lvl>
    <w:lvl w:ilvl="6" w:tplc="A5703AD0" w:tentative="1">
      <w:start w:val="1"/>
      <w:numFmt w:val="bullet"/>
      <w:lvlText w:val="-"/>
      <w:lvlJc w:val="left"/>
      <w:pPr>
        <w:tabs>
          <w:tab w:val="num" w:pos="5040"/>
        </w:tabs>
        <w:ind w:left="5040" w:hanging="360"/>
      </w:pPr>
      <w:rPr>
        <w:rFonts w:ascii="Times New Roman" w:hAnsi="Times New Roman" w:hint="default"/>
      </w:rPr>
    </w:lvl>
    <w:lvl w:ilvl="7" w:tplc="CD34CF92" w:tentative="1">
      <w:start w:val="1"/>
      <w:numFmt w:val="bullet"/>
      <w:lvlText w:val="-"/>
      <w:lvlJc w:val="left"/>
      <w:pPr>
        <w:tabs>
          <w:tab w:val="num" w:pos="5760"/>
        </w:tabs>
        <w:ind w:left="5760" w:hanging="360"/>
      </w:pPr>
      <w:rPr>
        <w:rFonts w:ascii="Times New Roman" w:hAnsi="Times New Roman" w:hint="default"/>
      </w:rPr>
    </w:lvl>
    <w:lvl w:ilvl="8" w:tplc="9182CDE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235669D"/>
    <w:multiLevelType w:val="multilevel"/>
    <w:tmpl w:val="A1CA2E40"/>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62C57C1D"/>
    <w:multiLevelType w:val="hybridMultilevel"/>
    <w:tmpl w:val="7B5E390C"/>
    <w:lvl w:ilvl="0" w:tplc="D04EE7D0">
      <w:start w:val="2"/>
      <w:numFmt w:val="bullet"/>
      <w:lvlText w:val="-"/>
      <w:lvlJc w:val="left"/>
      <w:pPr>
        <w:ind w:left="1080" w:hanging="720"/>
      </w:pPr>
      <w:rPr>
        <w:rFonts w:ascii="Arial" w:eastAsia="Times New Roman" w:hAnsi="Arial" w:cs="Arial" w:hint="default"/>
      </w:rPr>
    </w:lvl>
    <w:lvl w:ilvl="1" w:tplc="040C0019">
      <w:start w:val="1"/>
      <w:numFmt w:val="lowerLetter"/>
      <w:lvlText w:val="%2."/>
      <w:lvlJc w:val="left"/>
      <w:pPr>
        <w:ind w:left="1440" w:hanging="360"/>
      </w:pPr>
    </w:lvl>
    <w:lvl w:ilvl="2" w:tplc="92E04836">
      <w:start w:val="1"/>
      <w:numFmt w:val="bullet"/>
      <w:lvlText w:val="-"/>
      <w:lvlJc w:val="left"/>
      <w:pPr>
        <w:ind w:left="2685" w:hanging="705"/>
      </w:pPr>
      <w:rPr>
        <w:rFonts w:ascii="Tw Cen MT" w:eastAsia="Times New Roman" w:hAnsi="Tw Cen MT"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3A5026B"/>
    <w:multiLevelType w:val="hybridMultilevel"/>
    <w:tmpl w:val="32D212C6"/>
    <w:lvl w:ilvl="0" w:tplc="D1E4C9E6">
      <w:start w:val="2"/>
      <w:numFmt w:val="decimal"/>
      <w:pStyle w:val="Style2"/>
      <w:suff w:val="space"/>
      <w:lvlText w:val="%1.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6C26DCE"/>
    <w:multiLevelType w:val="hybridMultilevel"/>
    <w:tmpl w:val="71BEF058"/>
    <w:lvl w:ilvl="0" w:tplc="31063E36">
      <w:start w:val="2"/>
      <w:numFmt w:val="bullet"/>
      <w:lvlText w:val="-"/>
      <w:lvlJc w:val="left"/>
      <w:pPr>
        <w:ind w:left="720" w:hanging="360"/>
      </w:pPr>
      <w:rPr>
        <w:rFonts w:ascii="Tw Cen MT" w:eastAsia="Calibri" w:hAnsi="Tw Cen MT"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695248FB"/>
    <w:multiLevelType w:val="hybridMultilevel"/>
    <w:tmpl w:val="DB7CA70A"/>
    <w:lvl w:ilvl="0" w:tplc="31063E36">
      <w:start w:val="2"/>
      <w:numFmt w:val="bullet"/>
      <w:lvlText w:val="-"/>
      <w:lvlJc w:val="left"/>
      <w:pPr>
        <w:ind w:left="1439" w:hanging="360"/>
      </w:pPr>
      <w:rPr>
        <w:rFonts w:ascii="Tw Cen MT" w:eastAsia="Calibri" w:hAnsi="Tw Cen MT" w:cs="Arial" w:hint="default"/>
      </w:rPr>
    </w:lvl>
    <w:lvl w:ilvl="1" w:tplc="040C0003" w:tentative="1">
      <w:start w:val="1"/>
      <w:numFmt w:val="bullet"/>
      <w:lvlText w:val="o"/>
      <w:lvlJc w:val="left"/>
      <w:pPr>
        <w:ind w:left="2159" w:hanging="360"/>
      </w:pPr>
      <w:rPr>
        <w:rFonts w:ascii="Courier New" w:hAnsi="Courier New" w:cs="Courier New" w:hint="default"/>
      </w:rPr>
    </w:lvl>
    <w:lvl w:ilvl="2" w:tplc="040C0005" w:tentative="1">
      <w:start w:val="1"/>
      <w:numFmt w:val="bullet"/>
      <w:lvlText w:val=""/>
      <w:lvlJc w:val="left"/>
      <w:pPr>
        <w:ind w:left="2879" w:hanging="360"/>
      </w:pPr>
      <w:rPr>
        <w:rFonts w:ascii="Wingdings" w:hAnsi="Wingdings" w:hint="default"/>
      </w:rPr>
    </w:lvl>
    <w:lvl w:ilvl="3" w:tplc="040C0001" w:tentative="1">
      <w:start w:val="1"/>
      <w:numFmt w:val="bullet"/>
      <w:lvlText w:val=""/>
      <w:lvlJc w:val="left"/>
      <w:pPr>
        <w:ind w:left="3599" w:hanging="360"/>
      </w:pPr>
      <w:rPr>
        <w:rFonts w:ascii="Symbol" w:hAnsi="Symbol" w:hint="default"/>
      </w:rPr>
    </w:lvl>
    <w:lvl w:ilvl="4" w:tplc="040C0003" w:tentative="1">
      <w:start w:val="1"/>
      <w:numFmt w:val="bullet"/>
      <w:lvlText w:val="o"/>
      <w:lvlJc w:val="left"/>
      <w:pPr>
        <w:ind w:left="4319" w:hanging="360"/>
      </w:pPr>
      <w:rPr>
        <w:rFonts w:ascii="Courier New" w:hAnsi="Courier New" w:cs="Courier New" w:hint="default"/>
      </w:rPr>
    </w:lvl>
    <w:lvl w:ilvl="5" w:tplc="040C0005" w:tentative="1">
      <w:start w:val="1"/>
      <w:numFmt w:val="bullet"/>
      <w:lvlText w:val=""/>
      <w:lvlJc w:val="left"/>
      <w:pPr>
        <w:ind w:left="5039" w:hanging="360"/>
      </w:pPr>
      <w:rPr>
        <w:rFonts w:ascii="Wingdings" w:hAnsi="Wingdings" w:hint="default"/>
      </w:rPr>
    </w:lvl>
    <w:lvl w:ilvl="6" w:tplc="040C0001" w:tentative="1">
      <w:start w:val="1"/>
      <w:numFmt w:val="bullet"/>
      <w:lvlText w:val=""/>
      <w:lvlJc w:val="left"/>
      <w:pPr>
        <w:ind w:left="5759" w:hanging="360"/>
      </w:pPr>
      <w:rPr>
        <w:rFonts w:ascii="Symbol" w:hAnsi="Symbol" w:hint="default"/>
      </w:rPr>
    </w:lvl>
    <w:lvl w:ilvl="7" w:tplc="040C0003" w:tentative="1">
      <w:start w:val="1"/>
      <w:numFmt w:val="bullet"/>
      <w:lvlText w:val="o"/>
      <w:lvlJc w:val="left"/>
      <w:pPr>
        <w:ind w:left="6479" w:hanging="360"/>
      </w:pPr>
      <w:rPr>
        <w:rFonts w:ascii="Courier New" w:hAnsi="Courier New" w:cs="Courier New" w:hint="default"/>
      </w:rPr>
    </w:lvl>
    <w:lvl w:ilvl="8" w:tplc="040C0005" w:tentative="1">
      <w:start w:val="1"/>
      <w:numFmt w:val="bullet"/>
      <w:lvlText w:val=""/>
      <w:lvlJc w:val="left"/>
      <w:pPr>
        <w:ind w:left="7199" w:hanging="360"/>
      </w:pPr>
      <w:rPr>
        <w:rFonts w:ascii="Wingdings" w:hAnsi="Wingdings" w:hint="default"/>
      </w:rPr>
    </w:lvl>
  </w:abstractNum>
  <w:abstractNum w:abstractNumId="30">
    <w:nsid w:val="69B6444B"/>
    <w:multiLevelType w:val="hybridMultilevel"/>
    <w:tmpl w:val="4EFC8710"/>
    <w:lvl w:ilvl="0" w:tplc="31063E36">
      <w:start w:val="2"/>
      <w:numFmt w:val="bullet"/>
      <w:lvlText w:val="-"/>
      <w:lvlJc w:val="left"/>
      <w:pPr>
        <w:ind w:left="720" w:hanging="360"/>
      </w:pPr>
      <w:rPr>
        <w:rFonts w:ascii="Tw Cen MT" w:eastAsia="Calibri" w:hAnsi="Tw Cen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CBC26A4"/>
    <w:multiLevelType w:val="hybridMultilevel"/>
    <w:tmpl w:val="4906D6DA"/>
    <w:lvl w:ilvl="0" w:tplc="0BF65702">
      <w:start w:val="1"/>
      <w:numFmt w:val="decimal"/>
      <w:pStyle w:val="Style1"/>
      <w:lvlText w:val="%1."/>
      <w:lvlJc w:val="left"/>
      <w:pPr>
        <w:ind w:left="360" w:hanging="360"/>
      </w:pPr>
    </w:lvl>
    <w:lvl w:ilvl="1" w:tplc="31FA9CBE">
      <w:start w:val="2"/>
      <w:numFmt w:val="decimal"/>
      <w:suff w:val="space"/>
      <w:lvlText w:val="%2.1"/>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6DF477E1"/>
    <w:multiLevelType w:val="hybridMultilevel"/>
    <w:tmpl w:val="9B9C5BF0"/>
    <w:lvl w:ilvl="0" w:tplc="31063E36">
      <w:start w:val="2"/>
      <w:numFmt w:val="bullet"/>
      <w:lvlText w:val="-"/>
      <w:lvlJc w:val="left"/>
      <w:pPr>
        <w:ind w:left="720" w:hanging="360"/>
      </w:pPr>
      <w:rPr>
        <w:rFonts w:ascii="Tw Cen MT" w:eastAsia="Calibri" w:hAnsi="Tw Cen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7D57426"/>
    <w:multiLevelType w:val="hybridMultilevel"/>
    <w:tmpl w:val="699CF3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A696BE7"/>
    <w:multiLevelType w:val="hybridMultilevel"/>
    <w:tmpl w:val="B91CE68E"/>
    <w:lvl w:ilvl="0" w:tplc="31063E36">
      <w:start w:val="2"/>
      <w:numFmt w:val="bullet"/>
      <w:lvlText w:val="-"/>
      <w:lvlJc w:val="left"/>
      <w:pPr>
        <w:ind w:left="720" w:hanging="360"/>
      </w:pPr>
      <w:rPr>
        <w:rFonts w:ascii="Tw Cen MT" w:eastAsia="Calibri" w:hAnsi="Tw Cen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27"/>
  </w:num>
  <w:num w:numId="4">
    <w:abstractNumId w:val="5"/>
  </w:num>
  <w:num w:numId="5">
    <w:abstractNumId w:val="12"/>
  </w:num>
  <w:num w:numId="6">
    <w:abstractNumId w:val="0"/>
  </w:num>
  <w:num w:numId="7">
    <w:abstractNumId w:val="7"/>
  </w:num>
  <w:num w:numId="8">
    <w:abstractNumId w:val="22"/>
  </w:num>
  <w:num w:numId="9">
    <w:abstractNumId w:val="25"/>
  </w:num>
  <w:num w:numId="10">
    <w:abstractNumId w:val="26"/>
  </w:num>
  <w:num w:numId="11">
    <w:abstractNumId w:val="17"/>
  </w:num>
  <w:num w:numId="12">
    <w:abstractNumId w:val="28"/>
  </w:num>
  <w:num w:numId="13">
    <w:abstractNumId w:val="10"/>
  </w:num>
  <w:num w:numId="14">
    <w:abstractNumId w:val="13"/>
  </w:num>
  <w:num w:numId="15">
    <w:abstractNumId w:val="16"/>
  </w:num>
  <w:num w:numId="16">
    <w:abstractNumId w:val="34"/>
  </w:num>
  <w:num w:numId="17">
    <w:abstractNumId w:val="15"/>
  </w:num>
  <w:num w:numId="18">
    <w:abstractNumId w:val="33"/>
  </w:num>
  <w:num w:numId="19">
    <w:abstractNumId w:val="18"/>
  </w:num>
  <w:num w:numId="20">
    <w:abstractNumId w:val="6"/>
  </w:num>
  <w:num w:numId="21">
    <w:abstractNumId w:val="29"/>
  </w:num>
  <w:num w:numId="22">
    <w:abstractNumId w:val="3"/>
  </w:num>
  <w:num w:numId="23">
    <w:abstractNumId w:val="1"/>
  </w:num>
  <w:num w:numId="24">
    <w:abstractNumId w:val="21"/>
  </w:num>
  <w:num w:numId="25">
    <w:abstractNumId w:val="19"/>
  </w:num>
  <w:num w:numId="26">
    <w:abstractNumId w:val="11"/>
  </w:num>
  <w:num w:numId="27">
    <w:abstractNumId w:val="23"/>
  </w:num>
  <w:num w:numId="28">
    <w:abstractNumId w:val="2"/>
  </w:num>
  <w:num w:numId="29">
    <w:abstractNumId w:val="20"/>
  </w:num>
  <w:num w:numId="30">
    <w:abstractNumId w:val="14"/>
  </w:num>
  <w:num w:numId="31">
    <w:abstractNumId w:val="9"/>
  </w:num>
  <w:num w:numId="32">
    <w:abstractNumId w:val="32"/>
  </w:num>
  <w:num w:numId="33">
    <w:abstractNumId w:val="30"/>
  </w:num>
  <w:num w:numId="34">
    <w:abstractNumId w:val="24"/>
  </w:num>
  <w:num w:numId="3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6" w:nlCheck="1" w:checkStyle="0"/>
  <w:activeWritingStyle w:appName="MSWord" w:lang="fr-FR" w:vendorID="64" w:dllVersion="4096"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SN" w:vendorID="64" w:dllVersion="4096" w:nlCheck="1" w:checkStyle="0"/>
  <w:activeWritingStyle w:appName="MSWord" w:lang="en-US" w:vendorID="64" w:dllVersion="0" w:nlCheck="1" w:checkStyle="0"/>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72"/>
    <w:rsid w:val="0000021E"/>
    <w:rsid w:val="00012F0D"/>
    <w:rsid w:val="0001600B"/>
    <w:rsid w:val="00016D06"/>
    <w:rsid w:val="000211DC"/>
    <w:rsid w:val="000420E4"/>
    <w:rsid w:val="00042FAF"/>
    <w:rsid w:val="00047862"/>
    <w:rsid w:val="00055F61"/>
    <w:rsid w:val="00067772"/>
    <w:rsid w:val="00077FB5"/>
    <w:rsid w:val="00080080"/>
    <w:rsid w:val="00086AEC"/>
    <w:rsid w:val="00090E16"/>
    <w:rsid w:val="000911FC"/>
    <w:rsid w:val="000915EB"/>
    <w:rsid w:val="00097647"/>
    <w:rsid w:val="000A2474"/>
    <w:rsid w:val="000A2A7E"/>
    <w:rsid w:val="000B29E5"/>
    <w:rsid w:val="000B4D94"/>
    <w:rsid w:val="000C3BAD"/>
    <w:rsid w:val="000C58EE"/>
    <w:rsid w:val="000D09BF"/>
    <w:rsid w:val="000D0D75"/>
    <w:rsid w:val="000E731E"/>
    <w:rsid w:val="00113DDA"/>
    <w:rsid w:val="00126267"/>
    <w:rsid w:val="00126AD9"/>
    <w:rsid w:val="00134D43"/>
    <w:rsid w:val="001362F2"/>
    <w:rsid w:val="001377E9"/>
    <w:rsid w:val="00155265"/>
    <w:rsid w:val="001616CA"/>
    <w:rsid w:val="00172E61"/>
    <w:rsid w:val="00176E0A"/>
    <w:rsid w:val="00185109"/>
    <w:rsid w:val="00194A40"/>
    <w:rsid w:val="001968BF"/>
    <w:rsid w:val="00196FE6"/>
    <w:rsid w:val="001B4604"/>
    <w:rsid w:val="001B73E7"/>
    <w:rsid w:val="001C035A"/>
    <w:rsid w:val="001C05FD"/>
    <w:rsid w:val="001C0945"/>
    <w:rsid w:val="001C2287"/>
    <w:rsid w:val="001C5E0F"/>
    <w:rsid w:val="001D42BC"/>
    <w:rsid w:val="001D5534"/>
    <w:rsid w:val="001D599C"/>
    <w:rsid w:val="001E2402"/>
    <w:rsid w:val="001E37CB"/>
    <w:rsid w:val="001F786B"/>
    <w:rsid w:val="002000CF"/>
    <w:rsid w:val="00200121"/>
    <w:rsid w:val="002023B1"/>
    <w:rsid w:val="00217CB5"/>
    <w:rsid w:val="00217DE2"/>
    <w:rsid w:val="00227947"/>
    <w:rsid w:val="00232056"/>
    <w:rsid w:val="00244200"/>
    <w:rsid w:val="002500B0"/>
    <w:rsid w:val="0025147D"/>
    <w:rsid w:val="00261A40"/>
    <w:rsid w:val="00261FE2"/>
    <w:rsid w:val="002653C7"/>
    <w:rsid w:val="00267D1D"/>
    <w:rsid w:val="00272017"/>
    <w:rsid w:val="00274065"/>
    <w:rsid w:val="002751AD"/>
    <w:rsid w:val="00275FD8"/>
    <w:rsid w:val="00277C14"/>
    <w:rsid w:val="002853B4"/>
    <w:rsid w:val="00290187"/>
    <w:rsid w:val="00295B77"/>
    <w:rsid w:val="002A1423"/>
    <w:rsid w:val="002A47EB"/>
    <w:rsid w:val="002B2A0B"/>
    <w:rsid w:val="002B66BD"/>
    <w:rsid w:val="002D1E29"/>
    <w:rsid w:val="002E3849"/>
    <w:rsid w:val="002E6677"/>
    <w:rsid w:val="002E6EAC"/>
    <w:rsid w:val="002E70F3"/>
    <w:rsid w:val="00306E58"/>
    <w:rsid w:val="0031314E"/>
    <w:rsid w:val="00315546"/>
    <w:rsid w:val="003155C6"/>
    <w:rsid w:val="00320355"/>
    <w:rsid w:val="00325C86"/>
    <w:rsid w:val="003271AA"/>
    <w:rsid w:val="003347AD"/>
    <w:rsid w:val="00335DFB"/>
    <w:rsid w:val="00346275"/>
    <w:rsid w:val="00360271"/>
    <w:rsid w:val="00393A28"/>
    <w:rsid w:val="00394136"/>
    <w:rsid w:val="00397A17"/>
    <w:rsid w:val="003A0EC2"/>
    <w:rsid w:val="003A75AF"/>
    <w:rsid w:val="003B02FB"/>
    <w:rsid w:val="003B461D"/>
    <w:rsid w:val="003B4772"/>
    <w:rsid w:val="003B5AB9"/>
    <w:rsid w:val="003C3265"/>
    <w:rsid w:val="003C5BA5"/>
    <w:rsid w:val="003D0352"/>
    <w:rsid w:val="003E0DE8"/>
    <w:rsid w:val="003E3BFC"/>
    <w:rsid w:val="003E79CD"/>
    <w:rsid w:val="003F215E"/>
    <w:rsid w:val="003F36D5"/>
    <w:rsid w:val="003F76F1"/>
    <w:rsid w:val="00402EBE"/>
    <w:rsid w:val="00404E91"/>
    <w:rsid w:val="0043388A"/>
    <w:rsid w:val="00434319"/>
    <w:rsid w:val="00435474"/>
    <w:rsid w:val="00440C4C"/>
    <w:rsid w:val="00444C5B"/>
    <w:rsid w:val="00446933"/>
    <w:rsid w:val="004477F5"/>
    <w:rsid w:val="00457673"/>
    <w:rsid w:val="0046097C"/>
    <w:rsid w:val="00464A03"/>
    <w:rsid w:val="00465B71"/>
    <w:rsid w:val="00470340"/>
    <w:rsid w:val="00472BF5"/>
    <w:rsid w:val="00473B45"/>
    <w:rsid w:val="0048041A"/>
    <w:rsid w:val="00493282"/>
    <w:rsid w:val="00495B9A"/>
    <w:rsid w:val="0049736F"/>
    <w:rsid w:val="004A3A1A"/>
    <w:rsid w:val="004A5DB3"/>
    <w:rsid w:val="004A6262"/>
    <w:rsid w:val="004B3612"/>
    <w:rsid w:val="004B4987"/>
    <w:rsid w:val="004B4FBE"/>
    <w:rsid w:val="004B6BC5"/>
    <w:rsid w:val="004B79D8"/>
    <w:rsid w:val="004C4DE0"/>
    <w:rsid w:val="004C7859"/>
    <w:rsid w:val="004C7C47"/>
    <w:rsid w:val="004D4FE0"/>
    <w:rsid w:val="004E12DF"/>
    <w:rsid w:val="004E4C70"/>
    <w:rsid w:val="004E70AF"/>
    <w:rsid w:val="004E7943"/>
    <w:rsid w:val="004F0A57"/>
    <w:rsid w:val="004F5C14"/>
    <w:rsid w:val="004F5E77"/>
    <w:rsid w:val="005051D3"/>
    <w:rsid w:val="0050690C"/>
    <w:rsid w:val="00506DF6"/>
    <w:rsid w:val="0051734B"/>
    <w:rsid w:val="00520269"/>
    <w:rsid w:val="005401AB"/>
    <w:rsid w:val="005565BC"/>
    <w:rsid w:val="00563478"/>
    <w:rsid w:val="0056693D"/>
    <w:rsid w:val="00570B27"/>
    <w:rsid w:val="00573E97"/>
    <w:rsid w:val="00590451"/>
    <w:rsid w:val="00592A5A"/>
    <w:rsid w:val="00594BE2"/>
    <w:rsid w:val="005A50F7"/>
    <w:rsid w:val="005A62D6"/>
    <w:rsid w:val="005B0F29"/>
    <w:rsid w:val="005B2FCA"/>
    <w:rsid w:val="005B7BEC"/>
    <w:rsid w:val="005C0131"/>
    <w:rsid w:val="005D1B88"/>
    <w:rsid w:val="005D4EDB"/>
    <w:rsid w:val="005E07A8"/>
    <w:rsid w:val="005F1885"/>
    <w:rsid w:val="005F1AF2"/>
    <w:rsid w:val="005F2548"/>
    <w:rsid w:val="005F46D0"/>
    <w:rsid w:val="005F5AB5"/>
    <w:rsid w:val="00605B31"/>
    <w:rsid w:val="0061059B"/>
    <w:rsid w:val="006138CB"/>
    <w:rsid w:val="00613BB4"/>
    <w:rsid w:val="00625C84"/>
    <w:rsid w:val="00635ACD"/>
    <w:rsid w:val="00637F8D"/>
    <w:rsid w:val="00644107"/>
    <w:rsid w:val="0065192E"/>
    <w:rsid w:val="006564FB"/>
    <w:rsid w:val="00661B68"/>
    <w:rsid w:val="00661D8B"/>
    <w:rsid w:val="0066781F"/>
    <w:rsid w:val="0069210A"/>
    <w:rsid w:val="00695C1B"/>
    <w:rsid w:val="006A197F"/>
    <w:rsid w:val="006B1B3A"/>
    <w:rsid w:val="006B50E5"/>
    <w:rsid w:val="006B671D"/>
    <w:rsid w:val="006C1FF5"/>
    <w:rsid w:val="006C76EB"/>
    <w:rsid w:val="006D757F"/>
    <w:rsid w:val="006E2A18"/>
    <w:rsid w:val="006E3446"/>
    <w:rsid w:val="006E3813"/>
    <w:rsid w:val="006E402B"/>
    <w:rsid w:val="006E669E"/>
    <w:rsid w:val="006E7D4C"/>
    <w:rsid w:val="006F4BFC"/>
    <w:rsid w:val="006F78AE"/>
    <w:rsid w:val="00703434"/>
    <w:rsid w:val="00706B8D"/>
    <w:rsid w:val="00711170"/>
    <w:rsid w:val="00712A88"/>
    <w:rsid w:val="00715E93"/>
    <w:rsid w:val="00717324"/>
    <w:rsid w:val="00717598"/>
    <w:rsid w:val="007175CC"/>
    <w:rsid w:val="00720B63"/>
    <w:rsid w:val="007212E2"/>
    <w:rsid w:val="00726AD4"/>
    <w:rsid w:val="007373AF"/>
    <w:rsid w:val="00741DF8"/>
    <w:rsid w:val="00752B1C"/>
    <w:rsid w:val="00763B3C"/>
    <w:rsid w:val="00770DA4"/>
    <w:rsid w:val="00776456"/>
    <w:rsid w:val="00776CAA"/>
    <w:rsid w:val="007846C7"/>
    <w:rsid w:val="007923F2"/>
    <w:rsid w:val="00797D1C"/>
    <w:rsid w:val="007A44AD"/>
    <w:rsid w:val="007A6D04"/>
    <w:rsid w:val="007B3124"/>
    <w:rsid w:val="007B388E"/>
    <w:rsid w:val="007B5845"/>
    <w:rsid w:val="007C6DEE"/>
    <w:rsid w:val="007D2A33"/>
    <w:rsid w:val="007D71B9"/>
    <w:rsid w:val="007D776C"/>
    <w:rsid w:val="007F036D"/>
    <w:rsid w:val="007F2570"/>
    <w:rsid w:val="007F28D1"/>
    <w:rsid w:val="00812311"/>
    <w:rsid w:val="0081549E"/>
    <w:rsid w:val="00820F2A"/>
    <w:rsid w:val="008319F9"/>
    <w:rsid w:val="008415EF"/>
    <w:rsid w:val="00850F16"/>
    <w:rsid w:val="00851ED2"/>
    <w:rsid w:val="00856021"/>
    <w:rsid w:val="008641CB"/>
    <w:rsid w:val="00871EFC"/>
    <w:rsid w:val="00871FC3"/>
    <w:rsid w:val="00874207"/>
    <w:rsid w:val="0087586F"/>
    <w:rsid w:val="00884245"/>
    <w:rsid w:val="00884F77"/>
    <w:rsid w:val="00886191"/>
    <w:rsid w:val="00890DDB"/>
    <w:rsid w:val="008945A9"/>
    <w:rsid w:val="0089547C"/>
    <w:rsid w:val="008A00A2"/>
    <w:rsid w:val="008A243D"/>
    <w:rsid w:val="008B4F97"/>
    <w:rsid w:val="008B5C32"/>
    <w:rsid w:val="008C3BE6"/>
    <w:rsid w:val="008E02A8"/>
    <w:rsid w:val="008E1EFE"/>
    <w:rsid w:val="008E4018"/>
    <w:rsid w:val="008F2CCF"/>
    <w:rsid w:val="00904412"/>
    <w:rsid w:val="009124F9"/>
    <w:rsid w:val="009151DA"/>
    <w:rsid w:val="00922E01"/>
    <w:rsid w:val="0094082F"/>
    <w:rsid w:val="00952B28"/>
    <w:rsid w:val="00952BB4"/>
    <w:rsid w:val="009723AE"/>
    <w:rsid w:val="00972C1B"/>
    <w:rsid w:val="00974CA5"/>
    <w:rsid w:val="00975C5C"/>
    <w:rsid w:val="009815DF"/>
    <w:rsid w:val="0098238F"/>
    <w:rsid w:val="009830EC"/>
    <w:rsid w:val="009865D9"/>
    <w:rsid w:val="00990F03"/>
    <w:rsid w:val="00996999"/>
    <w:rsid w:val="009C015D"/>
    <w:rsid w:val="009C01BA"/>
    <w:rsid w:val="009C4AE2"/>
    <w:rsid w:val="009D0237"/>
    <w:rsid w:val="009D0E13"/>
    <w:rsid w:val="009F0285"/>
    <w:rsid w:val="00A038AD"/>
    <w:rsid w:val="00A050CF"/>
    <w:rsid w:val="00A07F65"/>
    <w:rsid w:val="00A13287"/>
    <w:rsid w:val="00A13CF8"/>
    <w:rsid w:val="00A17C8F"/>
    <w:rsid w:val="00A255CD"/>
    <w:rsid w:val="00A306F2"/>
    <w:rsid w:val="00A32D70"/>
    <w:rsid w:val="00A3315A"/>
    <w:rsid w:val="00A461CF"/>
    <w:rsid w:val="00A53083"/>
    <w:rsid w:val="00A54243"/>
    <w:rsid w:val="00A5678A"/>
    <w:rsid w:val="00A62C4E"/>
    <w:rsid w:val="00A67949"/>
    <w:rsid w:val="00A722A7"/>
    <w:rsid w:val="00A75B66"/>
    <w:rsid w:val="00A824B1"/>
    <w:rsid w:val="00A93ECE"/>
    <w:rsid w:val="00AA077B"/>
    <w:rsid w:val="00AA1332"/>
    <w:rsid w:val="00AA22CB"/>
    <w:rsid w:val="00AA414C"/>
    <w:rsid w:val="00AA64D0"/>
    <w:rsid w:val="00AB0A2B"/>
    <w:rsid w:val="00AB1F0E"/>
    <w:rsid w:val="00AB20A9"/>
    <w:rsid w:val="00AC43AF"/>
    <w:rsid w:val="00AC7B30"/>
    <w:rsid w:val="00AD07D3"/>
    <w:rsid w:val="00AD6D52"/>
    <w:rsid w:val="00AF0E0F"/>
    <w:rsid w:val="00AF66E8"/>
    <w:rsid w:val="00AF70AB"/>
    <w:rsid w:val="00B10840"/>
    <w:rsid w:val="00B11D3B"/>
    <w:rsid w:val="00B125FA"/>
    <w:rsid w:val="00B1737E"/>
    <w:rsid w:val="00B27E6F"/>
    <w:rsid w:val="00B34D89"/>
    <w:rsid w:val="00B34E25"/>
    <w:rsid w:val="00B35248"/>
    <w:rsid w:val="00B43F63"/>
    <w:rsid w:val="00B51788"/>
    <w:rsid w:val="00B5282A"/>
    <w:rsid w:val="00B6496E"/>
    <w:rsid w:val="00B82BFC"/>
    <w:rsid w:val="00B84FE9"/>
    <w:rsid w:val="00B902BC"/>
    <w:rsid w:val="00B918A8"/>
    <w:rsid w:val="00B9455B"/>
    <w:rsid w:val="00B97A97"/>
    <w:rsid w:val="00BA612F"/>
    <w:rsid w:val="00BA67A7"/>
    <w:rsid w:val="00BB3E73"/>
    <w:rsid w:val="00BC0972"/>
    <w:rsid w:val="00BC1F79"/>
    <w:rsid w:val="00BD3983"/>
    <w:rsid w:val="00BE03CA"/>
    <w:rsid w:val="00BE0E5D"/>
    <w:rsid w:val="00BE72FB"/>
    <w:rsid w:val="00BF2E8D"/>
    <w:rsid w:val="00BF6833"/>
    <w:rsid w:val="00C13ACC"/>
    <w:rsid w:val="00C15E7E"/>
    <w:rsid w:val="00C16162"/>
    <w:rsid w:val="00C21059"/>
    <w:rsid w:val="00C25C51"/>
    <w:rsid w:val="00C2763E"/>
    <w:rsid w:val="00C30010"/>
    <w:rsid w:val="00C4535A"/>
    <w:rsid w:val="00C45CF2"/>
    <w:rsid w:val="00C56A23"/>
    <w:rsid w:val="00C57E2B"/>
    <w:rsid w:val="00C606D1"/>
    <w:rsid w:val="00C729DE"/>
    <w:rsid w:val="00C77298"/>
    <w:rsid w:val="00C77430"/>
    <w:rsid w:val="00C80E11"/>
    <w:rsid w:val="00C876C1"/>
    <w:rsid w:val="00C93428"/>
    <w:rsid w:val="00C9798C"/>
    <w:rsid w:val="00CA067E"/>
    <w:rsid w:val="00CA5127"/>
    <w:rsid w:val="00CB00BF"/>
    <w:rsid w:val="00CB03CF"/>
    <w:rsid w:val="00CB221B"/>
    <w:rsid w:val="00CB4D58"/>
    <w:rsid w:val="00CC0676"/>
    <w:rsid w:val="00CC1399"/>
    <w:rsid w:val="00CC43D8"/>
    <w:rsid w:val="00CD0647"/>
    <w:rsid w:val="00CD0CB7"/>
    <w:rsid w:val="00CD3591"/>
    <w:rsid w:val="00CD71C5"/>
    <w:rsid w:val="00CD74AA"/>
    <w:rsid w:val="00CF5E15"/>
    <w:rsid w:val="00D0149B"/>
    <w:rsid w:val="00D01BCD"/>
    <w:rsid w:val="00D144FE"/>
    <w:rsid w:val="00D22548"/>
    <w:rsid w:val="00D23E0D"/>
    <w:rsid w:val="00D30641"/>
    <w:rsid w:val="00D418D9"/>
    <w:rsid w:val="00D52A0E"/>
    <w:rsid w:val="00D530C6"/>
    <w:rsid w:val="00D60026"/>
    <w:rsid w:val="00D67302"/>
    <w:rsid w:val="00D67F6B"/>
    <w:rsid w:val="00D711BB"/>
    <w:rsid w:val="00D91DCC"/>
    <w:rsid w:val="00D95F90"/>
    <w:rsid w:val="00DA04C5"/>
    <w:rsid w:val="00DA6524"/>
    <w:rsid w:val="00DB330A"/>
    <w:rsid w:val="00DC233C"/>
    <w:rsid w:val="00DC3330"/>
    <w:rsid w:val="00DC3BA1"/>
    <w:rsid w:val="00DC43E6"/>
    <w:rsid w:val="00DD21E3"/>
    <w:rsid w:val="00DD2CC6"/>
    <w:rsid w:val="00DE573C"/>
    <w:rsid w:val="00DE6032"/>
    <w:rsid w:val="00DF636F"/>
    <w:rsid w:val="00E06C97"/>
    <w:rsid w:val="00E1006E"/>
    <w:rsid w:val="00E11428"/>
    <w:rsid w:val="00E11D7E"/>
    <w:rsid w:val="00E13A67"/>
    <w:rsid w:val="00E15406"/>
    <w:rsid w:val="00E16036"/>
    <w:rsid w:val="00E21BBC"/>
    <w:rsid w:val="00E369CA"/>
    <w:rsid w:val="00E41977"/>
    <w:rsid w:val="00E41FAD"/>
    <w:rsid w:val="00E43561"/>
    <w:rsid w:val="00E45C87"/>
    <w:rsid w:val="00E56DE7"/>
    <w:rsid w:val="00E62AA1"/>
    <w:rsid w:val="00E66773"/>
    <w:rsid w:val="00E72142"/>
    <w:rsid w:val="00E73C2E"/>
    <w:rsid w:val="00E901E4"/>
    <w:rsid w:val="00E91EDA"/>
    <w:rsid w:val="00EA068D"/>
    <w:rsid w:val="00EA18F4"/>
    <w:rsid w:val="00EA7694"/>
    <w:rsid w:val="00EB5570"/>
    <w:rsid w:val="00EC57F8"/>
    <w:rsid w:val="00ED12CE"/>
    <w:rsid w:val="00ED6728"/>
    <w:rsid w:val="00EE34ED"/>
    <w:rsid w:val="00EF639C"/>
    <w:rsid w:val="00EF78DD"/>
    <w:rsid w:val="00F0257E"/>
    <w:rsid w:val="00F065AA"/>
    <w:rsid w:val="00F0703F"/>
    <w:rsid w:val="00F12BC5"/>
    <w:rsid w:val="00F24668"/>
    <w:rsid w:val="00F313C3"/>
    <w:rsid w:val="00F31880"/>
    <w:rsid w:val="00F37E93"/>
    <w:rsid w:val="00F47E21"/>
    <w:rsid w:val="00F522D0"/>
    <w:rsid w:val="00F67ED2"/>
    <w:rsid w:val="00F737DE"/>
    <w:rsid w:val="00F764B2"/>
    <w:rsid w:val="00F8255F"/>
    <w:rsid w:val="00F84296"/>
    <w:rsid w:val="00F85A4C"/>
    <w:rsid w:val="00F86469"/>
    <w:rsid w:val="00F86646"/>
    <w:rsid w:val="00F90A03"/>
    <w:rsid w:val="00F94F9A"/>
    <w:rsid w:val="00FA0DDF"/>
    <w:rsid w:val="00FA35BF"/>
    <w:rsid w:val="00FA3A12"/>
    <w:rsid w:val="00FA77E6"/>
    <w:rsid w:val="00FA7C82"/>
    <w:rsid w:val="00FB2235"/>
    <w:rsid w:val="00FB385F"/>
    <w:rsid w:val="00FB3B13"/>
    <w:rsid w:val="00FB3D1A"/>
    <w:rsid w:val="00FC029F"/>
    <w:rsid w:val="00FC0BEF"/>
    <w:rsid w:val="00FC1B85"/>
    <w:rsid w:val="00FC4630"/>
    <w:rsid w:val="00FC46D5"/>
    <w:rsid w:val="00FC73BE"/>
    <w:rsid w:val="00FD3CD7"/>
    <w:rsid w:val="00FE6E2A"/>
    <w:rsid w:val="00FF0941"/>
    <w:rsid w:val="00FF0C1A"/>
    <w:rsid w:val="00FF55E7"/>
    <w:rsid w:val="00FF761F"/>
    <w:rsid w:val="00FF7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7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87"/>
    <w:pPr>
      <w:spacing w:after="0" w:line="240" w:lineRule="auto"/>
    </w:pPr>
    <w:rPr>
      <w:rFonts w:ascii="Arial" w:eastAsia="Times New Roman" w:hAnsi="Arial" w:cs="Arial"/>
      <w:sz w:val="20"/>
      <w:szCs w:val="20"/>
    </w:rPr>
  </w:style>
  <w:style w:type="paragraph" w:styleId="Titre1">
    <w:name w:val="heading 1"/>
    <w:aliases w:val="1,Heading 1 Char,Heading 1 Char1 Char,Heading 1 Char Char Char,Heading 1 Char1 Char Char Char,Heading 1 Char Char Char Char Char,Heading 1 Char1 Char Char Char Char Char,Heading 1 Char Char Char Char Char Char Char,Heading 1 Char1 Char1"/>
    <w:basedOn w:val="Normal"/>
    <w:next w:val="Normal"/>
    <w:link w:val="Titre1Car"/>
    <w:qFormat/>
    <w:rsid w:val="007764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qFormat/>
    <w:rsid w:val="004E70AF"/>
    <w:pPr>
      <w:keepNext/>
      <w:pBdr>
        <w:bottom w:val="single" w:sz="4" w:space="1" w:color="993366"/>
      </w:pBdr>
      <w:shd w:val="clear" w:color="auto" w:fill="002060"/>
      <w:ind w:left="357"/>
      <w:jc w:val="both"/>
      <w:outlineLvl w:val="1"/>
    </w:pPr>
    <w:rPr>
      <w:b/>
      <w:color w:val="FFFFFF"/>
      <w:kern w:val="32"/>
      <w:sz w:val="28"/>
      <w:szCs w:val="24"/>
      <w:lang w:eastAsia="fr-FR"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hd,he"/>
    <w:basedOn w:val="Normal"/>
    <w:link w:val="En-tteCar"/>
    <w:uiPriority w:val="99"/>
    <w:unhideWhenUsed/>
    <w:rsid w:val="00067772"/>
    <w:pPr>
      <w:tabs>
        <w:tab w:val="center" w:pos="4536"/>
        <w:tab w:val="right" w:pos="9072"/>
      </w:tabs>
    </w:pPr>
  </w:style>
  <w:style w:type="character" w:customStyle="1" w:styleId="En-tteCar">
    <w:name w:val="En-tête Car"/>
    <w:aliases w:val="hd Car,he Car"/>
    <w:basedOn w:val="Policepardfaut"/>
    <w:link w:val="En-tte"/>
    <w:uiPriority w:val="99"/>
    <w:rsid w:val="00067772"/>
    <w:rPr>
      <w:rFonts w:ascii="Arial" w:eastAsia="Times New Roman" w:hAnsi="Arial" w:cs="Arial"/>
      <w:sz w:val="20"/>
      <w:szCs w:val="20"/>
    </w:rPr>
  </w:style>
  <w:style w:type="paragraph" w:styleId="Pieddepage">
    <w:name w:val="footer"/>
    <w:basedOn w:val="Normal"/>
    <w:link w:val="PieddepageCar"/>
    <w:unhideWhenUsed/>
    <w:rsid w:val="00067772"/>
    <w:pPr>
      <w:tabs>
        <w:tab w:val="center" w:pos="4536"/>
        <w:tab w:val="right" w:pos="9072"/>
      </w:tabs>
    </w:pPr>
  </w:style>
  <w:style w:type="character" w:customStyle="1" w:styleId="PieddepageCar">
    <w:name w:val="Pied de page Car"/>
    <w:basedOn w:val="Policepardfaut"/>
    <w:link w:val="Pieddepage"/>
    <w:rsid w:val="00067772"/>
    <w:rPr>
      <w:rFonts w:ascii="Arial" w:eastAsia="Times New Roman" w:hAnsi="Arial" w:cs="Arial"/>
      <w:sz w:val="20"/>
      <w:szCs w:val="20"/>
    </w:rPr>
  </w:style>
  <w:style w:type="paragraph" w:styleId="Paragraphedeliste">
    <w:name w:val="List Paragraph"/>
    <w:aliases w:val="Bullets,References,Paragraphe à Puce,Listes,Medium Grid 1 - Accent 21,List Paragraph (numbered (a)),Numbered List Paragraph,Liste 1,List Paragraph1,List Bullet Mary,Paragraphe de liste du rapport,texte,Citation List,본문(내용),lp1,Celula"/>
    <w:basedOn w:val="Normal"/>
    <w:link w:val="ParagraphedelisteCar"/>
    <w:uiPriority w:val="34"/>
    <w:qFormat/>
    <w:rsid w:val="00776456"/>
    <w:pPr>
      <w:ind w:left="720"/>
      <w:contextualSpacing/>
    </w:pPr>
  </w:style>
  <w:style w:type="character" w:customStyle="1" w:styleId="Titre1Car">
    <w:name w:val="Titre 1 Car"/>
    <w:aliases w:val="1 Car,Heading 1 Char Car,Heading 1 Char1 Char Car,Heading 1 Char Char Char Car,Heading 1 Char1 Char Char Char Car,Heading 1 Char Char Char Char Char Car,Heading 1 Char1 Char Char Char Char Char Car,Heading 1 Char1 Char1 Car"/>
    <w:basedOn w:val="Policepardfaut"/>
    <w:link w:val="Titre1"/>
    <w:rsid w:val="00776456"/>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776456"/>
    <w:pPr>
      <w:spacing w:line="259" w:lineRule="auto"/>
      <w:outlineLvl w:val="9"/>
    </w:pPr>
    <w:rPr>
      <w:lang w:eastAsia="fr-FR"/>
    </w:rPr>
  </w:style>
  <w:style w:type="paragraph" w:styleId="TM1">
    <w:name w:val="toc 1"/>
    <w:basedOn w:val="Normal"/>
    <w:next w:val="Normal"/>
    <w:autoRedefine/>
    <w:uiPriority w:val="39"/>
    <w:unhideWhenUsed/>
    <w:rsid w:val="00320355"/>
    <w:pPr>
      <w:tabs>
        <w:tab w:val="left" w:pos="400"/>
        <w:tab w:val="right" w:leader="dot" w:pos="9060"/>
      </w:tabs>
      <w:spacing w:before="120" w:after="120" w:line="360" w:lineRule="auto"/>
    </w:pPr>
    <w:rPr>
      <w:rFonts w:ascii="Tw Cen MT" w:hAnsi="Tw Cen MT"/>
      <w:iCs/>
      <w:caps/>
      <w:noProof/>
      <w:sz w:val="24"/>
    </w:rPr>
  </w:style>
  <w:style w:type="character" w:styleId="Lienhypertexte">
    <w:name w:val="Hyperlink"/>
    <w:basedOn w:val="Policepardfaut"/>
    <w:uiPriority w:val="99"/>
    <w:unhideWhenUsed/>
    <w:rsid w:val="00776456"/>
    <w:rPr>
      <w:color w:val="0563C1" w:themeColor="hyperlink"/>
      <w:u w:val="single"/>
    </w:rPr>
  </w:style>
  <w:style w:type="paragraph" w:styleId="TM2">
    <w:name w:val="toc 2"/>
    <w:basedOn w:val="Normal"/>
    <w:next w:val="Normal"/>
    <w:autoRedefine/>
    <w:uiPriority w:val="39"/>
    <w:unhideWhenUsed/>
    <w:rsid w:val="00776456"/>
    <w:pPr>
      <w:ind w:left="200"/>
    </w:pPr>
    <w:rPr>
      <w:rFonts w:asciiTheme="minorHAnsi" w:hAnsiTheme="minorHAnsi" w:cstheme="minorHAnsi"/>
      <w:smallCaps/>
    </w:rPr>
  </w:style>
  <w:style w:type="paragraph" w:styleId="TM3">
    <w:name w:val="toc 3"/>
    <w:basedOn w:val="Normal"/>
    <w:next w:val="Normal"/>
    <w:autoRedefine/>
    <w:uiPriority w:val="39"/>
    <w:unhideWhenUsed/>
    <w:rsid w:val="00776456"/>
    <w:pPr>
      <w:ind w:left="400"/>
    </w:pPr>
    <w:rPr>
      <w:rFonts w:asciiTheme="minorHAnsi" w:hAnsiTheme="minorHAnsi" w:cstheme="minorHAnsi"/>
      <w:i/>
      <w:iCs/>
    </w:rPr>
  </w:style>
  <w:style w:type="paragraph" w:styleId="TM4">
    <w:name w:val="toc 4"/>
    <w:basedOn w:val="Normal"/>
    <w:next w:val="Normal"/>
    <w:autoRedefine/>
    <w:uiPriority w:val="39"/>
    <w:unhideWhenUsed/>
    <w:rsid w:val="00776456"/>
    <w:pPr>
      <w:ind w:left="600"/>
    </w:pPr>
    <w:rPr>
      <w:rFonts w:asciiTheme="minorHAnsi" w:hAnsiTheme="minorHAnsi" w:cstheme="minorHAnsi"/>
      <w:sz w:val="18"/>
      <w:szCs w:val="18"/>
    </w:rPr>
  </w:style>
  <w:style w:type="paragraph" w:styleId="TM5">
    <w:name w:val="toc 5"/>
    <w:basedOn w:val="Normal"/>
    <w:next w:val="Normal"/>
    <w:autoRedefine/>
    <w:uiPriority w:val="39"/>
    <w:unhideWhenUsed/>
    <w:rsid w:val="00776456"/>
    <w:pPr>
      <w:ind w:left="800"/>
    </w:pPr>
    <w:rPr>
      <w:rFonts w:asciiTheme="minorHAnsi" w:hAnsiTheme="minorHAnsi" w:cstheme="minorHAnsi"/>
      <w:sz w:val="18"/>
      <w:szCs w:val="18"/>
    </w:rPr>
  </w:style>
  <w:style w:type="paragraph" w:styleId="TM6">
    <w:name w:val="toc 6"/>
    <w:basedOn w:val="Normal"/>
    <w:next w:val="Normal"/>
    <w:autoRedefine/>
    <w:uiPriority w:val="39"/>
    <w:unhideWhenUsed/>
    <w:rsid w:val="00776456"/>
    <w:pPr>
      <w:ind w:left="1000"/>
    </w:pPr>
    <w:rPr>
      <w:rFonts w:asciiTheme="minorHAnsi" w:hAnsiTheme="minorHAnsi" w:cstheme="minorHAnsi"/>
      <w:sz w:val="18"/>
      <w:szCs w:val="18"/>
    </w:rPr>
  </w:style>
  <w:style w:type="paragraph" w:styleId="TM7">
    <w:name w:val="toc 7"/>
    <w:basedOn w:val="Normal"/>
    <w:next w:val="Normal"/>
    <w:autoRedefine/>
    <w:uiPriority w:val="39"/>
    <w:unhideWhenUsed/>
    <w:rsid w:val="00776456"/>
    <w:pPr>
      <w:ind w:left="1200"/>
    </w:pPr>
    <w:rPr>
      <w:rFonts w:asciiTheme="minorHAnsi" w:hAnsiTheme="minorHAnsi" w:cstheme="minorHAnsi"/>
      <w:sz w:val="18"/>
      <w:szCs w:val="18"/>
    </w:rPr>
  </w:style>
  <w:style w:type="paragraph" w:styleId="TM8">
    <w:name w:val="toc 8"/>
    <w:basedOn w:val="Normal"/>
    <w:next w:val="Normal"/>
    <w:autoRedefine/>
    <w:uiPriority w:val="39"/>
    <w:unhideWhenUsed/>
    <w:rsid w:val="00776456"/>
    <w:pPr>
      <w:ind w:left="1400"/>
    </w:pPr>
    <w:rPr>
      <w:rFonts w:asciiTheme="minorHAnsi" w:hAnsiTheme="minorHAnsi" w:cstheme="minorHAnsi"/>
      <w:sz w:val="18"/>
      <w:szCs w:val="18"/>
    </w:rPr>
  </w:style>
  <w:style w:type="paragraph" w:styleId="TM9">
    <w:name w:val="toc 9"/>
    <w:basedOn w:val="Normal"/>
    <w:next w:val="Normal"/>
    <w:autoRedefine/>
    <w:uiPriority w:val="39"/>
    <w:unhideWhenUsed/>
    <w:rsid w:val="00776456"/>
    <w:pPr>
      <w:ind w:left="1600"/>
    </w:pPr>
    <w:rPr>
      <w:rFonts w:asciiTheme="minorHAnsi" w:hAnsiTheme="minorHAnsi" w:cstheme="minorHAnsi"/>
      <w:sz w:val="18"/>
      <w:szCs w:val="18"/>
    </w:rPr>
  </w:style>
  <w:style w:type="character" w:customStyle="1" w:styleId="Titre2Car">
    <w:name w:val="Titre 2 Car"/>
    <w:basedOn w:val="Policepardfaut"/>
    <w:link w:val="Titre2"/>
    <w:rsid w:val="004E70AF"/>
    <w:rPr>
      <w:rFonts w:ascii="Arial" w:eastAsia="Times New Roman" w:hAnsi="Arial" w:cs="Arial"/>
      <w:b/>
      <w:color w:val="FFFFFF"/>
      <w:kern w:val="32"/>
      <w:sz w:val="28"/>
      <w:szCs w:val="24"/>
      <w:shd w:val="clear" w:color="auto" w:fill="002060"/>
      <w:lang w:eastAsia="fr-FR" w:bidi="ar-TN"/>
    </w:rPr>
  </w:style>
  <w:style w:type="numbering" w:customStyle="1" w:styleId="Style13">
    <w:name w:val="Style13"/>
    <w:rsid w:val="00457673"/>
    <w:pPr>
      <w:numPr>
        <w:numId w:val="4"/>
      </w:numPr>
    </w:pPr>
  </w:style>
  <w:style w:type="numbering" w:customStyle="1" w:styleId="Style24">
    <w:name w:val="Style24"/>
    <w:rsid w:val="00AA414C"/>
    <w:pPr>
      <w:numPr>
        <w:numId w:val="2"/>
      </w:numPr>
    </w:pPr>
  </w:style>
  <w:style w:type="character" w:customStyle="1" w:styleId="ParagraphedelisteCar">
    <w:name w:val="Paragraphe de liste Car"/>
    <w:aliases w:val="Bullets Car,References Car,Paragraphe à Puce Car,Listes Car,Medium Grid 1 - Accent 21 Car,List Paragraph (numbered (a)) Car,Numbered List Paragraph Car,Liste 1 Car,List Paragraph1 Car,List Bullet Mary Car,texte Car,본문(내용) Car"/>
    <w:link w:val="Paragraphedeliste"/>
    <w:uiPriority w:val="34"/>
    <w:qFormat/>
    <w:rsid w:val="00AA414C"/>
    <w:rPr>
      <w:rFonts w:ascii="Arial" w:eastAsia="Times New Roman" w:hAnsi="Arial" w:cs="Arial"/>
      <w:sz w:val="20"/>
      <w:szCs w:val="20"/>
    </w:rPr>
  </w:style>
  <w:style w:type="paragraph" w:customStyle="1" w:styleId="Style1">
    <w:name w:val="Style1"/>
    <w:basedOn w:val="Paragraphedeliste"/>
    <w:link w:val="Style1Car"/>
    <w:qFormat/>
    <w:rsid w:val="00FD3CD7"/>
    <w:pPr>
      <w:numPr>
        <w:numId w:val="1"/>
      </w:numPr>
      <w:shd w:val="clear" w:color="auto" w:fill="002060"/>
      <w:spacing w:after="240"/>
      <w:jc w:val="both"/>
      <w:outlineLvl w:val="0"/>
    </w:pPr>
    <w:rPr>
      <w:b/>
      <w:bCs/>
      <w:iCs/>
      <w:sz w:val="28"/>
      <w:szCs w:val="24"/>
    </w:rPr>
  </w:style>
  <w:style w:type="paragraph" w:customStyle="1" w:styleId="Style2">
    <w:name w:val="Style2"/>
    <w:basedOn w:val="Paragraphedeliste"/>
    <w:qFormat/>
    <w:rsid w:val="00D95F90"/>
    <w:pPr>
      <w:numPr>
        <w:numId w:val="3"/>
      </w:numPr>
      <w:shd w:val="clear" w:color="auto" w:fill="002060"/>
      <w:spacing w:before="240" w:after="240"/>
      <w:contextualSpacing w:val="0"/>
      <w:jc w:val="both"/>
      <w:outlineLvl w:val="1"/>
    </w:pPr>
    <w:rPr>
      <w:b/>
      <w:bCs/>
      <w:iCs/>
      <w:sz w:val="28"/>
      <w:szCs w:val="24"/>
    </w:rPr>
  </w:style>
  <w:style w:type="character" w:customStyle="1" w:styleId="Style1Car">
    <w:name w:val="Style1 Car"/>
    <w:basedOn w:val="ParagraphedelisteCar"/>
    <w:link w:val="Style1"/>
    <w:rsid w:val="00FD3CD7"/>
    <w:rPr>
      <w:rFonts w:ascii="Arial" w:eastAsia="Times New Roman" w:hAnsi="Arial" w:cs="Arial"/>
      <w:b/>
      <w:bCs/>
      <w:iCs/>
      <w:sz w:val="28"/>
      <w:szCs w:val="24"/>
      <w:shd w:val="clear" w:color="auto" w:fill="002060"/>
    </w:rPr>
  </w:style>
  <w:style w:type="paragraph" w:styleId="Corpsdetexte">
    <w:name w:val="Body Text"/>
    <w:basedOn w:val="Normal"/>
    <w:link w:val="CorpsdetexteCar"/>
    <w:unhideWhenUsed/>
    <w:rsid w:val="00573E97"/>
    <w:pPr>
      <w:spacing w:before="240" w:after="120" w:line="360" w:lineRule="auto"/>
      <w:jc w:val="both"/>
    </w:pPr>
    <w:rPr>
      <w:rFonts w:ascii="Times New Roman" w:hAnsi="Times New Roman" w:cs="Times New Roman"/>
      <w:lang w:eastAsia="fr-FR"/>
    </w:rPr>
  </w:style>
  <w:style w:type="character" w:customStyle="1" w:styleId="CorpsdetexteCar">
    <w:name w:val="Corps de texte Car"/>
    <w:basedOn w:val="Policepardfaut"/>
    <w:link w:val="Corpsdetexte"/>
    <w:rsid w:val="00573E9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703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0340"/>
    <w:rPr>
      <w:rFonts w:ascii="Segoe UI" w:eastAsia="Times New Roman" w:hAnsi="Segoe UI" w:cs="Segoe UI"/>
      <w:sz w:val="18"/>
      <w:szCs w:val="18"/>
    </w:rPr>
  </w:style>
  <w:style w:type="paragraph" w:customStyle="1" w:styleId="TG1">
    <w:name w:val="TG1"/>
    <w:basedOn w:val="Normal"/>
    <w:rsid w:val="00435474"/>
    <w:pPr>
      <w:suppressAutoHyphens/>
      <w:spacing w:before="180" w:line="360" w:lineRule="auto"/>
      <w:jc w:val="center"/>
    </w:pPr>
    <w:rPr>
      <w:rFonts w:ascii="Garamond" w:hAnsi="Garamond" w:cs="Times New Roman"/>
      <w:i/>
      <w:sz w:val="48"/>
      <w:lang w:eastAsia="fr-FR"/>
    </w:rPr>
  </w:style>
  <w:style w:type="table" w:customStyle="1" w:styleId="Grilledutableau2">
    <w:name w:val="Grille du tableau2"/>
    <w:basedOn w:val="TableauNormal"/>
    <w:next w:val="Grilledutableau"/>
    <w:uiPriority w:val="59"/>
    <w:rsid w:val="00325C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325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B221B"/>
    <w:rPr>
      <w:sz w:val="16"/>
      <w:szCs w:val="16"/>
    </w:rPr>
  </w:style>
  <w:style w:type="paragraph" w:styleId="Commentaire">
    <w:name w:val="annotation text"/>
    <w:basedOn w:val="Normal"/>
    <w:link w:val="CommentaireCar"/>
    <w:uiPriority w:val="99"/>
    <w:semiHidden/>
    <w:unhideWhenUsed/>
    <w:rsid w:val="00CB221B"/>
  </w:style>
  <w:style w:type="character" w:customStyle="1" w:styleId="CommentaireCar">
    <w:name w:val="Commentaire Car"/>
    <w:basedOn w:val="Policepardfaut"/>
    <w:link w:val="Commentaire"/>
    <w:uiPriority w:val="99"/>
    <w:semiHidden/>
    <w:rsid w:val="00CB221B"/>
    <w:rPr>
      <w:rFonts w:ascii="Arial" w:eastAsia="Times New Roman" w:hAnsi="Arial" w:cs="Arial"/>
      <w:sz w:val="20"/>
      <w:szCs w:val="20"/>
    </w:rPr>
  </w:style>
  <w:style w:type="paragraph" w:styleId="Objetducommentaire">
    <w:name w:val="annotation subject"/>
    <w:basedOn w:val="Commentaire"/>
    <w:next w:val="Commentaire"/>
    <w:link w:val="ObjetducommentaireCar"/>
    <w:uiPriority w:val="99"/>
    <w:semiHidden/>
    <w:unhideWhenUsed/>
    <w:rsid w:val="00CB221B"/>
    <w:rPr>
      <w:b/>
      <w:bCs/>
    </w:rPr>
  </w:style>
  <w:style w:type="character" w:customStyle="1" w:styleId="ObjetducommentaireCar">
    <w:name w:val="Objet du commentaire Car"/>
    <w:basedOn w:val="CommentaireCar"/>
    <w:link w:val="Objetducommentaire"/>
    <w:uiPriority w:val="99"/>
    <w:semiHidden/>
    <w:rsid w:val="00CB221B"/>
    <w:rPr>
      <w:rFonts w:ascii="Arial" w:eastAsia="Times New Roman" w:hAnsi="Arial" w:cs="Arial"/>
      <w:b/>
      <w:bCs/>
      <w:sz w:val="20"/>
      <w:szCs w:val="20"/>
    </w:rPr>
  </w:style>
  <w:style w:type="paragraph" w:customStyle="1" w:styleId="NumHeading">
    <w:name w:val="~NumHeading"/>
    <w:basedOn w:val="Titre1"/>
    <w:next w:val="Titre2"/>
    <w:qFormat/>
    <w:rsid w:val="00C4535A"/>
    <w:pPr>
      <w:keepNext w:val="0"/>
      <w:keepLines w:val="0"/>
      <w:pageBreakBefore/>
      <w:numPr>
        <w:numId w:val="13"/>
      </w:numPr>
      <w:tabs>
        <w:tab w:val="num" w:pos="360"/>
      </w:tabs>
      <w:spacing w:before="0" w:line="264" w:lineRule="auto"/>
      <w:ind w:left="0" w:firstLine="0"/>
    </w:pPr>
    <w:rPr>
      <w:rFonts w:ascii="Trebuchet MS" w:hAnsi="Trebuchet MS"/>
      <w:b/>
      <w:bCs/>
      <w:caps/>
      <w:color w:val="4472C4" w:themeColor="accent1"/>
      <w:kern w:val="16"/>
      <w:sz w:val="56"/>
      <w:szCs w:val="28"/>
      <w:lang w:val="en-GB" w:eastAsia="en-GB"/>
    </w:rPr>
  </w:style>
  <w:style w:type="paragraph" w:customStyle="1" w:styleId="NumBodyText">
    <w:name w:val="~NumBodyText"/>
    <w:basedOn w:val="Normal"/>
    <w:qFormat/>
    <w:rsid w:val="00C4535A"/>
    <w:pPr>
      <w:numPr>
        <w:ilvl w:val="1"/>
        <w:numId w:val="13"/>
      </w:numPr>
      <w:spacing w:after="120" w:line="264" w:lineRule="auto"/>
    </w:pPr>
    <w:rPr>
      <w:rFonts w:ascii="Trebuchet MS" w:hAnsi="Trebuchet MS" w:cs="Times New Roman"/>
      <w:color w:val="685040"/>
      <w:kern w:val="16"/>
      <w:sz w:val="18"/>
      <w:szCs w:val="24"/>
      <w:lang w:val="en-GB" w:eastAsia="en-GB"/>
    </w:rPr>
  </w:style>
  <w:style w:type="paragraph" w:customStyle="1" w:styleId="BodyText">
    <w:name w:val="~BodyText"/>
    <w:basedOn w:val="Normal"/>
    <w:link w:val="BodyTextChar"/>
    <w:qFormat/>
    <w:rsid w:val="00D711BB"/>
    <w:pPr>
      <w:spacing w:after="120" w:line="264" w:lineRule="auto"/>
    </w:pPr>
    <w:rPr>
      <w:rFonts w:ascii="Trebuchet MS" w:hAnsi="Trebuchet MS" w:cs="Times New Roman"/>
      <w:color w:val="685040"/>
      <w:kern w:val="16"/>
      <w:sz w:val="18"/>
      <w:szCs w:val="24"/>
      <w:lang w:val="en-GB" w:eastAsia="en-GB"/>
    </w:rPr>
  </w:style>
  <w:style w:type="character" w:customStyle="1" w:styleId="BodyTextChar">
    <w:name w:val="~BodyText Char"/>
    <w:basedOn w:val="Policepardfaut"/>
    <w:link w:val="BodyText"/>
    <w:rsid w:val="00D711BB"/>
    <w:rPr>
      <w:rFonts w:ascii="Trebuchet MS" w:eastAsia="Times New Roman" w:hAnsi="Trebuchet MS" w:cs="Times New Roman"/>
      <w:color w:val="685040"/>
      <w:kern w:val="16"/>
      <w:sz w:val="18"/>
      <w:szCs w:val="24"/>
      <w:lang w:val="en-GB" w:eastAsia="en-GB"/>
    </w:rPr>
  </w:style>
  <w:style w:type="character" w:customStyle="1" w:styleId="UnresolvedMention">
    <w:name w:val="Unresolved Mention"/>
    <w:basedOn w:val="Policepardfaut"/>
    <w:uiPriority w:val="99"/>
    <w:semiHidden/>
    <w:unhideWhenUsed/>
    <w:rsid w:val="00320355"/>
    <w:rPr>
      <w:color w:val="605E5C"/>
      <w:shd w:val="clear" w:color="auto" w:fill="E1DFDD"/>
    </w:rPr>
  </w:style>
  <w:style w:type="character" w:customStyle="1" w:styleId="NotedebasdepageCar">
    <w:name w:val="Note de bas de page Car"/>
    <w:aliases w:val="FOOTNOTES Car,fn Car,single space Car,footnote text Car,Char Char Char Car,Char Char Car"/>
    <w:basedOn w:val="Policepardfaut"/>
    <w:link w:val="Notedebasdepage"/>
    <w:uiPriority w:val="99"/>
    <w:locked/>
    <w:rsid w:val="005401AB"/>
    <w:rPr>
      <w:rFonts w:ascii="ヒラギノ角ゴ Pro W3" w:eastAsia="ヒラギノ角ゴ Pro W3" w:hAnsi="ヒラギノ角ゴ Pro W3" w:cs="ヒラギノ角ゴ Pro W3"/>
      <w:color w:val="000000"/>
    </w:rPr>
  </w:style>
  <w:style w:type="paragraph" w:styleId="Notedebasdepage">
    <w:name w:val="footnote text"/>
    <w:aliases w:val="FOOTNOTES,fn,single space,footnote text,Char Char Char,Char Char"/>
    <w:basedOn w:val="Normal"/>
    <w:link w:val="NotedebasdepageCar"/>
    <w:uiPriority w:val="99"/>
    <w:unhideWhenUsed/>
    <w:rsid w:val="005401AB"/>
    <w:rPr>
      <w:rFonts w:ascii="ヒラギノ角ゴ Pro W3" w:eastAsia="ヒラギノ角ゴ Pro W3" w:hAnsi="ヒラギノ角ゴ Pro W3" w:cs="ヒラギノ角ゴ Pro W3"/>
      <w:color w:val="000000"/>
      <w:sz w:val="22"/>
      <w:szCs w:val="22"/>
    </w:rPr>
  </w:style>
  <w:style w:type="character" w:customStyle="1" w:styleId="NotedebasdepageCar1">
    <w:name w:val="Note de bas de page Car1"/>
    <w:basedOn w:val="Policepardfaut"/>
    <w:uiPriority w:val="99"/>
    <w:semiHidden/>
    <w:rsid w:val="005401AB"/>
    <w:rPr>
      <w:rFonts w:ascii="Arial" w:eastAsia="Times New Roman" w:hAnsi="Arial" w:cs="Arial"/>
      <w:sz w:val="20"/>
      <w:szCs w:val="20"/>
    </w:rPr>
  </w:style>
  <w:style w:type="character" w:styleId="Appelnotedebasdep">
    <w:name w:val="footnote reference"/>
    <w:aliases w:val="Error-Fußnotenzeichen5,Error-Fußnotenzeichen6,Error-Fußnotenzeichen3"/>
    <w:uiPriority w:val="99"/>
    <w:unhideWhenUsed/>
    <w:rsid w:val="005401AB"/>
    <w:rPr>
      <w:vertAlign w:val="superscript"/>
    </w:rPr>
  </w:style>
  <w:style w:type="paragraph" w:styleId="Rvision">
    <w:name w:val="Revision"/>
    <w:hidden/>
    <w:uiPriority w:val="99"/>
    <w:semiHidden/>
    <w:rsid w:val="005D4EDB"/>
    <w:pPr>
      <w:spacing w:after="0" w:line="240" w:lineRule="auto"/>
    </w:pPr>
    <w:rPr>
      <w:rFonts w:ascii="Arial" w:eastAsia="Times New Roman" w:hAnsi="Arial" w:cs="Arial"/>
      <w:sz w:val="20"/>
      <w:szCs w:val="20"/>
    </w:rPr>
  </w:style>
  <w:style w:type="character" w:styleId="Lienhypertextesuivivisit">
    <w:name w:val="FollowedHyperlink"/>
    <w:basedOn w:val="Policepardfaut"/>
    <w:uiPriority w:val="99"/>
    <w:semiHidden/>
    <w:unhideWhenUsed/>
    <w:rsid w:val="00BC0972"/>
    <w:rPr>
      <w:color w:val="954F72" w:themeColor="followedHyperlink"/>
      <w:u w:val="single"/>
    </w:rPr>
  </w:style>
  <w:style w:type="paragraph" w:styleId="Lgende">
    <w:name w:val="caption"/>
    <w:basedOn w:val="Normal"/>
    <w:next w:val="Normal"/>
    <w:uiPriority w:val="35"/>
    <w:unhideWhenUsed/>
    <w:qFormat/>
    <w:rsid w:val="00A255CD"/>
    <w:pPr>
      <w:spacing w:after="200"/>
    </w:pPr>
    <w:rPr>
      <w:i/>
      <w:iCs/>
      <w:color w:val="44546A" w:themeColor="text2"/>
      <w:sz w:val="18"/>
      <w:szCs w:val="18"/>
    </w:rPr>
  </w:style>
  <w:style w:type="paragraph" w:styleId="Tabledesillustrations">
    <w:name w:val="table of figures"/>
    <w:basedOn w:val="Normal"/>
    <w:next w:val="Normal"/>
    <w:uiPriority w:val="99"/>
    <w:unhideWhenUsed/>
    <w:rsid w:val="004E4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87"/>
    <w:pPr>
      <w:spacing w:after="0" w:line="240" w:lineRule="auto"/>
    </w:pPr>
    <w:rPr>
      <w:rFonts w:ascii="Arial" w:eastAsia="Times New Roman" w:hAnsi="Arial" w:cs="Arial"/>
      <w:sz w:val="20"/>
      <w:szCs w:val="20"/>
    </w:rPr>
  </w:style>
  <w:style w:type="paragraph" w:styleId="Titre1">
    <w:name w:val="heading 1"/>
    <w:aliases w:val="1,Heading 1 Char,Heading 1 Char1 Char,Heading 1 Char Char Char,Heading 1 Char1 Char Char Char,Heading 1 Char Char Char Char Char,Heading 1 Char1 Char Char Char Char Char,Heading 1 Char Char Char Char Char Char Char,Heading 1 Char1 Char1"/>
    <w:basedOn w:val="Normal"/>
    <w:next w:val="Normal"/>
    <w:link w:val="Titre1Car"/>
    <w:qFormat/>
    <w:rsid w:val="007764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qFormat/>
    <w:rsid w:val="004E70AF"/>
    <w:pPr>
      <w:keepNext/>
      <w:pBdr>
        <w:bottom w:val="single" w:sz="4" w:space="1" w:color="993366"/>
      </w:pBdr>
      <w:shd w:val="clear" w:color="auto" w:fill="002060"/>
      <w:ind w:left="357"/>
      <w:jc w:val="both"/>
      <w:outlineLvl w:val="1"/>
    </w:pPr>
    <w:rPr>
      <w:b/>
      <w:color w:val="FFFFFF"/>
      <w:kern w:val="32"/>
      <w:sz w:val="28"/>
      <w:szCs w:val="24"/>
      <w:lang w:eastAsia="fr-FR"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hd,he"/>
    <w:basedOn w:val="Normal"/>
    <w:link w:val="En-tteCar"/>
    <w:uiPriority w:val="99"/>
    <w:unhideWhenUsed/>
    <w:rsid w:val="00067772"/>
    <w:pPr>
      <w:tabs>
        <w:tab w:val="center" w:pos="4536"/>
        <w:tab w:val="right" w:pos="9072"/>
      </w:tabs>
    </w:pPr>
  </w:style>
  <w:style w:type="character" w:customStyle="1" w:styleId="En-tteCar">
    <w:name w:val="En-tête Car"/>
    <w:aliases w:val="hd Car,he Car"/>
    <w:basedOn w:val="Policepardfaut"/>
    <w:link w:val="En-tte"/>
    <w:uiPriority w:val="99"/>
    <w:rsid w:val="00067772"/>
    <w:rPr>
      <w:rFonts w:ascii="Arial" w:eastAsia="Times New Roman" w:hAnsi="Arial" w:cs="Arial"/>
      <w:sz w:val="20"/>
      <w:szCs w:val="20"/>
    </w:rPr>
  </w:style>
  <w:style w:type="paragraph" w:styleId="Pieddepage">
    <w:name w:val="footer"/>
    <w:basedOn w:val="Normal"/>
    <w:link w:val="PieddepageCar"/>
    <w:unhideWhenUsed/>
    <w:rsid w:val="00067772"/>
    <w:pPr>
      <w:tabs>
        <w:tab w:val="center" w:pos="4536"/>
        <w:tab w:val="right" w:pos="9072"/>
      </w:tabs>
    </w:pPr>
  </w:style>
  <w:style w:type="character" w:customStyle="1" w:styleId="PieddepageCar">
    <w:name w:val="Pied de page Car"/>
    <w:basedOn w:val="Policepardfaut"/>
    <w:link w:val="Pieddepage"/>
    <w:rsid w:val="00067772"/>
    <w:rPr>
      <w:rFonts w:ascii="Arial" w:eastAsia="Times New Roman" w:hAnsi="Arial" w:cs="Arial"/>
      <w:sz w:val="20"/>
      <w:szCs w:val="20"/>
    </w:rPr>
  </w:style>
  <w:style w:type="paragraph" w:styleId="Paragraphedeliste">
    <w:name w:val="List Paragraph"/>
    <w:aliases w:val="Bullets,References,Paragraphe à Puce,Listes,Medium Grid 1 - Accent 21,List Paragraph (numbered (a)),Numbered List Paragraph,Liste 1,List Paragraph1,List Bullet Mary,Paragraphe de liste du rapport,texte,Citation List,본문(내용),lp1,Celula"/>
    <w:basedOn w:val="Normal"/>
    <w:link w:val="ParagraphedelisteCar"/>
    <w:uiPriority w:val="34"/>
    <w:qFormat/>
    <w:rsid w:val="00776456"/>
    <w:pPr>
      <w:ind w:left="720"/>
      <w:contextualSpacing/>
    </w:pPr>
  </w:style>
  <w:style w:type="character" w:customStyle="1" w:styleId="Titre1Car">
    <w:name w:val="Titre 1 Car"/>
    <w:aliases w:val="1 Car,Heading 1 Char Car,Heading 1 Char1 Char Car,Heading 1 Char Char Char Car,Heading 1 Char1 Char Char Char Car,Heading 1 Char Char Char Char Char Car,Heading 1 Char1 Char Char Char Char Char Car,Heading 1 Char1 Char1 Car"/>
    <w:basedOn w:val="Policepardfaut"/>
    <w:link w:val="Titre1"/>
    <w:rsid w:val="00776456"/>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776456"/>
    <w:pPr>
      <w:spacing w:line="259" w:lineRule="auto"/>
      <w:outlineLvl w:val="9"/>
    </w:pPr>
    <w:rPr>
      <w:lang w:eastAsia="fr-FR"/>
    </w:rPr>
  </w:style>
  <w:style w:type="paragraph" w:styleId="TM1">
    <w:name w:val="toc 1"/>
    <w:basedOn w:val="Normal"/>
    <w:next w:val="Normal"/>
    <w:autoRedefine/>
    <w:uiPriority w:val="39"/>
    <w:unhideWhenUsed/>
    <w:rsid w:val="00320355"/>
    <w:pPr>
      <w:tabs>
        <w:tab w:val="left" w:pos="400"/>
        <w:tab w:val="right" w:leader="dot" w:pos="9060"/>
      </w:tabs>
      <w:spacing w:before="120" w:after="120" w:line="360" w:lineRule="auto"/>
    </w:pPr>
    <w:rPr>
      <w:rFonts w:ascii="Tw Cen MT" w:hAnsi="Tw Cen MT"/>
      <w:iCs/>
      <w:caps/>
      <w:noProof/>
      <w:sz w:val="24"/>
    </w:rPr>
  </w:style>
  <w:style w:type="character" w:styleId="Lienhypertexte">
    <w:name w:val="Hyperlink"/>
    <w:basedOn w:val="Policepardfaut"/>
    <w:uiPriority w:val="99"/>
    <w:unhideWhenUsed/>
    <w:rsid w:val="00776456"/>
    <w:rPr>
      <w:color w:val="0563C1" w:themeColor="hyperlink"/>
      <w:u w:val="single"/>
    </w:rPr>
  </w:style>
  <w:style w:type="paragraph" w:styleId="TM2">
    <w:name w:val="toc 2"/>
    <w:basedOn w:val="Normal"/>
    <w:next w:val="Normal"/>
    <w:autoRedefine/>
    <w:uiPriority w:val="39"/>
    <w:unhideWhenUsed/>
    <w:rsid w:val="00776456"/>
    <w:pPr>
      <w:ind w:left="200"/>
    </w:pPr>
    <w:rPr>
      <w:rFonts w:asciiTheme="minorHAnsi" w:hAnsiTheme="minorHAnsi" w:cstheme="minorHAnsi"/>
      <w:smallCaps/>
    </w:rPr>
  </w:style>
  <w:style w:type="paragraph" w:styleId="TM3">
    <w:name w:val="toc 3"/>
    <w:basedOn w:val="Normal"/>
    <w:next w:val="Normal"/>
    <w:autoRedefine/>
    <w:uiPriority w:val="39"/>
    <w:unhideWhenUsed/>
    <w:rsid w:val="00776456"/>
    <w:pPr>
      <w:ind w:left="400"/>
    </w:pPr>
    <w:rPr>
      <w:rFonts w:asciiTheme="minorHAnsi" w:hAnsiTheme="minorHAnsi" w:cstheme="minorHAnsi"/>
      <w:i/>
      <w:iCs/>
    </w:rPr>
  </w:style>
  <w:style w:type="paragraph" w:styleId="TM4">
    <w:name w:val="toc 4"/>
    <w:basedOn w:val="Normal"/>
    <w:next w:val="Normal"/>
    <w:autoRedefine/>
    <w:uiPriority w:val="39"/>
    <w:unhideWhenUsed/>
    <w:rsid w:val="00776456"/>
    <w:pPr>
      <w:ind w:left="600"/>
    </w:pPr>
    <w:rPr>
      <w:rFonts w:asciiTheme="minorHAnsi" w:hAnsiTheme="minorHAnsi" w:cstheme="minorHAnsi"/>
      <w:sz w:val="18"/>
      <w:szCs w:val="18"/>
    </w:rPr>
  </w:style>
  <w:style w:type="paragraph" w:styleId="TM5">
    <w:name w:val="toc 5"/>
    <w:basedOn w:val="Normal"/>
    <w:next w:val="Normal"/>
    <w:autoRedefine/>
    <w:uiPriority w:val="39"/>
    <w:unhideWhenUsed/>
    <w:rsid w:val="00776456"/>
    <w:pPr>
      <w:ind w:left="800"/>
    </w:pPr>
    <w:rPr>
      <w:rFonts w:asciiTheme="minorHAnsi" w:hAnsiTheme="minorHAnsi" w:cstheme="minorHAnsi"/>
      <w:sz w:val="18"/>
      <w:szCs w:val="18"/>
    </w:rPr>
  </w:style>
  <w:style w:type="paragraph" w:styleId="TM6">
    <w:name w:val="toc 6"/>
    <w:basedOn w:val="Normal"/>
    <w:next w:val="Normal"/>
    <w:autoRedefine/>
    <w:uiPriority w:val="39"/>
    <w:unhideWhenUsed/>
    <w:rsid w:val="00776456"/>
    <w:pPr>
      <w:ind w:left="1000"/>
    </w:pPr>
    <w:rPr>
      <w:rFonts w:asciiTheme="minorHAnsi" w:hAnsiTheme="minorHAnsi" w:cstheme="minorHAnsi"/>
      <w:sz w:val="18"/>
      <w:szCs w:val="18"/>
    </w:rPr>
  </w:style>
  <w:style w:type="paragraph" w:styleId="TM7">
    <w:name w:val="toc 7"/>
    <w:basedOn w:val="Normal"/>
    <w:next w:val="Normal"/>
    <w:autoRedefine/>
    <w:uiPriority w:val="39"/>
    <w:unhideWhenUsed/>
    <w:rsid w:val="00776456"/>
    <w:pPr>
      <w:ind w:left="1200"/>
    </w:pPr>
    <w:rPr>
      <w:rFonts w:asciiTheme="minorHAnsi" w:hAnsiTheme="minorHAnsi" w:cstheme="minorHAnsi"/>
      <w:sz w:val="18"/>
      <w:szCs w:val="18"/>
    </w:rPr>
  </w:style>
  <w:style w:type="paragraph" w:styleId="TM8">
    <w:name w:val="toc 8"/>
    <w:basedOn w:val="Normal"/>
    <w:next w:val="Normal"/>
    <w:autoRedefine/>
    <w:uiPriority w:val="39"/>
    <w:unhideWhenUsed/>
    <w:rsid w:val="00776456"/>
    <w:pPr>
      <w:ind w:left="1400"/>
    </w:pPr>
    <w:rPr>
      <w:rFonts w:asciiTheme="minorHAnsi" w:hAnsiTheme="minorHAnsi" w:cstheme="minorHAnsi"/>
      <w:sz w:val="18"/>
      <w:szCs w:val="18"/>
    </w:rPr>
  </w:style>
  <w:style w:type="paragraph" w:styleId="TM9">
    <w:name w:val="toc 9"/>
    <w:basedOn w:val="Normal"/>
    <w:next w:val="Normal"/>
    <w:autoRedefine/>
    <w:uiPriority w:val="39"/>
    <w:unhideWhenUsed/>
    <w:rsid w:val="00776456"/>
    <w:pPr>
      <w:ind w:left="1600"/>
    </w:pPr>
    <w:rPr>
      <w:rFonts w:asciiTheme="minorHAnsi" w:hAnsiTheme="minorHAnsi" w:cstheme="minorHAnsi"/>
      <w:sz w:val="18"/>
      <w:szCs w:val="18"/>
    </w:rPr>
  </w:style>
  <w:style w:type="character" w:customStyle="1" w:styleId="Titre2Car">
    <w:name w:val="Titre 2 Car"/>
    <w:basedOn w:val="Policepardfaut"/>
    <w:link w:val="Titre2"/>
    <w:rsid w:val="004E70AF"/>
    <w:rPr>
      <w:rFonts w:ascii="Arial" w:eastAsia="Times New Roman" w:hAnsi="Arial" w:cs="Arial"/>
      <w:b/>
      <w:color w:val="FFFFFF"/>
      <w:kern w:val="32"/>
      <w:sz w:val="28"/>
      <w:szCs w:val="24"/>
      <w:shd w:val="clear" w:color="auto" w:fill="002060"/>
      <w:lang w:eastAsia="fr-FR" w:bidi="ar-TN"/>
    </w:rPr>
  </w:style>
  <w:style w:type="numbering" w:customStyle="1" w:styleId="Style13">
    <w:name w:val="Style13"/>
    <w:rsid w:val="00457673"/>
    <w:pPr>
      <w:numPr>
        <w:numId w:val="4"/>
      </w:numPr>
    </w:pPr>
  </w:style>
  <w:style w:type="numbering" w:customStyle="1" w:styleId="Style24">
    <w:name w:val="Style24"/>
    <w:rsid w:val="00AA414C"/>
    <w:pPr>
      <w:numPr>
        <w:numId w:val="2"/>
      </w:numPr>
    </w:pPr>
  </w:style>
  <w:style w:type="character" w:customStyle="1" w:styleId="ParagraphedelisteCar">
    <w:name w:val="Paragraphe de liste Car"/>
    <w:aliases w:val="Bullets Car,References Car,Paragraphe à Puce Car,Listes Car,Medium Grid 1 - Accent 21 Car,List Paragraph (numbered (a)) Car,Numbered List Paragraph Car,Liste 1 Car,List Paragraph1 Car,List Bullet Mary Car,texte Car,본문(내용) Car"/>
    <w:link w:val="Paragraphedeliste"/>
    <w:uiPriority w:val="34"/>
    <w:qFormat/>
    <w:rsid w:val="00AA414C"/>
    <w:rPr>
      <w:rFonts w:ascii="Arial" w:eastAsia="Times New Roman" w:hAnsi="Arial" w:cs="Arial"/>
      <w:sz w:val="20"/>
      <w:szCs w:val="20"/>
    </w:rPr>
  </w:style>
  <w:style w:type="paragraph" w:customStyle="1" w:styleId="Style1">
    <w:name w:val="Style1"/>
    <w:basedOn w:val="Paragraphedeliste"/>
    <w:link w:val="Style1Car"/>
    <w:qFormat/>
    <w:rsid w:val="00FD3CD7"/>
    <w:pPr>
      <w:numPr>
        <w:numId w:val="1"/>
      </w:numPr>
      <w:shd w:val="clear" w:color="auto" w:fill="002060"/>
      <w:spacing w:after="240"/>
      <w:jc w:val="both"/>
      <w:outlineLvl w:val="0"/>
    </w:pPr>
    <w:rPr>
      <w:b/>
      <w:bCs/>
      <w:iCs/>
      <w:sz w:val="28"/>
      <w:szCs w:val="24"/>
    </w:rPr>
  </w:style>
  <w:style w:type="paragraph" w:customStyle="1" w:styleId="Style2">
    <w:name w:val="Style2"/>
    <w:basedOn w:val="Paragraphedeliste"/>
    <w:qFormat/>
    <w:rsid w:val="00D95F90"/>
    <w:pPr>
      <w:numPr>
        <w:numId w:val="3"/>
      </w:numPr>
      <w:shd w:val="clear" w:color="auto" w:fill="002060"/>
      <w:spacing w:before="240" w:after="240"/>
      <w:contextualSpacing w:val="0"/>
      <w:jc w:val="both"/>
      <w:outlineLvl w:val="1"/>
    </w:pPr>
    <w:rPr>
      <w:b/>
      <w:bCs/>
      <w:iCs/>
      <w:sz w:val="28"/>
      <w:szCs w:val="24"/>
    </w:rPr>
  </w:style>
  <w:style w:type="character" w:customStyle="1" w:styleId="Style1Car">
    <w:name w:val="Style1 Car"/>
    <w:basedOn w:val="ParagraphedelisteCar"/>
    <w:link w:val="Style1"/>
    <w:rsid w:val="00FD3CD7"/>
    <w:rPr>
      <w:rFonts w:ascii="Arial" w:eastAsia="Times New Roman" w:hAnsi="Arial" w:cs="Arial"/>
      <w:b/>
      <w:bCs/>
      <w:iCs/>
      <w:sz w:val="28"/>
      <w:szCs w:val="24"/>
      <w:shd w:val="clear" w:color="auto" w:fill="002060"/>
    </w:rPr>
  </w:style>
  <w:style w:type="paragraph" w:styleId="Corpsdetexte">
    <w:name w:val="Body Text"/>
    <w:basedOn w:val="Normal"/>
    <w:link w:val="CorpsdetexteCar"/>
    <w:unhideWhenUsed/>
    <w:rsid w:val="00573E97"/>
    <w:pPr>
      <w:spacing w:before="240" w:after="120" w:line="360" w:lineRule="auto"/>
      <w:jc w:val="both"/>
    </w:pPr>
    <w:rPr>
      <w:rFonts w:ascii="Times New Roman" w:hAnsi="Times New Roman" w:cs="Times New Roman"/>
      <w:lang w:eastAsia="fr-FR"/>
    </w:rPr>
  </w:style>
  <w:style w:type="character" w:customStyle="1" w:styleId="CorpsdetexteCar">
    <w:name w:val="Corps de texte Car"/>
    <w:basedOn w:val="Policepardfaut"/>
    <w:link w:val="Corpsdetexte"/>
    <w:rsid w:val="00573E9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703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0340"/>
    <w:rPr>
      <w:rFonts w:ascii="Segoe UI" w:eastAsia="Times New Roman" w:hAnsi="Segoe UI" w:cs="Segoe UI"/>
      <w:sz w:val="18"/>
      <w:szCs w:val="18"/>
    </w:rPr>
  </w:style>
  <w:style w:type="paragraph" w:customStyle="1" w:styleId="TG1">
    <w:name w:val="TG1"/>
    <w:basedOn w:val="Normal"/>
    <w:rsid w:val="00435474"/>
    <w:pPr>
      <w:suppressAutoHyphens/>
      <w:spacing w:before="180" w:line="360" w:lineRule="auto"/>
      <w:jc w:val="center"/>
    </w:pPr>
    <w:rPr>
      <w:rFonts w:ascii="Garamond" w:hAnsi="Garamond" w:cs="Times New Roman"/>
      <w:i/>
      <w:sz w:val="48"/>
      <w:lang w:eastAsia="fr-FR"/>
    </w:rPr>
  </w:style>
  <w:style w:type="table" w:customStyle="1" w:styleId="Grilledutableau2">
    <w:name w:val="Grille du tableau2"/>
    <w:basedOn w:val="TableauNormal"/>
    <w:next w:val="Grilledutableau"/>
    <w:uiPriority w:val="59"/>
    <w:rsid w:val="00325C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325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B221B"/>
    <w:rPr>
      <w:sz w:val="16"/>
      <w:szCs w:val="16"/>
    </w:rPr>
  </w:style>
  <w:style w:type="paragraph" w:styleId="Commentaire">
    <w:name w:val="annotation text"/>
    <w:basedOn w:val="Normal"/>
    <w:link w:val="CommentaireCar"/>
    <w:uiPriority w:val="99"/>
    <w:semiHidden/>
    <w:unhideWhenUsed/>
    <w:rsid w:val="00CB221B"/>
  </w:style>
  <w:style w:type="character" w:customStyle="1" w:styleId="CommentaireCar">
    <w:name w:val="Commentaire Car"/>
    <w:basedOn w:val="Policepardfaut"/>
    <w:link w:val="Commentaire"/>
    <w:uiPriority w:val="99"/>
    <w:semiHidden/>
    <w:rsid w:val="00CB221B"/>
    <w:rPr>
      <w:rFonts w:ascii="Arial" w:eastAsia="Times New Roman" w:hAnsi="Arial" w:cs="Arial"/>
      <w:sz w:val="20"/>
      <w:szCs w:val="20"/>
    </w:rPr>
  </w:style>
  <w:style w:type="paragraph" w:styleId="Objetducommentaire">
    <w:name w:val="annotation subject"/>
    <w:basedOn w:val="Commentaire"/>
    <w:next w:val="Commentaire"/>
    <w:link w:val="ObjetducommentaireCar"/>
    <w:uiPriority w:val="99"/>
    <w:semiHidden/>
    <w:unhideWhenUsed/>
    <w:rsid w:val="00CB221B"/>
    <w:rPr>
      <w:b/>
      <w:bCs/>
    </w:rPr>
  </w:style>
  <w:style w:type="character" w:customStyle="1" w:styleId="ObjetducommentaireCar">
    <w:name w:val="Objet du commentaire Car"/>
    <w:basedOn w:val="CommentaireCar"/>
    <w:link w:val="Objetducommentaire"/>
    <w:uiPriority w:val="99"/>
    <w:semiHidden/>
    <w:rsid w:val="00CB221B"/>
    <w:rPr>
      <w:rFonts w:ascii="Arial" w:eastAsia="Times New Roman" w:hAnsi="Arial" w:cs="Arial"/>
      <w:b/>
      <w:bCs/>
      <w:sz w:val="20"/>
      <w:szCs w:val="20"/>
    </w:rPr>
  </w:style>
  <w:style w:type="paragraph" w:customStyle="1" w:styleId="NumHeading">
    <w:name w:val="~NumHeading"/>
    <w:basedOn w:val="Titre1"/>
    <w:next w:val="Titre2"/>
    <w:qFormat/>
    <w:rsid w:val="00C4535A"/>
    <w:pPr>
      <w:keepNext w:val="0"/>
      <w:keepLines w:val="0"/>
      <w:pageBreakBefore/>
      <w:numPr>
        <w:numId w:val="13"/>
      </w:numPr>
      <w:tabs>
        <w:tab w:val="num" w:pos="360"/>
      </w:tabs>
      <w:spacing w:before="0" w:line="264" w:lineRule="auto"/>
      <w:ind w:left="0" w:firstLine="0"/>
    </w:pPr>
    <w:rPr>
      <w:rFonts w:ascii="Trebuchet MS" w:hAnsi="Trebuchet MS"/>
      <w:b/>
      <w:bCs/>
      <w:caps/>
      <w:color w:val="4472C4" w:themeColor="accent1"/>
      <w:kern w:val="16"/>
      <w:sz w:val="56"/>
      <w:szCs w:val="28"/>
      <w:lang w:val="en-GB" w:eastAsia="en-GB"/>
    </w:rPr>
  </w:style>
  <w:style w:type="paragraph" w:customStyle="1" w:styleId="NumBodyText">
    <w:name w:val="~NumBodyText"/>
    <w:basedOn w:val="Normal"/>
    <w:qFormat/>
    <w:rsid w:val="00C4535A"/>
    <w:pPr>
      <w:numPr>
        <w:ilvl w:val="1"/>
        <w:numId w:val="13"/>
      </w:numPr>
      <w:spacing w:after="120" w:line="264" w:lineRule="auto"/>
    </w:pPr>
    <w:rPr>
      <w:rFonts w:ascii="Trebuchet MS" w:hAnsi="Trebuchet MS" w:cs="Times New Roman"/>
      <w:color w:val="685040"/>
      <w:kern w:val="16"/>
      <w:sz w:val="18"/>
      <w:szCs w:val="24"/>
      <w:lang w:val="en-GB" w:eastAsia="en-GB"/>
    </w:rPr>
  </w:style>
  <w:style w:type="paragraph" w:customStyle="1" w:styleId="BodyText">
    <w:name w:val="~BodyText"/>
    <w:basedOn w:val="Normal"/>
    <w:link w:val="BodyTextChar"/>
    <w:qFormat/>
    <w:rsid w:val="00D711BB"/>
    <w:pPr>
      <w:spacing w:after="120" w:line="264" w:lineRule="auto"/>
    </w:pPr>
    <w:rPr>
      <w:rFonts w:ascii="Trebuchet MS" w:hAnsi="Trebuchet MS" w:cs="Times New Roman"/>
      <w:color w:val="685040"/>
      <w:kern w:val="16"/>
      <w:sz w:val="18"/>
      <w:szCs w:val="24"/>
      <w:lang w:val="en-GB" w:eastAsia="en-GB"/>
    </w:rPr>
  </w:style>
  <w:style w:type="character" w:customStyle="1" w:styleId="BodyTextChar">
    <w:name w:val="~BodyText Char"/>
    <w:basedOn w:val="Policepardfaut"/>
    <w:link w:val="BodyText"/>
    <w:rsid w:val="00D711BB"/>
    <w:rPr>
      <w:rFonts w:ascii="Trebuchet MS" w:eastAsia="Times New Roman" w:hAnsi="Trebuchet MS" w:cs="Times New Roman"/>
      <w:color w:val="685040"/>
      <w:kern w:val="16"/>
      <w:sz w:val="18"/>
      <w:szCs w:val="24"/>
      <w:lang w:val="en-GB" w:eastAsia="en-GB"/>
    </w:rPr>
  </w:style>
  <w:style w:type="character" w:customStyle="1" w:styleId="UnresolvedMention">
    <w:name w:val="Unresolved Mention"/>
    <w:basedOn w:val="Policepardfaut"/>
    <w:uiPriority w:val="99"/>
    <w:semiHidden/>
    <w:unhideWhenUsed/>
    <w:rsid w:val="00320355"/>
    <w:rPr>
      <w:color w:val="605E5C"/>
      <w:shd w:val="clear" w:color="auto" w:fill="E1DFDD"/>
    </w:rPr>
  </w:style>
  <w:style w:type="character" w:customStyle="1" w:styleId="NotedebasdepageCar">
    <w:name w:val="Note de bas de page Car"/>
    <w:aliases w:val="FOOTNOTES Car,fn Car,single space Car,footnote text Car,Char Char Char Car,Char Char Car"/>
    <w:basedOn w:val="Policepardfaut"/>
    <w:link w:val="Notedebasdepage"/>
    <w:uiPriority w:val="99"/>
    <w:locked/>
    <w:rsid w:val="005401AB"/>
    <w:rPr>
      <w:rFonts w:ascii="ヒラギノ角ゴ Pro W3" w:eastAsia="ヒラギノ角ゴ Pro W3" w:hAnsi="ヒラギノ角ゴ Pro W3" w:cs="ヒラギノ角ゴ Pro W3"/>
      <w:color w:val="000000"/>
    </w:rPr>
  </w:style>
  <w:style w:type="paragraph" w:styleId="Notedebasdepage">
    <w:name w:val="footnote text"/>
    <w:aliases w:val="FOOTNOTES,fn,single space,footnote text,Char Char Char,Char Char"/>
    <w:basedOn w:val="Normal"/>
    <w:link w:val="NotedebasdepageCar"/>
    <w:uiPriority w:val="99"/>
    <w:unhideWhenUsed/>
    <w:rsid w:val="005401AB"/>
    <w:rPr>
      <w:rFonts w:ascii="ヒラギノ角ゴ Pro W3" w:eastAsia="ヒラギノ角ゴ Pro W3" w:hAnsi="ヒラギノ角ゴ Pro W3" w:cs="ヒラギノ角ゴ Pro W3"/>
      <w:color w:val="000000"/>
      <w:sz w:val="22"/>
      <w:szCs w:val="22"/>
    </w:rPr>
  </w:style>
  <w:style w:type="character" w:customStyle="1" w:styleId="NotedebasdepageCar1">
    <w:name w:val="Note de bas de page Car1"/>
    <w:basedOn w:val="Policepardfaut"/>
    <w:uiPriority w:val="99"/>
    <w:semiHidden/>
    <w:rsid w:val="005401AB"/>
    <w:rPr>
      <w:rFonts w:ascii="Arial" w:eastAsia="Times New Roman" w:hAnsi="Arial" w:cs="Arial"/>
      <w:sz w:val="20"/>
      <w:szCs w:val="20"/>
    </w:rPr>
  </w:style>
  <w:style w:type="character" w:styleId="Appelnotedebasdep">
    <w:name w:val="footnote reference"/>
    <w:aliases w:val="Error-Fußnotenzeichen5,Error-Fußnotenzeichen6,Error-Fußnotenzeichen3"/>
    <w:uiPriority w:val="99"/>
    <w:unhideWhenUsed/>
    <w:rsid w:val="005401AB"/>
    <w:rPr>
      <w:vertAlign w:val="superscript"/>
    </w:rPr>
  </w:style>
  <w:style w:type="paragraph" w:styleId="Rvision">
    <w:name w:val="Revision"/>
    <w:hidden/>
    <w:uiPriority w:val="99"/>
    <w:semiHidden/>
    <w:rsid w:val="005D4EDB"/>
    <w:pPr>
      <w:spacing w:after="0" w:line="240" w:lineRule="auto"/>
    </w:pPr>
    <w:rPr>
      <w:rFonts w:ascii="Arial" w:eastAsia="Times New Roman" w:hAnsi="Arial" w:cs="Arial"/>
      <w:sz w:val="20"/>
      <w:szCs w:val="20"/>
    </w:rPr>
  </w:style>
  <w:style w:type="character" w:styleId="Lienhypertextesuivivisit">
    <w:name w:val="FollowedHyperlink"/>
    <w:basedOn w:val="Policepardfaut"/>
    <w:uiPriority w:val="99"/>
    <w:semiHidden/>
    <w:unhideWhenUsed/>
    <w:rsid w:val="00BC0972"/>
    <w:rPr>
      <w:color w:val="954F72" w:themeColor="followedHyperlink"/>
      <w:u w:val="single"/>
    </w:rPr>
  </w:style>
  <w:style w:type="paragraph" w:styleId="Lgende">
    <w:name w:val="caption"/>
    <w:basedOn w:val="Normal"/>
    <w:next w:val="Normal"/>
    <w:uiPriority w:val="35"/>
    <w:unhideWhenUsed/>
    <w:qFormat/>
    <w:rsid w:val="00A255CD"/>
    <w:pPr>
      <w:spacing w:after="200"/>
    </w:pPr>
    <w:rPr>
      <w:i/>
      <w:iCs/>
      <w:color w:val="44546A" w:themeColor="text2"/>
      <w:sz w:val="18"/>
      <w:szCs w:val="18"/>
    </w:rPr>
  </w:style>
  <w:style w:type="paragraph" w:styleId="Tabledesillustrations">
    <w:name w:val="table of figures"/>
    <w:basedOn w:val="Normal"/>
    <w:next w:val="Normal"/>
    <w:uiPriority w:val="99"/>
    <w:unhideWhenUsed/>
    <w:rsid w:val="004E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714">
      <w:bodyDiv w:val="1"/>
      <w:marLeft w:val="0"/>
      <w:marRight w:val="0"/>
      <w:marTop w:val="0"/>
      <w:marBottom w:val="0"/>
      <w:divBdr>
        <w:top w:val="none" w:sz="0" w:space="0" w:color="auto"/>
        <w:left w:val="none" w:sz="0" w:space="0" w:color="auto"/>
        <w:bottom w:val="none" w:sz="0" w:space="0" w:color="auto"/>
        <w:right w:val="none" w:sz="0" w:space="0" w:color="auto"/>
      </w:divBdr>
    </w:div>
    <w:div w:id="46153972">
      <w:bodyDiv w:val="1"/>
      <w:marLeft w:val="0"/>
      <w:marRight w:val="0"/>
      <w:marTop w:val="0"/>
      <w:marBottom w:val="0"/>
      <w:divBdr>
        <w:top w:val="none" w:sz="0" w:space="0" w:color="auto"/>
        <w:left w:val="none" w:sz="0" w:space="0" w:color="auto"/>
        <w:bottom w:val="none" w:sz="0" w:space="0" w:color="auto"/>
        <w:right w:val="none" w:sz="0" w:space="0" w:color="auto"/>
      </w:divBdr>
    </w:div>
    <w:div w:id="50735884">
      <w:bodyDiv w:val="1"/>
      <w:marLeft w:val="0"/>
      <w:marRight w:val="0"/>
      <w:marTop w:val="0"/>
      <w:marBottom w:val="0"/>
      <w:divBdr>
        <w:top w:val="none" w:sz="0" w:space="0" w:color="auto"/>
        <w:left w:val="none" w:sz="0" w:space="0" w:color="auto"/>
        <w:bottom w:val="none" w:sz="0" w:space="0" w:color="auto"/>
        <w:right w:val="none" w:sz="0" w:space="0" w:color="auto"/>
      </w:divBdr>
    </w:div>
    <w:div w:id="81535980">
      <w:bodyDiv w:val="1"/>
      <w:marLeft w:val="0"/>
      <w:marRight w:val="0"/>
      <w:marTop w:val="0"/>
      <w:marBottom w:val="0"/>
      <w:divBdr>
        <w:top w:val="none" w:sz="0" w:space="0" w:color="auto"/>
        <w:left w:val="none" w:sz="0" w:space="0" w:color="auto"/>
        <w:bottom w:val="none" w:sz="0" w:space="0" w:color="auto"/>
        <w:right w:val="none" w:sz="0" w:space="0" w:color="auto"/>
      </w:divBdr>
    </w:div>
    <w:div w:id="106048530">
      <w:bodyDiv w:val="1"/>
      <w:marLeft w:val="0"/>
      <w:marRight w:val="0"/>
      <w:marTop w:val="0"/>
      <w:marBottom w:val="0"/>
      <w:divBdr>
        <w:top w:val="none" w:sz="0" w:space="0" w:color="auto"/>
        <w:left w:val="none" w:sz="0" w:space="0" w:color="auto"/>
        <w:bottom w:val="none" w:sz="0" w:space="0" w:color="auto"/>
        <w:right w:val="none" w:sz="0" w:space="0" w:color="auto"/>
      </w:divBdr>
    </w:div>
    <w:div w:id="132603951">
      <w:bodyDiv w:val="1"/>
      <w:marLeft w:val="0"/>
      <w:marRight w:val="0"/>
      <w:marTop w:val="0"/>
      <w:marBottom w:val="0"/>
      <w:divBdr>
        <w:top w:val="none" w:sz="0" w:space="0" w:color="auto"/>
        <w:left w:val="none" w:sz="0" w:space="0" w:color="auto"/>
        <w:bottom w:val="none" w:sz="0" w:space="0" w:color="auto"/>
        <w:right w:val="none" w:sz="0" w:space="0" w:color="auto"/>
      </w:divBdr>
    </w:div>
    <w:div w:id="138350012">
      <w:bodyDiv w:val="1"/>
      <w:marLeft w:val="0"/>
      <w:marRight w:val="0"/>
      <w:marTop w:val="0"/>
      <w:marBottom w:val="0"/>
      <w:divBdr>
        <w:top w:val="none" w:sz="0" w:space="0" w:color="auto"/>
        <w:left w:val="none" w:sz="0" w:space="0" w:color="auto"/>
        <w:bottom w:val="none" w:sz="0" w:space="0" w:color="auto"/>
        <w:right w:val="none" w:sz="0" w:space="0" w:color="auto"/>
      </w:divBdr>
    </w:div>
    <w:div w:id="139688260">
      <w:bodyDiv w:val="1"/>
      <w:marLeft w:val="0"/>
      <w:marRight w:val="0"/>
      <w:marTop w:val="0"/>
      <w:marBottom w:val="0"/>
      <w:divBdr>
        <w:top w:val="none" w:sz="0" w:space="0" w:color="auto"/>
        <w:left w:val="none" w:sz="0" w:space="0" w:color="auto"/>
        <w:bottom w:val="none" w:sz="0" w:space="0" w:color="auto"/>
        <w:right w:val="none" w:sz="0" w:space="0" w:color="auto"/>
      </w:divBdr>
    </w:div>
    <w:div w:id="147795712">
      <w:bodyDiv w:val="1"/>
      <w:marLeft w:val="0"/>
      <w:marRight w:val="0"/>
      <w:marTop w:val="0"/>
      <w:marBottom w:val="0"/>
      <w:divBdr>
        <w:top w:val="none" w:sz="0" w:space="0" w:color="auto"/>
        <w:left w:val="none" w:sz="0" w:space="0" w:color="auto"/>
        <w:bottom w:val="none" w:sz="0" w:space="0" w:color="auto"/>
        <w:right w:val="none" w:sz="0" w:space="0" w:color="auto"/>
      </w:divBdr>
    </w:div>
    <w:div w:id="162430857">
      <w:bodyDiv w:val="1"/>
      <w:marLeft w:val="0"/>
      <w:marRight w:val="0"/>
      <w:marTop w:val="0"/>
      <w:marBottom w:val="0"/>
      <w:divBdr>
        <w:top w:val="none" w:sz="0" w:space="0" w:color="auto"/>
        <w:left w:val="none" w:sz="0" w:space="0" w:color="auto"/>
        <w:bottom w:val="none" w:sz="0" w:space="0" w:color="auto"/>
        <w:right w:val="none" w:sz="0" w:space="0" w:color="auto"/>
      </w:divBdr>
    </w:div>
    <w:div w:id="163740178">
      <w:bodyDiv w:val="1"/>
      <w:marLeft w:val="0"/>
      <w:marRight w:val="0"/>
      <w:marTop w:val="0"/>
      <w:marBottom w:val="0"/>
      <w:divBdr>
        <w:top w:val="none" w:sz="0" w:space="0" w:color="auto"/>
        <w:left w:val="none" w:sz="0" w:space="0" w:color="auto"/>
        <w:bottom w:val="none" w:sz="0" w:space="0" w:color="auto"/>
        <w:right w:val="none" w:sz="0" w:space="0" w:color="auto"/>
      </w:divBdr>
    </w:div>
    <w:div w:id="219439122">
      <w:bodyDiv w:val="1"/>
      <w:marLeft w:val="0"/>
      <w:marRight w:val="0"/>
      <w:marTop w:val="0"/>
      <w:marBottom w:val="0"/>
      <w:divBdr>
        <w:top w:val="none" w:sz="0" w:space="0" w:color="auto"/>
        <w:left w:val="none" w:sz="0" w:space="0" w:color="auto"/>
        <w:bottom w:val="none" w:sz="0" w:space="0" w:color="auto"/>
        <w:right w:val="none" w:sz="0" w:space="0" w:color="auto"/>
      </w:divBdr>
    </w:div>
    <w:div w:id="223300150">
      <w:bodyDiv w:val="1"/>
      <w:marLeft w:val="0"/>
      <w:marRight w:val="0"/>
      <w:marTop w:val="0"/>
      <w:marBottom w:val="0"/>
      <w:divBdr>
        <w:top w:val="none" w:sz="0" w:space="0" w:color="auto"/>
        <w:left w:val="none" w:sz="0" w:space="0" w:color="auto"/>
        <w:bottom w:val="none" w:sz="0" w:space="0" w:color="auto"/>
        <w:right w:val="none" w:sz="0" w:space="0" w:color="auto"/>
      </w:divBdr>
    </w:div>
    <w:div w:id="223569549">
      <w:bodyDiv w:val="1"/>
      <w:marLeft w:val="0"/>
      <w:marRight w:val="0"/>
      <w:marTop w:val="0"/>
      <w:marBottom w:val="0"/>
      <w:divBdr>
        <w:top w:val="none" w:sz="0" w:space="0" w:color="auto"/>
        <w:left w:val="none" w:sz="0" w:space="0" w:color="auto"/>
        <w:bottom w:val="none" w:sz="0" w:space="0" w:color="auto"/>
        <w:right w:val="none" w:sz="0" w:space="0" w:color="auto"/>
      </w:divBdr>
    </w:div>
    <w:div w:id="243993460">
      <w:bodyDiv w:val="1"/>
      <w:marLeft w:val="0"/>
      <w:marRight w:val="0"/>
      <w:marTop w:val="0"/>
      <w:marBottom w:val="0"/>
      <w:divBdr>
        <w:top w:val="none" w:sz="0" w:space="0" w:color="auto"/>
        <w:left w:val="none" w:sz="0" w:space="0" w:color="auto"/>
        <w:bottom w:val="none" w:sz="0" w:space="0" w:color="auto"/>
        <w:right w:val="none" w:sz="0" w:space="0" w:color="auto"/>
      </w:divBdr>
    </w:div>
    <w:div w:id="267468808">
      <w:bodyDiv w:val="1"/>
      <w:marLeft w:val="0"/>
      <w:marRight w:val="0"/>
      <w:marTop w:val="0"/>
      <w:marBottom w:val="0"/>
      <w:divBdr>
        <w:top w:val="none" w:sz="0" w:space="0" w:color="auto"/>
        <w:left w:val="none" w:sz="0" w:space="0" w:color="auto"/>
        <w:bottom w:val="none" w:sz="0" w:space="0" w:color="auto"/>
        <w:right w:val="none" w:sz="0" w:space="0" w:color="auto"/>
      </w:divBdr>
    </w:div>
    <w:div w:id="308902610">
      <w:bodyDiv w:val="1"/>
      <w:marLeft w:val="0"/>
      <w:marRight w:val="0"/>
      <w:marTop w:val="0"/>
      <w:marBottom w:val="0"/>
      <w:divBdr>
        <w:top w:val="none" w:sz="0" w:space="0" w:color="auto"/>
        <w:left w:val="none" w:sz="0" w:space="0" w:color="auto"/>
        <w:bottom w:val="none" w:sz="0" w:space="0" w:color="auto"/>
        <w:right w:val="none" w:sz="0" w:space="0" w:color="auto"/>
      </w:divBdr>
    </w:div>
    <w:div w:id="319424683">
      <w:bodyDiv w:val="1"/>
      <w:marLeft w:val="0"/>
      <w:marRight w:val="0"/>
      <w:marTop w:val="0"/>
      <w:marBottom w:val="0"/>
      <w:divBdr>
        <w:top w:val="none" w:sz="0" w:space="0" w:color="auto"/>
        <w:left w:val="none" w:sz="0" w:space="0" w:color="auto"/>
        <w:bottom w:val="none" w:sz="0" w:space="0" w:color="auto"/>
        <w:right w:val="none" w:sz="0" w:space="0" w:color="auto"/>
      </w:divBdr>
    </w:div>
    <w:div w:id="356470177">
      <w:bodyDiv w:val="1"/>
      <w:marLeft w:val="0"/>
      <w:marRight w:val="0"/>
      <w:marTop w:val="0"/>
      <w:marBottom w:val="0"/>
      <w:divBdr>
        <w:top w:val="none" w:sz="0" w:space="0" w:color="auto"/>
        <w:left w:val="none" w:sz="0" w:space="0" w:color="auto"/>
        <w:bottom w:val="none" w:sz="0" w:space="0" w:color="auto"/>
        <w:right w:val="none" w:sz="0" w:space="0" w:color="auto"/>
      </w:divBdr>
    </w:div>
    <w:div w:id="361634868">
      <w:bodyDiv w:val="1"/>
      <w:marLeft w:val="0"/>
      <w:marRight w:val="0"/>
      <w:marTop w:val="0"/>
      <w:marBottom w:val="0"/>
      <w:divBdr>
        <w:top w:val="none" w:sz="0" w:space="0" w:color="auto"/>
        <w:left w:val="none" w:sz="0" w:space="0" w:color="auto"/>
        <w:bottom w:val="none" w:sz="0" w:space="0" w:color="auto"/>
        <w:right w:val="none" w:sz="0" w:space="0" w:color="auto"/>
      </w:divBdr>
    </w:div>
    <w:div w:id="370809982">
      <w:bodyDiv w:val="1"/>
      <w:marLeft w:val="0"/>
      <w:marRight w:val="0"/>
      <w:marTop w:val="0"/>
      <w:marBottom w:val="0"/>
      <w:divBdr>
        <w:top w:val="none" w:sz="0" w:space="0" w:color="auto"/>
        <w:left w:val="none" w:sz="0" w:space="0" w:color="auto"/>
        <w:bottom w:val="none" w:sz="0" w:space="0" w:color="auto"/>
        <w:right w:val="none" w:sz="0" w:space="0" w:color="auto"/>
      </w:divBdr>
      <w:divsChild>
        <w:div w:id="820270061">
          <w:marLeft w:val="274"/>
          <w:marRight w:val="0"/>
          <w:marTop w:val="120"/>
          <w:marBottom w:val="120"/>
          <w:divBdr>
            <w:top w:val="none" w:sz="0" w:space="0" w:color="auto"/>
            <w:left w:val="none" w:sz="0" w:space="0" w:color="auto"/>
            <w:bottom w:val="none" w:sz="0" w:space="0" w:color="auto"/>
            <w:right w:val="none" w:sz="0" w:space="0" w:color="auto"/>
          </w:divBdr>
        </w:div>
        <w:div w:id="953290072">
          <w:marLeft w:val="274"/>
          <w:marRight w:val="0"/>
          <w:marTop w:val="120"/>
          <w:marBottom w:val="120"/>
          <w:divBdr>
            <w:top w:val="none" w:sz="0" w:space="0" w:color="auto"/>
            <w:left w:val="none" w:sz="0" w:space="0" w:color="auto"/>
            <w:bottom w:val="none" w:sz="0" w:space="0" w:color="auto"/>
            <w:right w:val="none" w:sz="0" w:space="0" w:color="auto"/>
          </w:divBdr>
        </w:div>
        <w:div w:id="599726853">
          <w:marLeft w:val="274"/>
          <w:marRight w:val="0"/>
          <w:marTop w:val="120"/>
          <w:marBottom w:val="120"/>
          <w:divBdr>
            <w:top w:val="none" w:sz="0" w:space="0" w:color="auto"/>
            <w:left w:val="none" w:sz="0" w:space="0" w:color="auto"/>
            <w:bottom w:val="none" w:sz="0" w:space="0" w:color="auto"/>
            <w:right w:val="none" w:sz="0" w:space="0" w:color="auto"/>
          </w:divBdr>
        </w:div>
      </w:divsChild>
    </w:div>
    <w:div w:id="393167760">
      <w:bodyDiv w:val="1"/>
      <w:marLeft w:val="0"/>
      <w:marRight w:val="0"/>
      <w:marTop w:val="0"/>
      <w:marBottom w:val="0"/>
      <w:divBdr>
        <w:top w:val="none" w:sz="0" w:space="0" w:color="auto"/>
        <w:left w:val="none" w:sz="0" w:space="0" w:color="auto"/>
        <w:bottom w:val="none" w:sz="0" w:space="0" w:color="auto"/>
        <w:right w:val="none" w:sz="0" w:space="0" w:color="auto"/>
      </w:divBdr>
    </w:div>
    <w:div w:id="407307735">
      <w:bodyDiv w:val="1"/>
      <w:marLeft w:val="0"/>
      <w:marRight w:val="0"/>
      <w:marTop w:val="0"/>
      <w:marBottom w:val="0"/>
      <w:divBdr>
        <w:top w:val="none" w:sz="0" w:space="0" w:color="auto"/>
        <w:left w:val="none" w:sz="0" w:space="0" w:color="auto"/>
        <w:bottom w:val="none" w:sz="0" w:space="0" w:color="auto"/>
        <w:right w:val="none" w:sz="0" w:space="0" w:color="auto"/>
      </w:divBdr>
    </w:div>
    <w:div w:id="447699134">
      <w:bodyDiv w:val="1"/>
      <w:marLeft w:val="0"/>
      <w:marRight w:val="0"/>
      <w:marTop w:val="0"/>
      <w:marBottom w:val="0"/>
      <w:divBdr>
        <w:top w:val="none" w:sz="0" w:space="0" w:color="auto"/>
        <w:left w:val="none" w:sz="0" w:space="0" w:color="auto"/>
        <w:bottom w:val="none" w:sz="0" w:space="0" w:color="auto"/>
        <w:right w:val="none" w:sz="0" w:space="0" w:color="auto"/>
      </w:divBdr>
    </w:div>
    <w:div w:id="453331284">
      <w:bodyDiv w:val="1"/>
      <w:marLeft w:val="0"/>
      <w:marRight w:val="0"/>
      <w:marTop w:val="0"/>
      <w:marBottom w:val="0"/>
      <w:divBdr>
        <w:top w:val="none" w:sz="0" w:space="0" w:color="auto"/>
        <w:left w:val="none" w:sz="0" w:space="0" w:color="auto"/>
        <w:bottom w:val="none" w:sz="0" w:space="0" w:color="auto"/>
        <w:right w:val="none" w:sz="0" w:space="0" w:color="auto"/>
      </w:divBdr>
    </w:div>
    <w:div w:id="516115164">
      <w:bodyDiv w:val="1"/>
      <w:marLeft w:val="0"/>
      <w:marRight w:val="0"/>
      <w:marTop w:val="0"/>
      <w:marBottom w:val="0"/>
      <w:divBdr>
        <w:top w:val="none" w:sz="0" w:space="0" w:color="auto"/>
        <w:left w:val="none" w:sz="0" w:space="0" w:color="auto"/>
        <w:bottom w:val="none" w:sz="0" w:space="0" w:color="auto"/>
        <w:right w:val="none" w:sz="0" w:space="0" w:color="auto"/>
      </w:divBdr>
    </w:div>
    <w:div w:id="619726013">
      <w:bodyDiv w:val="1"/>
      <w:marLeft w:val="0"/>
      <w:marRight w:val="0"/>
      <w:marTop w:val="0"/>
      <w:marBottom w:val="0"/>
      <w:divBdr>
        <w:top w:val="none" w:sz="0" w:space="0" w:color="auto"/>
        <w:left w:val="none" w:sz="0" w:space="0" w:color="auto"/>
        <w:bottom w:val="none" w:sz="0" w:space="0" w:color="auto"/>
        <w:right w:val="none" w:sz="0" w:space="0" w:color="auto"/>
      </w:divBdr>
    </w:div>
    <w:div w:id="636305642">
      <w:bodyDiv w:val="1"/>
      <w:marLeft w:val="0"/>
      <w:marRight w:val="0"/>
      <w:marTop w:val="0"/>
      <w:marBottom w:val="0"/>
      <w:divBdr>
        <w:top w:val="none" w:sz="0" w:space="0" w:color="auto"/>
        <w:left w:val="none" w:sz="0" w:space="0" w:color="auto"/>
        <w:bottom w:val="none" w:sz="0" w:space="0" w:color="auto"/>
        <w:right w:val="none" w:sz="0" w:space="0" w:color="auto"/>
      </w:divBdr>
    </w:div>
    <w:div w:id="645547859">
      <w:bodyDiv w:val="1"/>
      <w:marLeft w:val="0"/>
      <w:marRight w:val="0"/>
      <w:marTop w:val="0"/>
      <w:marBottom w:val="0"/>
      <w:divBdr>
        <w:top w:val="none" w:sz="0" w:space="0" w:color="auto"/>
        <w:left w:val="none" w:sz="0" w:space="0" w:color="auto"/>
        <w:bottom w:val="none" w:sz="0" w:space="0" w:color="auto"/>
        <w:right w:val="none" w:sz="0" w:space="0" w:color="auto"/>
      </w:divBdr>
    </w:div>
    <w:div w:id="653145281">
      <w:bodyDiv w:val="1"/>
      <w:marLeft w:val="0"/>
      <w:marRight w:val="0"/>
      <w:marTop w:val="0"/>
      <w:marBottom w:val="0"/>
      <w:divBdr>
        <w:top w:val="none" w:sz="0" w:space="0" w:color="auto"/>
        <w:left w:val="none" w:sz="0" w:space="0" w:color="auto"/>
        <w:bottom w:val="none" w:sz="0" w:space="0" w:color="auto"/>
        <w:right w:val="none" w:sz="0" w:space="0" w:color="auto"/>
      </w:divBdr>
    </w:div>
    <w:div w:id="669525546">
      <w:bodyDiv w:val="1"/>
      <w:marLeft w:val="0"/>
      <w:marRight w:val="0"/>
      <w:marTop w:val="0"/>
      <w:marBottom w:val="0"/>
      <w:divBdr>
        <w:top w:val="none" w:sz="0" w:space="0" w:color="auto"/>
        <w:left w:val="none" w:sz="0" w:space="0" w:color="auto"/>
        <w:bottom w:val="none" w:sz="0" w:space="0" w:color="auto"/>
        <w:right w:val="none" w:sz="0" w:space="0" w:color="auto"/>
      </w:divBdr>
    </w:div>
    <w:div w:id="671417521">
      <w:bodyDiv w:val="1"/>
      <w:marLeft w:val="0"/>
      <w:marRight w:val="0"/>
      <w:marTop w:val="0"/>
      <w:marBottom w:val="0"/>
      <w:divBdr>
        <w:top w:val="none" w:sz="0" w:space="0" w:color="auto"/>
        <w:left w:val="none" w:sz="0" w:space="0" w:color="auto"/>
        <w:bottom w:val="none" w:sz="0" w:space="0" w:color="auto"/>
        <w:right w:val="none" w:sz="0" w:space="0" w:color="auto"/>
      </w:divBdr>
    </w:div>
    <w:div w:id="677728888">
      <w:bodyDiv w:val="1"/>
      <w:marLeft w:val="0"/>
      <w:marRight w:val="0"/>
      <w:marTop w:val="0"/>
      <w:marBottom w:val="0"/>
      <w:divBdr>
        <w:top w:val="none" w:sz="0" w:space="0" w:color="auto"/>
        <w:left w:val="none" w:sz="0" w:space="0" w:color="auto"/>
        <w:bottom w:val="none" w:sz="0" w:space="0" w:color="auto"/>
        <w:right w:val="none" w:sz="0" w:space="0" w:color="auto"/>
      </w:divBdr>
    </w:div>
    <w:div w:id="700475751">
      <w:bodyDiv w:val="1"/>
      <w:marLeft w:val="0"/>
      <w:marRight w:val="0"/>
      <w:marTop w:val="0"/>
      <w:marBottom w:val="0"/>
      <w:divBdr>
        <w:top w:val="none" w:sz="0" w:space="0" w:color="auto"/>
        <w:left w:val="none" w:sz="0" w:space="0" w:color="auto"/>
        <w:bottom w:val="none" w:sz="0" w:space="0" w:color="auto"/>
        <w:right w:val="none" w:sz="0" w:space="0" w:color="auto"/>
      </w:divBdr>
    </w:div>
    <w:div w:id="701397626">
      <w:bodyDiv w:val="1"/>
      <w:marLeft w:val="0"/>
      <w:marRight w:val="0"/>
      <w:marTop w:val="0"/>
      <w:marBottom w:val="0"/>
      <w:divBdr>
        <w:top w:val="none" w:sz="0" w:space="0" w:color="auto"/>
        <w:left w:val="none" w:sz="0" w:space="0" w:color="auto"/>
        <w:bottom w:val="none" w:sz="0" w:space="0" w:color="auto"/>
        <w:right w:val="none" w:sz="0" w:space="0" w:color="auto"/>
      </w:divBdr>
    </w:div>
    <w:div w:id="739405227">
      <w:bodyDiv w:val="1"/>
      <w:marLeft w:val="0"/>
      <w:marRight w:val="0"/>
      <w:marTop w:val="0"/>
      <w:marBottom w:val="0"/>
      <w:divBdr>
        <w:top w:val="none" w:sz="0" w:space="0" w:color="auto"/>
        <w:left w:val="none" w:sz="0" w:space="0" w:color="auto"/>
        <w:bottom w:val="none" w:sz="0" w:space="0" w:color="auto"/>
        <w:right w:val="none" w:sz="0" w:space="0" w:color="auto"/>
      </w:divBdr>
    </w:div>
    <w:div w:id="781386553">
      <w:bodyDiv w:val="1"/>
      <w:marLeft w:val="0"/>
      <w:marRight w:val="0"/>
      <w:marTop w:val="0"/>
      <w:marBottom w:val="0"/>
      <w:divBdr>
        <w:top w:val="none" w:sz="0" w:space="0" w:color="auto"/>
        <w:left w:val="none" w:sz="0" w:space="0" w:color="auto"/>
        <w:bottom w:val="none" w:sz="0" w:space="0" w:color="auto"/>
        <w:right w:val="none" w:sz="0" w:space="0" w:color="auto"/>
      </w:divBdr>
    </w:div>
    <w:div w:id="850099195">
      <w:bodyDiv w:val="1"/>
      <w:marLeft w:val="0"/>
      <w:marRight w:val="0"/>
      <w:marTop w:val="0"/>
      <w:marBottom w:val="0"/>
      <w:divBdr>
        <w:top w:val="none" w:sz="0" w:space="0" w:color="auto"/>
        <w:left w:val="none" w:sz="0" w:space="0" w:color="auto"/>
        <w:bottom w:val="none" w:sz="0" w:space="0" w:color="auto"/>
        <w:right w:val="none" w:sz="0" w:space="0" w:color="auto"/>
      </w:divBdr>
    </w:div>
    <w:div w:id="864905367">
      <w:bodyDiv w:val="1"/>
      <w:marLeft w:val="0"/>
      <w:marRight w:val="0"/>
      <w:marTop w:val="0"/>
      <w:marBottom w:val="0"/>
      <w:divBdr>
        <w:top w:val="none" w:sz="0" w:space="0" w:color="auto"/>
        <w:left w:val="none" w:sz="0" w:space="0" w:color="auto"/>
        <w:bottom w:val="none" w:sz="0" w:space="0" w:color="auto"/>
        <w:right w:val="none" w:sz="0" w:space="0" w:color="auto"/>
      </w:divBdr>
    </w:div>
    <w:div w:id="876116620">
      <w:bodyDiv w:val="1"/>
      <w:marLeft w:val="0"/>
      <w:marRight w:val="0"/>
      <w:marTop w:val="0"/>
      <w:marBottom w:val="0"/>
      <w:divBdr>
        <w:top w:val="none" w:sz="0" w:space="0" w:color="auto"/>
        <w:left w:val="none" w:sz="0" w:space="0" w:color="auto"/>
        <w:bottom w:val="none" w:sz="0" w:space="0" w:color="auto"/>
        <w:right w:val="none" w:sz="0" w:space="0" w:color="auto"/>
      </w:divBdr>
    </w:div>
    <w:div w:id="891648239">
      <w:bodyDiv w:val="1"/>
      <w:marLeft w:val="0"/>
      <w:marRight w:val="0"/>
      <w:marTop w:val="0"/>
      <w:marBottom w:val="0"/>
      <w:divBdr>
        <w:top w:val="none" w:sz="0" w:space="0" w:color="auto"/>
        <w:left w:val="none" w:sz="0" w:space="0" w:color="auto"/>
        <w:bottom w:val="none" w:sz="0" w:space="0" w:color="auto"/>
        <w:right w:val="none" w:sz="0" w:space="0" w:color="auto"/>
      </w:divBdr>
    </w:div>
    <w:div w:id="898247831">
      <w:bodyDiv w:val="1"/>
      <w:marLeft w:val="0"/>
      <w:marRight w:val="0"/>
      <w:marTop w:val="0"/>
      <w:marBottom w:val="0"/>
      <w:divBdr>
        <w:top w:val="none" w:sz="0" w:space="0" w:color="auto"/>
        <w:left w:val="none" w:sz="0" w:space="0" w:color="auto"/>
        <w:bottom w:val="none" w:sz="0" w:space="0" w:color="auto"/>
        <w:right w:val="none" w:sz="0" w:space="0" w:color="auto"/>
      </w:divBdr>
    </w:div>
    <w:div w:id="915479934">
      <w:bodyDiv w:val="1"/>
      <w:marLeft w:val="0"/>
      <w:marRight w:val="0"/>
      <w:marTop w:val="0"/>
      <w:marBottom w:val="0"/>
      <w:divBdr>
        <w:top w:val="none" w:sz="0" w:space="0" w:color="auto"/>
        <w:left w:val="none" w:sz="0" w:space="0" w:color="auto"/>
        <w:bottom w:val="none" w:sz="0" w:space="0" w:color="auto"/>
        <w:right w:val="none" w:sz="0" w:space="0" w:color="auto"/>
      </w:divBdr>
    </w:div>
    <w:div w:id="917517205">
      <w:bodyDiv w:val="1"/>
      <w:marLeft w:val="0"/>
      <w:marRight w:val="0"/>
      <w:marTop w:val="0"/>
      <w:marBottom w:val="0"/>
      <w:divBdr>
        <w:top w:val="none" w:sz="0" w:space="0" w:color="auto"/>
        <w:left w:val="none" w:sz="0" w:space="0" w:color="auto"/>
        <w:bottom w:val="none" w:sz="0" w:space="0" w:color="auto"/>
        <w:right w:val="none" w:sz="0" w:space="0" w:color="auto"/>
      </w:divBdr>
    </w:div>
    <w:div w:id="925261881">
      <w:bodyDiv w:val="1"/>
      <w:marLeft w:val="0"/>
      <w:marRight w:val="0"/>
      <w:marTop w:val="0"/>
      <w:marBottom w:val="0"/>
      <w:divBdr>
        <w:top w:val="none" w:sz="0" w:space="0" w:color="auto"/>
        <w:left w:val="none" w:sz="0" w:space="0" w:color="auto"/>
        <w:bottom w:val="none" w:sz="0" w:space="0" w:color="auto"/>
        <w:right w:val="none" w:sz="0" w:space="0" w:color="auto"/>
      </w:divBdr>
    </w:div>
    <w:div w:id="939072027">
      <w:bodyDiv w:val="1"/>
      <w:marLeft w:val="0"/>
      <w:marRight w:val="0"/>
      <w:marTop w:val="0"/>
      <w:marBottom w:val="0"/>
      <w:divBdr>
        <w:top w:val="none" w:sz="0" w:space="0" w:color="auto"/>
        <w:left w:val="none" w:sz="0" w:space="0" w:color="auto"/>
        <w:bottom w:val="none" w:sz="0" w:space="0" w:color="auto"/>
        <w:right w:val="none" w:sz="0" w:space="0" w:color="auto"/>
      </w:divBdr>
    </w:div>
    <w:div w:id="940651414">
      <w:bodyDiv w:val="1"/>
      <w:marLeft w:val="0"/>
      <w:marRight w:val="0"/>
      <w:marTop w:val="0"/>
      <w:marBottom w:val="0"/>
      <w:divBdr>
        <w:top w:val="none" w:sz="0" w:space="0" w:color="auto"/>
        <w:left w:val="none" w:sz="0" w:space="0" w:color="auto"/>
        <w:bottom w:val="none" w:sz="0" w:space="0" w:color="auto"/>
        <w:right w:val="none" w:sz="0" w:space="0" w:color="auto"/>
      </w:divBdr>
    </w:div>
    <w:div w:id="955216433">
      <w:bodyDiv w:val="1"/>
      <w:marLeft w:val="0"/>
      <w:marRight w:val="0"/>
      <w:marTop w:val="0"/>
      <w:marBottom w:val="0"/>
      <w:divBdr>
        <w:top w:val="none" w:sz="0" w:space="0" w:color="auto"/>
        <w:left w:val="none" w:sz="0" w:space="0" w:color="auto"/>
        <w:bottom w:val="none" w:sz="0" w:space="0" w:color="auto"/>
        <w:right w:val="none" w:sz="0" w:space="0" w:color="auto"/>
      </w:divBdr>
    </w:div>
    <w:div w:id="957301075">
      <w:bodyDiv w:val="1"/>
      <w:marLeft w:val="0"/>
      <w:marRight w:val="0"/>
      <w:marTop w:val="0"/>
      <w:marBottom w:val="0"/>
      <w:divBdr>
        <w:top w:val="none" w:sz="0" w:space="0" w:color="auto"/>
        <w:left w:val="none" w:sz="0" w:space="0" w:color="auto"/>
        <w:bottom w:val="none" w:sz="0" w:space="0" w:color="auto"/>
        <w:right w:val="none" w:sz="0" w:space="0" w:color="auto"/>
      </w:divBdr>
    </w:div>
    <w:div w:id="1006444093">
      <w:bodyDiv w:val="1"/>
      <w:marLeft w:val="0"/>
      <w:marRight w:val="0"/>
      <w:marTop w:val="0"/>
      <w:marBottom w:val="0"/>
      <w:divBdr>
        <w:top w:val="none" w:sz="0" w:space="0" w:color="auto"/>
        <w:left w:val="none" w:sz="0" w:space="0" w:color="auto"/>
        <w:bottom w:val="none" w:sz="0" w:space="0" w:color="auto"/>
        <w:right w:val="none" w:sz="0" w:space="0" w:color="auto"/>
      </w:divBdr>
    </w:div>
    <w:div w:id="1026828622">
      <w:bodyDiv w:val="1"/>
      <w:marLeft w:val="0"/>
      <w:marRight w:val="0"/>
      <w:marTop w:val="0"/>
      <w:marBottom w:val="0"/>
      <w:divBdr>
        <w:top w:val="none" w:sz="0" w:space="0" w:color="auto"/>
        <w:left w:val="none" w:sz="0" w:space="0" w:color="auto"/>
        <w:bottom w:val="none" w:sz="0" w:space="0" w:color="auto"/>
        <w:right w:val="none" w:sz="0" w:space="0" w:color="auto"/>
      </w:divBdr>
    </w:div>
    <w:div w:id="1078869416">
      <w:bodyDiv w:val="1"/>
      <w:marLeft w:val="0"/>
      <w:marRight w:val="0"/>
      <w:marTop w:val="0"/>
      <w:marBottom w:val="0"/>
      <w:divBdr>
        <w:top w:val="none" w:sz="0" w:space="0" w:color="auto"/>
        <w:left w:val="none" w:sz="0" w:space="0" w:color="auto"/>
        <w:bottom w:val="none" w:sz="0" w:space="0" w:color="auto"/>
        <w:right w:val="none" w:sz="0" w:space="0" w:color="auto"/>
      </w:divBdr>
    </w:div>
    <w:div w:id="1119955737">
      <w:bodyDiv w:val="1"/>
      <w:marLeft w:val="0"/>
      <w:marRight w:val="0"/>
      <w:marTop w:val="0"/>
      <w:marBottom w:val="0"/>
      <w:divBdr>
        <w:top w:val="none" w:sz="0" w:space="0" w:color="auto"/>
        <w:left w:val="none" w:sz="0" w:space="0" w:color="auto"/>
        <w:bottom w:val="none" w:sz="0" w:space="0" w:color="auto"/>
        <w:right w:val="none" w:sz="0" w:space="0" w:color="auto"/>
      </w:divBdr>
    </w:div>
    <w:div w:id="1160271457">
      <w:bodyDiv w:val="1"/>
      <w:marLeft w:val="0"/>
      <w:marRight w:val="0"/>
      <w:marTop w:val="0"/>
      <w:marBottom w:val="0"/>
      <w:divBdr>
        <w:top w:val="none" w:sz="0" w:space="0" w:color="auto"/>
        <w:left w:val="none" w:sz="0" w:space="0" w:color="auto"/>
        <w:bottom w:val="none" w:sz="0" w:space="0" w:color="auto"/>
        <w:right w:val="none" w:sz="0" w:space="0" w:color="auto"/>
      </w:divBdr>
    </w:div>
    <w:div w:id="1222640606">
      <w:bodyDiv w:val="1"/>
      <w:marLeft w:val="0"/>
      <w:marRight w:val="0"/>
      <w:marTop w:val="0"/>
      <w:marBottom w:val="0"/>
      <w:divBdr>
        <w:top w:val="none" w:sz="0" w:space="0" w:color="auto"/>
        <w:left w:val="none" w:sz="0" w:space="0" w:color="auto"/>
        <w:bottom w:val="none" w:sz="0" w:space="0" w:color="auto"/>
        <w:right w:val="none" w:sz="0" w:space="0" w:color="auto"/>
      </w:divBdr>
    </w:div>
    <w:div w:id="1235511726">
      <w:bodyDiv w:val="1"/>
      <w:marLeft w:val="0"/>
      <w:marRight w:val="0"/>
      <w:marTop w:val="0"/>
      <w:marBottom w:val="0"/>
      <w:divBdr>
        <w:top w:val="none" w:sz="0" w:space="0" w:color="auto"/>
        <w:left w:val="none" w:sz="0" w:space="0" w:color="auto"/>
        <w:bottom w:val="none" w:sz="0" w:space="0" w:color="auto"/>
        <w:right w:val="none" w:sz="0" w:space="0" w:color="auto"/>
      </w:divBdr>
    </w:div>
    <w:div w:id="1245720766">
      <w:bodyDiv w:val="1"/>
      <w:marLeft w:val="0"/>
      <w:marRight w:val="0"/>
      <w:marTop w:val="0"/>
      <w:marBottom w:val="0"/>
      <w:divBdr>
        <w:top w:val="none" w:sz="0" w:space="0" w:color="auto"/>
        <w:left w:val="none" w:sz="0" w:space="0" w:color="auto"/>
        <w:bottom w:val="none" w:sz="0" w:space="0" w:color="auto"/>
        <w:right w:val="none" w:sz="0" w:space="0" w:color="auto"/>
      </w:divBdr>
    </w:div>
    <w:div w:id="1293751577">
      <w:bodyDiv w:val="1"/>
      <w:marLeft w:val="0"/>
      <w:marRight w:val="0"/>
      <w:marTop w:val="0"/>
      <w:marBottom w:val="0"/>
      <w:divBdr>
        <w:top w:val="none" w:sz="0" w:space="0" w:color="auto"/>
        <w:left w:val="none" w:sz="0" w:space="0" w:color="auto"/>
        <w:bottom w:val="none" w:sz="0" w:space="0" w:color="auto"/>
        <w:right w:val="none" w:sz="0" w:space="0" w:color="auto"/>
      </w:divBdr>
    </w:div>
    <w:div w:id="1307971383">
      <w:bodyDiv w:val="1"/>
      <w:marLeft w:val="0"/>
      <w:marRight w:val="0"/>
      <w:marTop w:val="0"/>
      <w:marBottom w:val="0"/>
      <w:divBdr>
        <w:top w:val="none" w:sz="0" w:space="0" w:color="auto"/>
        <w:left w:val="none" w:sz="0" w:space="0" w:color="auto"/>
        <w:bottom w:val="none" w:sz="0" w:space="0" w:color="auto"/>
        <w:right w:val="none" w:sz="0" w:space="0" w:color="auto"/>
      </w:divBdr>
    </w:div>
    <w:div w:id="1343893411">
      <w:bodyDiv w:val="1"/>
      <w:marLeft w:val="0"/>
      <w:marRight w:val="0"/>
      <w:marTop w:val="0"/>
      <w:marBottom w:val="0"/>
      <w:divBdr>
        <w:top w:val="none" w:sz="0" w:space="0" w:color="auto"/>
        <w:left w:val="none" w:sz="0" w:space="0" w:color="auto"/>
        <w:bottom w:val="none" w:sz="0" w:space="0" w:color="auto"/>
        <w:right w:val="none" w:sz="0" w:space="0" w:color="auto"/>
      </w:divBdr>
    </w:div>
    <w:div w:id="1385569857">
      <w:bodyDiv w:val="1"/>
      <w:marLeft w:val="0"/>
      <w:marRight w:val="0"/>
      <w:marTop w:val="0"/>
      <w:marBottom w:val="0"/>
      <w:divBdr>
        <w:top w:val="none" w:sz="0" w:space="0" w:color="auto"/>
        <w:left w:val="none" w:sz="0" w:space="0" w:color="auto"/>
        <w:bottom w:val="none" w:sz="0" w:space="0" w:color="auto"/>
        <w:right w:val="none" w:sz="0" w:space="0" w:color="auto"/>
      </w:divBdr>
    </w:div>
    <w:div w:id="1387794848">
      <w:bodyDiv w:val="1"/>
      <w:marLeft w:val="0"/>
      <w:marRight w:val="0"/>
      <w:marTop w:val="0"/>
      <w:marBottom w:val="0"/>
      <w:divBdr>
        <w:top w:val="none" w:sz="0" w:space="0" w:color="auto"/>
        <w:left w:val="none" w:sz="0" w:space="0" w:color="auto"/>
        <w:bottom w:val="none" w:sz="0" w:space="0" w:color="auto"/>
        <w:right w:val="none" w:sz="0" w:space="0" w:color="auto"/>
      </w:divBdr>
    </w:div>
    <w:div w:id="1397124741">
      <w:bodyDiv w:val="1"/>
      <w:marLeft w:val="0"/>
      <w:marRight w:val="0"/>
      <w:marTop w:val="0"/>
      <w:marBottom w:val="0"/>
      <w:divBdr>
        <w:top w:val="none" w:sz="0" w:space="0" w:color="auto"/>
        <w:left w:val="none" w:sz="0" w:space="0" w:color="auto"/>
        <w:bottom w:val="none" w:sz="0" w:space="0" w:color="auto"/>
        <w:right w:val="none" w:sz="0" w:space="0" w:color="auto"/>
      </w:divBdr>
    </w:div>
    <w:div w:id="1488017934">
      <w:bodyDiv w:val="1"/>
      <w:marLeft w:val="0"/>
      <w:marRight w:val="0"/>
      <w:marTop w:val="0"/>
      <w:marBottom w:val="0"/>
      <w:divBdr>
        <w:top w:val="none" w:sz="0" w:space="0" w:color="auto"/>
        <w:left w:val="none" w:sz="0" w:space="0" w:color="auto"/>
        <w:bottom w:val="none" w:sz="0" w:space="0" w:color="auto"/>
        <w:right w:val="none" w:sz="0" w:space="0" w:color="auto"/>
      </w:divBdr>
    </w:div>
    <w:div w:id="1489784349">
      <w:bodyDiv w:val="1"/>
      <w:marLeft w:val="0"/>
      <w:marRight w:val="0"/>
      <w:marTop w:val="0"/>
      <w:marBottom w:val="0"/>
      <w:divBdr>
        <w:top w:val="none" w:sz="0" w:space="0" w:color="auto"/>
        <w:left w:val="none" w:sz="0" w:space="0" w:color="auto"/>
        <w:bottom w:val="none" w:sz="0" w:space="0" w:color="auto"/>
        <w:right w:val="none" w:sz="0" w:space="0" w:color="auto"/>
      </w:divBdr>
    </w:div>
    <w:div w:id="1496846155">
      <w:bodyDiv w:val="1"/>
      <w:marLeft w:val="0"/>
      <w:marRight w:val="0"/>
      <w:marTop w:val="0"/>
      <w:marBottom w:val="0"/>
      <w:divBdr>
        <w:top w:val="none" w:sz="0" w:space="0" w:color="auto"/>
        <w:left w:val="none" w:sz="0" w:space="0" w:color="auto"/>
        <w:bottom w:val="none" w:sz="0" w:space="0" w:color="auto"/>
        <w:right w:val="none" w:sz="0" w:space="0" w:color="auto"/>
      </w:divBdr>
    </w:div>
    <w:div w:id="1502160559">
      <w:bodyDiv w:val="1"/>
      <w:marLeft w:val="0"/>
      <w:marRight w:val="0"/>
      <w:marTop w:val="0"/>
      <w:marBottom w:val="0"/>
      <w:divBdr>
        <w:top w:val="none" w:sz="0" w:space="0" w:color="auto"/>
        <w:left w:val="none" w:sz="0" w:space="0" w:color="auto"/>
        <w:bottom w:val="none" w:sz="0" w:space="0" w:color="auto"/>
        <w:right w:val="none" w:sz="0" w:space="0" w:color="auto"/>
      </w:divBdr>
    </w:div>
    <w:div w:id="1502308075">
      <w:bodyDiv w:val="1"/>
      <w:marLeft w:val="0"/>
      <w:marRight w:val="0"/>
      <w:marTop w:val="0"/>
      <w:marBottom w:val="0"/>
      <w:divBdr>
        <w:top w:val="none" w:sz="0" w:space="0" w:color="auto"/>
        <w:left w:val="none" w:sz="0" w:space="0" w:color="auto"/>
        <w:bottom w:val="none" w:sz="0" w:space="0" w:color="auto"/>
        <w:right w:val="none" w:sz="0" w:space="0" w:color="auto"/>
      </w:divBdr>
    </w:div>
    <w:div w:id="1517844751">
      <w:bodyDiv w:val="1"/>
      <w:marLeft w:val="0"/>
      <w:marRight w:val="0"/>
      <w:marTop w:val="0"/>
      <w:marBottom w:val="0"/>
      <w:divBdr>
        <w:top w:val="none" w:sz="0" w:space="0" w:color="auto"/>
        <w:left w:val="none" w:sz="0" w:space="0" w:color="auto"/>
        <w:bottom w:val="none" w:sz="0" w:space="0" w:color="auto"/>
        <w:right w:val="none" w:sz="0" w:space="0" w:color="auto"/>
      </w:divBdr>
    </w:div>
    <w:div w:id="1542553592">
      <w:bodyDiv w:val="1"/>
      <w:marLeft w:val="0"/>
      <w:marRight w:val="0"/>
      <w:marTop w:val="0"/>
      <w:marBottom w:val="0"/>
      <w:divBdr>
        <w:top w:val="none" w:sz="0" w:space="0" w:color="auto"/>
        <w:left w:val="none" w:sz="0" w:space="0" w:color="auto"/>
        <w:bottom w:val="none" w:sz="0" w:space="0" w:color="auto"/>
        <w:right w:val="none" w:sz="0" w:space="0" w:color="auto"/>
      </w:divBdr>
    </w:div>
    <w:div w:id="1557736607">
      <w:bodyDiv w:val="1"/>
      <w:marLeft w:val="0"/>
      <w:marRight w:val="0"/>
      <w:marTop w:val="0"/>
      <w:marBottom w:val="0"/>
      <w:divBdr>
        <w:top w:val="none" w:sz="0" w:space="0" w:color="auto"/>
        <w:left w:val="none" w:sz="0" w:space="0" w:color="auto"/>
        <w:bottom w:val="none" w:sz="0" w:space="0" w:color="auto"/>
        <w:right w:val="none" w:sz="0" w:space="0" w:color="auto"/>
      </w:divBdr>
    </w:div>
    <w:div w:id="1558394146">
      <w:bodyDiv w:val="1"/>
      <w:marLeft w:val="0"/>
      <w:marRight w:val="0"/>
      <w:marTop w:val="0"/>
      <w:marBottom w:val="0"/>
      <w:divBdr>
        <w:top w:val="none" w:sz="0" w:space="0" w:color="auto"/>
        <w:left w:val="none" w:sz="0" w:space="0" w:color="auto"/>
        <w:bottom w:val="none" w:sz="0" w:space="0" w:color="auto"/>
        <w:right w:val="none" w:sz="0" w:space="0" w:color="auto"/>
      </w:divBdr>
    </w:div>
    <w:div w:id="1559822798">
      <w:bodyDiv w:val="1"/>
      <w:marLeft w:val="0"/>
      <w:marRight w:val="0"/>
      <w:marTop w:val="0"/>
      <w:marBottom w:val="0"/>
      <w:divBdr>
        <w:top w:val="none" w:sz="0" w:space="0" w:color="auto"/>
        <w:left w:val="none" w:sz="0" w:space="0" w:color="auto"/>
        <w:bottom w:val="none" w:sz="0" w:space="0" w:color="auto"/>
        <w:right w:val="none" w:sz="0" w:space="0" w:color="auto"/>
      </w:divBdr>
    </w:div>
    <w:div w:id="1577090759">
      <w:bodyDiv w:val="1"/>
      <w:marLeft w:val="0"/>
      <w:marRight w:val="0"/>
      <w:marTop w:val="0"/>
      <w:marBottom w:val="0"/>
      <w:divBdr>
        <w:top w:val="none" w:sz="0" w:space="0" w:color="auto"/>
        <w:left w:val="none" w:sz="0" w:space="0" w:color="auto"/>
        <w:bottom w:val="none" w:sz="0" w:space="0" w:color="auto"/>
        <w:right w:val="none" w:sz="0" w:space="0" w:color="auto"/>
      </w:divBdr>
    </w:div>
    <w:div w:id="1597790346">
      <w:bodyDiv w:val="1"/>
      <w:marLeft w:val="0"/>
      <w:marRight w:val="0"/>
      <w:marTop w:val="0"/>
      <w:marBottom w:val="0"/>
      <w:divBdr>
        <w:top w:val="none" w:sz="0" w:space="0" w:color="auto"/>
        <w:left w:val="none" w:sz="0" w:space="0" w:color="auto"/>
        <w:bottom w:val="none" w:sz="0" w:space="0" w:color="auto"/>
        <w:right w:val="none" w:sz="0" w:space="0" w:color="auto"/>
      </w:divBdr>
    </w:div>
    <w:div w:id="1622613187">
      <w:bodyDiv w:val="1"/>
      <w:marLeft w:val="0"/>
      <w:marRight w:val="0"/>
      <w:marTop w:val="0"/>
      <w:marBottom w:val="0"/>
      <w:divBdr>
        <w:top w:val="none" w:sz="0" w:space="0" w:color="auto"/>
        <w:left w:val="none" w:sz="0" w:space="0" w:color="auto"/>
        <w:bottom w:val="none" w:sz="0" w:space="0" w:color="auto"/>
        <w:right w:val="none" w:sz="0" w:space="0" w:color="auto"/>
      </w:divBdr>
    </w:div>
    <w:div w:id="1625692965">
      <w:bodyDiv w:val="1"/>
      <w:marLeft w:val="0"/>
      <w:marRight w:val="0"/>
      <w:marTop w:val="0"/>
      <w:marBottom w:val="0"/>
      <w:divBdr>
        <w:top w:val="none" w:sz="0" w:space="0" w:color="auto"/>
        <w:left w:val="none" w:sz="0" w:space="0" w:color="auto"/>
        <w:bottom w:val="none" w:sz="0" w:space="0" w:color="auto"/>
        <w:right w:val="none" w:sz="0" w:space="0" w:color="auto"/>
      </w:divBdr>
    </w:div>
    <w:div w:id="1642074713">
      <w:bodyDiv w:val="1"/>
      <w:marLeft w:val="0"/>
      <w:marRight w:val="0"/>
      <w:marTop w:val="0"/>
      <w:marBottom w:val="0"/>
      <w:divBdr>
        <w:top w:val="none" w:sz="0" w:space="0" w:color="auto"/>
        <w:left w:val="none" w:sz="0" w:space="0" w:color="auto"/>
        <w:bottom w:val="none" w:sz="0" w:space="0" w:color="auto"/>
        <w:right w:val="none" w:sz="0" w:space="0" w:color="auto"/>
      </w:divBdr>
    </w:div>
    <w:div w:id="1645814008">
      <w:bodyDiv w:val="1"/>
      <w:marLeft w:val="0"/>
      <w:marRight w:val="0"/>
      <w:marTop w:val="0"/>
      <w:marBottom w:val="0"/>
      <w:divBdr>
        <w:top w:val="none" w:sz="0" w:space="0" w:color="auto"/>
        <w:left w:val="none" w:sz="0" w:space="0" w:color="auto"/>
        <w:bottom w:val="none" w:sz="0" w:space="0" w:color="auto"/>
        <w:right w:val="none" w:sz="0" w:space="0" w:color="auto"/>
      </w:divBdr>
    </w:div>
    <w:div w:id="1664159414">
      <w:bodyDiv w:val="1"/>
      <w:marLeft w:val="0"/>
      <w:marRight w:val="0"/>
      <w:marTop w:val="0"/>
      <w:marBottom w:val="0"/>
      <w:divBdr>
        <w:top w:val="none" w:sz="0" w:space="0" w:color="auto"/>
        <w:left w:val="none" w:sz="0" w:space="0" w:color="auto"/>
        <w:bottom w:val="none" w:sz="0" w:space="0" w:color="auto"/>
        <w:right w:val="none" w:sz="0" w:space="0" w:color="auto"/>
      </w:divBdr>
    </w:div>
    <w:div w:id="1706250084">
      <w:bodyDiv w:val="1"/>
      <w:marLeft w:val="0"/>
      <w:marRight w:val="0"/>
      <w:marTop w:val="0"/>
      <w:marBottom w:val="0"/>
      <w:divBdr>
        <w:top w:val="none" w:sz="0" w:space="0" w:color="auto"/>
        <w:left w:val="none" w:sz="0" w:space="0" w:color="auto"/>
        <w:bottom w:val="none" w:sz="0" w:space="0" w:color="auto"/>
        <w:right w:val="none" w:sz="0" w:space="0" w:color="auto"/>
      </w:divBdr>
    </w:div>
    <w:div w:id="1747608022">
      <w:bodyDiv w:val="1"/>
      <w:marLeft w:val="0"/>
      <w:marRight w:val="0"/>
      <w:marTop w:val="0"/>
      <w:marBottom w:val="0"/>
      <w:divBdr>
        <w:top w:val="none" w:sz="0" w:space="0" w:color="auto"/>
        <w:left w:val="none" w:sz="0" w:space="0" w:color="auto"/>
        <w:bottom w:val="none" w:sz="0" w:space="0" w:color="auto"/>
        <w:right w:val="none" w:sz="0" w:space="0" w:color="auto"/>
      </w:divBdr>
    </w:div>
    <w:div w:id="1800880852">
      <w:bodyDiv w:val="1"/>
      <w:marLeft w:val="0"/>
      <w:marRight w:val="0"/>
      <w:marTop w:val="0"/>
      <w:marBottom w:val="0"/>
      <w:divBdr>
        <w:top w:val="none" w:sz="0" w:space="0" w:color="auto"/>
        <w:left w:val="none" w:sz="0" w:space="0" w:color="auto"/>
        <w:bottom w:val="none" w:sz="0" w:space="0" w:color="auto"/>
        <w:right w:val="none" w:sz="0" w:space="0" w:color="auto"/>
      </w:divBdr>
    </w:div>
    <w:div w:id="1843425646">
      <w:bodyDiv w:val="1"/>
      <w:marLeft w:val="0"/>
      <w:marRight w:val="0"/>
      <w:marTop w:val="0"/>
      <w:marBottom w:val="0"/>
      <w:divBdr>
        <w:top w:val="none" w:sz="0" w:space="0" w:color="auto"/>
        <w:left w:val="none" w:sz="0" w:space="0" w:color="auto"/>
        <w:bottom w:val="none" w:sz="0" w:space="0" w:color="auto"/>
        <w:right w:val="none" w:sz="0" w:space="0" w:color="auto"/>
      </w:divBdr>
    </w:div>
    <w:div w:id="1866626261">
      <w:bodyDiv w:val="1"/>
      <w:marLeft w:val="0"/>
      <w:marRight w:val="0"/>
      <w:marTop w:val="0"/>
      <w:marBottom w:val="0"/>
      <w:divBdr>
        <w:top w:val="none" w:sz="0" w:space="0" w:color="auto"/>
        <w:left w:val="none" w:sz="0" w:space="0" w:color="auto"/>
        <w:bottom w:val="none" w:sz="0" w:space="0" w:color="auto"/>
        <w:right w:val="none" w:sz="0" w:space="0" w:color="auto"/>
      </w:divBdr>
    </w:div>
    <w:div w:id="1873033258">
      <w:bodyDiv w:val="1"/>
      <w:marLeft w:val="0"/>
      <w:marRight w:val="0"/>
      <w:marTop w:val="0"/>
      <w:marBottom w:val="0"/>
      <w:divBdr>
        <w:top w:val="none" w:sz="0" w:space="0" w:color="auto"/>
        <w:left w:val="none" w:sz="0" w:space="0" w:color="auto"/>
        <w:bottom w:val="none" w:sz="0" w:space="0" w:color="auto"/>
        <w:right w:val="none" w:sz="0" w:space="0" w:color="auto"/>
      </w:divBdr>
    </w:div>
    <w:div w:id="1886797907">
      <w:bodyDiv w:val="1"/>
      <w:marLeft w:val="0"/>
      <w:marRight w:val="0"/>
      <w:marTop w:val="0"/>
      <w:marBottom w:val="0"/>
      <w:divBdr>
        <w:top w:val="none" w:sz="0" w:space="0" w:color="auto"/>
        <w:left w:val="none" w:sz="0" w:space="0" w:color="auto"/>
        <w:bottom w:val="none" w:sz="0" w:space="0" w:color="auto"/>
        <w:right w:val="none" w:sz="0" w:space="0" w:color="auto"/>
      </w:divBdr>
    </w:div>
    <w:div w:id="1895969034">
      <w:bodyDiv w:val="1"/>
      <w:marLeft w:val="0"/>
      <w:marRight w:val="0"/>
      <w:marTop w:val="0"/>
      <w:marBottom w:val="0"/>
      <w:divBdr>
        <w:top w:val="none" w:sz="0" w:space="0" w:color="auto"/>
        <w:left w:val="none" w:sz="0" w:space="0" w:color="auto"/>
        <w:bottom w:val="none" w:sz="0" w:space="0" w:color="auto"/>
        <w:right w:val="none" w:sz="0" w:space="0" w:color="auto"/>
      </w:divBdr>
    </w:div>
    <w:div w:id="1898203514">
      <w:bodyDiv w:val="1"/>
      <w:marLeft w:val="0"/>
      <w:marRight w:val="0"/>
      <w:marTop w:val="0"/>
      <w:marBottom w:val="0"/>
      <w:divBdr>
        <w:top w:val="none" w:sz="0" w:space="0" w:color="auto"/>
        <w:left w:val="none" w:sz="0" w:space="0" w:color="auto"/>
        <w:bottom w:val="none" w:sz="0" w:space="0" w:color="auto"/>
        <w:right w:val="none" w:sz="0" w:space="0" w:color="auto"/>
      </w:divBdr>
    </w:div>
    <w:div w:id="1913084337">
      <w:bodyDiv w:val="1"/>
      <w:marLeft w:val="0"/>
      <w:marRight w:val="0"/>
      <w:marTop w:val="0"/>
      <w:marBottom w:val="0"/>
      <w:divBdr>
        <w:top w:val="none" w:sz="0" w:space="0" w:color="auto"/>
        <w:left w:val="none" w:sz="0" w:space="0" w:color="auto"/>
        <w:bottom w:val="none" w:sz="0" w:space="0" w:color="auto"/>
        <w:right w:val="none" w:sz="0" w:space="0" w:color="auto"/>
      </w:divBdr>
    </w:div>
    <w:div w:id="1923487721">
      <w:bodyDiv w:val="1"/>
      <w:marLeft w:val="0"/>
      <w:marRight w:val="0"/>
      <w:marTop w:val="0"/>
      <w:marBottom w:val="0"/>
      <w:divBdr>
        <w:top w:val="none" w:sz="0" w:space="0" w:color="auto"/>
        <w:left w:val="none" w:sz="0" w:space="0" w:color="auto"/>
        <w:bottom w:val="none" w:sz="0" w:space="0" w:color="auto"/>
        <w:right w:val="none" w:sz="0" w:space="0" w:color="auto"/>
      </w:divBdr>
    </w:div>
    <w:div w:id="1954747376">
      <w:bodyDiv w:val="1"/>
      <w:marLeft w:val="0"/>
      <w:marRight w:val="0"/>
      <w:marTop w:val="0"/>
      <w:marBottom w:val="0"/>
      <w:divBdr>
        <w:top w:val="none" w:sz="0" w:space="0" w:color="auto"/>
        <w:left w:val="none" w:sz="0" w:space="0" w:color="auto"/>
        <w:bottom w:val="none" w:sz="0" w:space="0" w:color="auto"/>
        <w:right w:val="none" w:sz="0" w:space="0" w:color="auto"/>
      </w:divBdr>
    </w:div>
    <w:div w:id="1975670348">
      <w:bodyDiv w:val="1"/>
      <w:marLeft w:val="0"/>
      <w:marRight w:val="0"/>
      <w:marTop w:val="0"/>
      <w:marBottom w:val="0"/>
      <w:divBdr>
        <w:top w:val="none" w:sz="0" w:space="0" w:color="auto"/>
        <w:left w:val="none" w:sz="0" w:space="0" w:color="auto"/>
        <w:bottom w:val="none" w:sz="0" w:space="0" w:color="auto"/>
        <w:right w:val="none" w:sz="0" w:space="0" w:color="auto"/>
      </w:divBdr>
    </w:div>
    <w:div w:id="2001618845">
      <w:bodyDiv w:val="1"/>
      <w:marLeft w:val="0"/>
      <w:marRight w:val="0"/>
      <w:marTop w:val="0"/>
      <w:marBottom w:val="0"/>
      <w:divBdr>
        <w:top w:val="none" w:sz="0" w:space="0" w:color="auto"/>
        <w:left w:val="none" w:sz="0" w:space="0" w:color="auto"/>
        <w:bottom w:val="none" w:sz="0" w:space="0" w:color="auto"/>
        <w:right w:val="none" w:sz="0" w:space="0" w:color="auto"/>
      </w:divBdr>
    </w:div>
    <w:div w:id="2018338797">
      <w:bodyDiv w:val="1"/>
      <w:marLeft w:val="0"/>
      <w:marRight w:val="0"/>
      <w:marTop w:val="0"/>
      <w:marBottom w:val="0"/>
      <w:divBdr>
        <w:top w:val="none" w:sz="0" w:space="0" w:color="auto"/>
        <w:left w:val="none" w:sz="0" w:space="0" w:color="auto"/>
        <w:bottom w:val="none" w:sz="0" w:space="0" w:color="auto"/>
        <w:right w:val="none" w:sz="0" w:space="0" w:color="auto"/>
      </w:divBdr>
    </w:div>
    <w:div w:id="2054959347">
      <w:bodyDiv w:val="1"/>
      <w:marLeft w:val="0"/>
      <w:marRight w:val="0"/>
      <w:marTop w:val="0"/>
      <w:marBottom w:val="0"/>
      <w:divBdr>
        <w:top w:val="none" w:sz="0" w:space="0" w:color="auto"/>
        <w:left w:val="none" w:sz="0" w:space="0" w:color="auto"/>
        <w:bottom w:val="none" w:sz="0" w:space="0" w:color="auto"/>
        <w:right w:val="none" w:sz="0" w:space="0" w:color="auto"/>
      </w:divBdr>
    </w:div>
    <w:div w:id="21334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IE.or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505D7-C7F5-43E6-B53C-1EFC6C54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8350</Words>
  <Characters>45928</Characters>
  <Application>Microsoft Office Word</Application>
  <DocSecurity>0</DocSecurity>
  <Lines>382</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2020-05-14T14:28:00Z</cp:lastPrinted>
  <dcterms:created xsi:type="dcterms:W3CDTF">2022-01-17T11:38:00Z</dcterms:created>
  <dcterms:modified xsi:type="dcterms:W3CDTF">2022-01-17T11:38:00Z</dcterms:modified>
</cp:coreProperties>
</file>